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5209A" w14:textId="77777777" w:rsidR="00C63860" w:rsidRPr="00C63860" w:rsidRDefault="000C0830" w:rsidP="00FB5C7D">
      <w:pPr>
        <w:spacing w:line="276" w:lineRule="auto"/>
        <w:rPr>
          <w:rFonts w:asciiTheme="minorHAnsi" w:hAnsiTheme="minorHAnsi" w:cstheme="minorHAnsi"/>
          <w:b/>
          <w:bCs/>
          <w:sz w:val="36"/>
          <w:szCs w:val="36"/>
        </w:rPr>
      </w:pPr>
      <w:commentRangeStart w:id="0"/>
      <w:commentRangeStart w:id="1"/>
      <w:r w:rsidRPr="00C63860">
        <w:rPr>
          <w:rFonts w:asciiTheme="minorHAnsi" w:hAnsiTheme="minorHAnsi" w:cstheme="minorHAnsi"/>
          <w:b/>
          <w:bCs/>
          <w:sz w:val="36"/>
          <w:szCs w:val="36"/>
        </w:rPr>
        <w:t>Emergency Surgery OR NoT (ESORT)</w:t>
      </w:r>
      <w:commentRangeEnd w:id="0"/>
      <w:r w:rsidR="00DD3B03" w:rsidRPr="00C63860">
        <w:rPr>
          <w:rStyle w:val="CommentReference"/>
        </w:rPr>
        <w:commentReference w:id="0"/>
      </w:r>
      <w:commentRangeEnd w:id="1"/>
      <w:r w:rsidR="006F6056" w:rsidRPr="00C63860">
        <w:rPr>
          <w:rStyle w:val="CommentReference"/>
        </w:rPr>
        <w:commentReference w:id="1"/>
      </w:r>
    </w:p>
    <w:p w14:paraId="78C86C04" w14:textId="0754A89E" w:rsidR="00C63860" w:rsidRPr="00C63860" w:rsidRDefault="2DC4F956" w:rsidP="004F6F51">
      <w:pPr>
        <w:spacing w:line="276" w:lineRule="auto"/>
        <w:rPr>
          <w:b/>
          <w:bCs/>
        </w:rPr>
      </w:pPr>
      <w:r w:rsidRPr="00C63860">
        <w:rPr>
          <w:b/>
          <w:bCs/>
          <w:color w:val="000000" w:themeColor="text1"/>
        </w:rPr>
        <w:t>Richard</w:t>
      </w:r>
      <w:r w:rsidR="00B21308" w:rsidRPr="00C63860">
        <w:rPr>
          <w:b/>
          <w:color w:val="000000" w:themeColor="text1"/>
        </w:rPr>
        <w:t xml:space="preserve"> Grieve</w:t>
      </w:r>
      <w:r w:rsidR="00EA3E50" w:rsidRPr="00C63860">
        <w:rPr>
          <w:b/>
          <w:color w:val="000000" w:themeColor="text1"/>
        </w:rPr>
        <w:t>,</w:t>
      </w:r>
      <w:r w:rsidR="001420A4" w:rsidRPr="00C63860">
        <w:rPr>
          <w:rFonts w:asciiTheme="minorHAnsi" w:hAnsiTheme="minorHAnsi" w:cstheme="minorBidi"/>
          <w:b/>
          <w:color w:val="000000" w:themeColor="text1"/>
          <w:vertAlign w:val="superscript"/>
        </w:rPr>
        <w:t>1</w:t>
      </w:r>
      <w:r w:rsidR="00483414" w:rsidRPr="00C63860">
        <w:rPr>
          <w:rFonts w:asciiTheme="minorHAnsi" w:hAnsiTheme="minorHAnsi" w:cstheme="minorBidi"/>
          <w:b/>
          <w:color w:val="000000" w:themeColor="text1"/>
        </w:rPr>
        <w:t>*</w:t>
      </w:r>
      <w:r w:rsidR="00B21308" w:rsidRPr="00C63860">
        <w:rPr>
          <w:b/>
          <w:color w:val="000000" w:themeColor="text1"/>
        </w:rPr>
        <w:t xml:space="preserve"> </w:t>
      </w:r>
      <w:r w:rsidRPr="00C63860">
        <w:rPr>
          <w:b/>
          <w:bCs/>
          <w:color w:val="000000" w:themeColor="text1"/>
        </w:rPr>
        <w:t>Andrew</w:t>
      </w:r>
      <w:r w:rsidR="00B21308" w:rsidRPr="00C63860">
        <w:rPr>
          <w:b/>
          <w:color w:val="000000" w:themeColor="text1"/>
        </w:rPr>
        <w:t xml:space="preserve"> Hutchings</w:t>
      </w:r>
      <w:r w:rsidR="00EA3E50" w:rsidRPr="00C63860">
        <w:rPr>
          <w:b/>
          <w:color w:val="000000" w:themeColor="text1"/>
        </w:rPr>
        <w:t>,</w:t>
      </w:r>
      <w:r w:rsidR="001420A4" w:rsidRPr="00C63860">
        <w:rPr>
          <w:rFonts w:asciiTheme="minorHAnsi" w:hAnsiTheme="minorHAnsi" w:cstheme="minorBidi"/>
          <w:b/>
          <w:color w:val="000000" w:themeColor="text1"/>
          <w:vertAlign w:val="superscript"/>
        </w:rPr>
        <w:t>1</w:t>
      </w:r>
      <w:r w:rsidR="00EA3E50" w:rsidRPr="00C63860">
        <w:rPr>
          <w:b/>
          <w:color w:val="000000" w:themeColor="text1"/>
        </w:rPr>
        <w:t xml:space="preserve"> </w:t>
      </w:r>
      <w:commentRangeStart w:id="2"/>
      <w:r w:rsidRPr="00C63860">
        <w:rPr>
          <w:b/>
          <w:bCs/>
          <w:color w:val="000000" w:themeColor="text1"/>
        </w:rPr>
        <w:t>Silvia</w:t>
      </w:r>
      <w:r w:rsidR="00B21308" w:rsidRPr="00C63860">
        <w:rPr>
          <w:b/>
          <w:color w:val="000000" w:themeColor="text1"/>
        </w:rPr>
        <w:t xml:space="preserve"> Moler</w:t>
      </w:r>
      <w:r w:rsidR="00E449E9" w:rsidRPr="00C63860">
        <w:rPr>
          <w:b/>
          <w:color w:val="000000" w:themeColor="text1"/>
        </w:rPr>
        <w:t>-</w:t>
      </w:r>
      <w:r w:rsidR="00B21308" w:rsidRPr="00C63860">
        <w:rPr>
          <w:b/>
          <w:color w:val="000000" w:themeColor="text1"/>
        </w:rPr>
        <w:t>Zapata</w:t>
      </w:r>
      <w:r w:rsidR="00EA3E50" w:rsidRPr="00C63860">
        <w:rPr>
          <w:b/>
          <w:color w:val="000000" w:themeColor="text1"/>
        </w:rPr>
        <w:t>,</w:t>
      </w:r>
      <w:commentRangeEnd w:id="2"/>
      <w:r w:rsidR="00554544" w:rsidRPr="00C63860">
        <w:rPr>
          <w:rStyle w:val="CommentReference"/>
        </w:rPr>
        <w:commentReference w:id="2"/>
      </w:r>
      <w:r w:rsidR="001420A4" w:rsidRPr="00C63860">
        <w:rPr>
          <w:rFonts w:asciiTheme="minorHAnsi" w:hAnsiTheme="minorHAnsi" w:cstheme="minorBidi"/>
          <w:b/>
          <w:color w:val="000000" w:themeColor="text1"/>
          <w:vertAlign w:val="superscript"/>
        </w:rPr>
        <w:t>1</w:t>
      </w:r>
      <w:r w:rsidR="00B21308" w:rsidRPr="00C63860">
        <w:rPr>
          <w:b/>
          <w:color w:val="000000" w:themeColor="text1"/>
        </w:rPr>
        <w:t xml:space="preserve"> </w:t>
      </w:r>
      <w:r w:rsidRPr="00C63860">
        <w:rPr>
          <w:b/>
          <w:bCs/>
          <w:color w:val="000000" w:themeColor="text1"/>
        </w:rPr>
        <w:t>Stephen</w:t>
      </w:r>
      <w:r w:rsidR="00B21308" w:rsidRPr="00C63860">
        <w:rPr>
          <w:b/>
          <w:color w:val="000000" w:themeColor="text1"/>
        </w:rPr>
        <w:t xml:space="preserve"> O</w:t>
      </w:r>
      <w:r w:rsidR="00C63860" w:rsidRPr="00C63860">
        <w:rPr>
          <w:b/>
          <w:color w:val="00B0F0"/>
        </w:rPr>
        <w:t>’</w:t>
      </w:r>
      <w:r w:rsidR="00B21308" w:rsidRPr="00C63860">
        <w:rPr>
          <w:b/>
          <w:color w:val="000000" w:themeColor="text1"/>
        </w:rPr>
        <w:t>Neill</w:t>
      </w:r>
      <w:r w:rsidR="00EA3E50" w:rsidRPr="00C63860">
        <w:rPr>
          <w:b/>
          <w:color w:val="000000" w:themeColor="text1"/>
        </w:rPr>
        <w:t>,</w:t>
      </w:r>
      <w:r w:rsidR="001420A4" w:rsidRPr="00C63860">
        <w:rPr>
          <w:rFonts w:asciiTheme="minorHAnsi" w:hAnsiTheme="minorHAnsi" w:cstheme="minorBidi"/>
          <w:b/>
          <w:color w:val="000000" w:themeColor="text1"/>
          <w:vertAlign w:val="superscript"/>
        </w:rPr>
        <w:t>1</w:t>
      </w:r>
      <w:r w:rsidR="00B21308" w:rsidRPr="00C63860">
        <w:rPr>
          <w:b/>
          <w:color w:val="000000" w:themeColor="text1"/>
        </w:rPr>
        <w:t xml:space="preserve"> </w:t>
      </w:r>
      <w:commentRangeStart w:id="3"/>
      <w:r w:rsidRPr="00C63860">
        <w:rPr>
          <w:b/>
          <w:bCs/>
          <w:color w:val="000000" w:themeColor="text1"/>
        </w:rPr>
        <w:t>David</w:t>
      </w:r>
      <w:r w:rsidR="00B21308" w:rsidRPr="00C63860">
        <w:rPr>
          <w:b/>
          <w:color w:val="000000" w:themeColor="text1"/>
        </w:rPr>
        <w:t xml:space="preserve"> Lugo</w:t>
      </w:r>
      <w:r w:rsidR="00E449E9" w:rsidRPr="00C63860">
        <w:rPr>
          <w:b/>
          <w:color w:val="000000" w:themeColor="text1"/>
        </w:rPr>
        <w:t>-</w:t>
      </w:r>
      <w:r w:rsidR="00B21308" w:rsidRPr="00C63860">
        <w:rPr>
          <w:b/>
          <w:color w:val="000000" w:themeColor="text1"/>
        </w:rPr>
        <w:t>Palacios</w:t>
      </w:r>
      <w:commentRangeEnd w:id="3"/>
      <w:r w:rsidR="00554544" w:rsidRPr="00C63860">
        <w:rPr>
          <w:rStyle w:val="CommentReference"/>
        </w:rPr>
        <w:commentReference w:id="3"/>
      </w:r>
      <w:r w:rsidR="00EA3E50" w:rsidRPr="00C63860">
        <w:rPr>
          <w:b/>
          <w:color w:val="000000" w:themeColor="text1"/>
        </w:rPr>
        <w:t>,</w:t>
      </w:r>
      <w:r w:rsidR="001420A4" w:rsidRPr="00C63860">
        <w:rPr>
          <w:rFonts w:asciiTheme="minorHAnsi" w:hAnsiTheme="minorHAnsi" w:cstheme="minorBidi"/>
          <w:b/>
          <w:color w:val="000000" w:themeColor="text1"/>
          <w:vertAlign w:val="superscript"/>
        </w:rPr>
        <w:t>1</w:t>
      </w:r>
      <w:r w:rsidR="00B21308" w:rsidRPr="00C63860">
        <w:rPr>
          <w:b/>
          <w:color w:val="000000" w:themeColor="text1"/>
        </w:rPr>
        <w:t xml:space="preserve"> </w:t>
      </w:r>
      <w:r w:rsidRPr="00C63860">
        <w:rPr>
          <w:b/>
          <w:bCs/>
          <w:color w:val="000000" w:themeColor="text1"/>
        </w:rPr>
        <w:t>Richard</w:t>
      </w:r>
      <w:r w:rsidR="00B21308" w:rsidRPr="00C63860">
        <w:rPr>
          <w:b/>
          <w:color w:val="000000" w:themeColor="text1"/>
        </w:rPr>
        <w:t xml:space="preserve"> Silverwood</w:t>
      </w:r>
      <w:r w:rsidR="00EA3E50" w:rsidRPr="00C63860">
        <w:rPr>
          <w:b/>
          <w:color w:val="000000" w:themeColor="text1"/>
        </w:rPr>
        <w:t>,</w:t>
      </w:r>
      <w:r w:rsidR="008E41EC" w:rsidRPr="00C63860">
        <w:rPr>
          <w:rFonts w:asciiTheme="minorHAnsi" w:hAnsiTheme="minorHAnsi" w:cstheme="minorBidi"/>
          <w:b/>
          <w:color w:val="000000" w:themeColor="text1"/>
          <w:vertAlign w:val="superscript"/>
        </w:rPr>
        <w:t>2</w:t>
      </w:r>
      <w:r w:rsidR="00B21308" w:rsidRPr="00C63860">
        <w:rPr>
          <w:b/>
          <w:color w:val="000000" w:themeColor="text1"/>
        </w:rPr>
        <w:t xml:space="preserve"> </w:t>
      </w:r>
      <w:r w:rsidRPr="00C63860">
        <w:rPr>
          <w:b/>
          <w:bCs/>
          <w:color w:val="000000" w:themeColor="text1"/>
        </w:rPr>
        <w:t>David</w:t>
      </w:r>
      <w:r w:rsidR="00B21308" w:rsidRPr="00C63860">
        <w:rPr>
          <w:b/>
          <w:color w:val="000000" w:themeColor="text1"/>
        </w:rPr>
        <w:t xml:space="preserve"> Cromwell</w:t>
      </w:r>
      <w:r w:rsidR="00EA3E50" w:rsidRPr="00C63860">
        <w:rPr>
          <w:b/>
          <w:color w:val="000000" w:themeColor="text1"/>
        </w:rPr>
        <w:t>,</w:t>
      </w:r>
      <w:r w:rsidR="001420A4" w:rsidRPr="00C63860">
        <w:rPr>
          <w:rFonts w:asciiTheme="minorHAnsi" w:hAnsiTheme="minorHAnsi" w:cstheme="minorBidi"/>
          <w:b/>
          <w:color w:val="000000" w:themeColor="text1"/>
          <w:vertAlign w:val="superscript"/>
        </w:rPr>
        <w:t>1</w:t>
      </w:r>
      <w:r w:rsidR="00B21308" w:rsidRPr="00C63860">
        <w:rPr>
          <w:b/>
          <w:color w:val="000000" w:themeColor="text1"/>
        </w:rPr>
        <w:t xml:space="preserve"> </w:t>
      </w:r>
      <w:commentRangeStart w:id="4"/>
      <w:r w:rsidR="7222B37D" w:rsidRPr="00C63860">
        <w:rPr>
          <w:b/>
          <w:bCs/>
          <w:color w:val="000000" w:themeColor="text1"/>
        </w:rPr>
        <w:t>To</w:t>
      </w:r>
      <w:r w:rsidR="004E7CAD" w:rsidRPr="00C63860">
        <w:rPr>
          <w:b/>
          <w:bCs/>
          <w:color w:val="000000" w:themeColor="text1"/>
        </w:rPr>
        <w:t>m</w:t>
      </w:r>
      <w:r w:rsidR="7222B37D" w:rsidRPr="00C63860">
        <w:rPr>
          <w:b/>
          <w:bCs/>
          <w:color w:val="000000" w:themeColor="text1"/>
        </w:rPr>
        <w:t>maso</w:t>
      </w:r>
      <w:r w:rsidR="00B21308" w:rsidRPr="00C63860">
        <w:rPr>
          <w:b/>
          <w:color w:val="000000" w:themeColor="text1"/>
        </w:rPr>
        <w:t xml:space="preserve"> Kircheis</w:t>
      </w:r>
      <w:commentRangeEnd w:id="4"/>
      <w:r w:rsidR="000B46CC" w:rsidRPr="00C63860">
        <w:rPr>
          <w:rStyle w:val="CommentReference"/>
        </w:rPr>
        <w:commentReference w:id="4"/>
      </w:r>
      <w:r w:rsidR="00EA3E50" w:rsidRPr="00C63860">
        <w:rPr>
          <w:b/>
          <w:color w:val="000000" w:themeColor="text1"/>
        </w:rPr>
        <w:t>,</w:t>
      </w:r>
      <w:r w:rsidR="001420A4" w:rsidRPr="00C63860">
        <w:rPr>
          <w:rFonts w:asciiTheme="minorHAnsi" w:hAnsiTheme="minorHAnsi" w:cstheme="minorBidi"/>
          <w:b/>
          <w:color w:val="000000" w:themeColor="text1"/>
          <w:vertAlign w:val="superscript"/>
        </w:rPr>
        <w:t>1</w:t>
      </w:r>
      <w:r w:rsidR="00B21308" w:rsidRPr="00C63860">
        <w:rPr>
          <w:b/>
          <w:color w:val="000000" w:themeColor="text1"/>
        </w:rPr>
        <w:t xml:space="preserve"> </w:t>
      </w:r>
      <w:r w:rsidRPr="00C63860">
        <w:rPr>
          <w:b/>
          <w:bCs/>
          <w:color w:val="000000" w:themeColor="text1"/>
        </w:rPr>
        <w:t>Elizabeth</w:t>
      </w:r>
      <w:r w:rsidR="00B21308" w:rsidRPr="00C63860">
        <w:rPr>
          <w:b/>
          <w:color w:val="000000" w:themeColor="text1"/>
        </w:rPr>
        <w:t xml:space="preserve"> Silver</w:t>
      </w:r>
      <w:r w:rsidR="00EA3E50" w:rsidRPr="00C63860">
        <w:rPr>
          <w:b/>
          <w:color w:val="000000" w:themeColor="text1"/>
        </w:rPr>
        <w:t>,</w:t>
      </w:r>
      <w:r w:rsidR="00487F95" w:rsidRPr="00C63860">
        <w:rPr>
          <w:rFonts w:asciiTheme="minorHAnsi" w:hAnsiTheme="minorHAnsi" w:cstheme="minorBidi"/>
          <w:b/>
          <w:color w:val="000000" w:themeColor="text1"/>
          <w:vertAlign w:val="superscript"/>
        </w:rPr>
        <w:t>3</w:t>
      </w:r>
      <w:r w:rsidR="00B21308" w:rsidRPr="00C63860">
        <w:rPr>
          <w:b/>
          <w:color w:val="000000" w:themeColor="text1"/>
        </w:rPr>
        <w:t xml:space="preserve"> </w:t>
      </w:r>
      <w:r w:rsidRPr="00C63860">
        <w:rPr>
          <w:b/>
          <w:bCs/>
          <w:color w:val="000000" w:themeColor="text1"/>
        </w:rPr>
        <w:t>Claire</w:t>
      </w:r>
      <w:r w:rsidR="00B21308" w:rsidRPr="00C63860">
        <w:rPr>
          <w:b/>
          <w:color w:val="000000" w:themeColor="text1"/>
        </w:rPr>
        <w:t xml:space="preserve"> Snowdon</w:t>
      </w:r>
      <w:r w:rsidR="00EA3E50" w:rsidRPr="00C63860">
        <w:rPr>
          <w:b/>
          <w:color w:val="000000" w:themeColor="text1"/>
        </w:rPr>
        <w:t>,</w:t>
      </w:r>
      <w:r w:rsidR="005C4C24" w:rsidRPr="00C63860">
        <w:rPr>
          <w:rFonts w:asciiTheme="minorHAnsi" w:hAnsiTheme="minorHAnsi" w:cstheme="minorBidi"/>
          <w:b/>
          <w:color w:val="000000" w:themeColor="text1"/>
          <w:vertAlign w:val="superscript"/>
        </w:rPr>
        <w:t>4</w:t>
      </w:r>
      <w:r w:rsidR="00B21308" w:rsidRPr="00C63860">
        <w:rPr>
          <w:b/>
          <w:color w:val="000000" w:themeColor="text1"/>
        </w:rPr>
        <w:t xml:space="preserve"> </w:t>
      </w:r>
      <w:r w:rsidRPr="00C63860">
        <w:rPr>
          <w:b/>
          <w:bCs/>
          <w:color w:val="000000" w:themeColor="text1"/>
        </w:rPr>
        <w:t>Paul</w:t>
      </w:r>
      <w:r w:rsidR="00B21308" w:rsidRPr="00C63860">
        <w:rPr>
          <w:b/>
          <w:color w:val="000000" w:themeColor="text1"/>
        </w:rPr>
        <w:t xml:space="preserve"> Charlton</w:t>
      </w:r>
      <w:r w:rsidR="00EA3E50" w:rsidRPr="00C63860">
        <w:rPr>
          <w:b/>
          <w:color w:val="000000" w:themeColor="text1"/>
        </w:rPr>
        <w:t>,</w:t>
      </w:r>
      <w:r w:rsidR="00C97527" w:rsidRPr="00C63860">
        <w:rPr>
          <w:rFonts w:asciiTheme="minorHAnsi" w:hAnsiTheme="minorHAnsi" w:cstheme="minorBidi"/>
          <w:b/>
          <w:color w:val="000000" w:themeColor="text1"/>
          <w:vertAlign w:val="superscript"/>
        </w:rPr>
        <w:t>5</w:t>
      </w:r>
      <w:r w:rsidR="00B21308" w:rsidRPr="00C63860">
        <w:rPr>
          <w:b/>
          <w:color w:val="000000" w:themeColor="text1"/>
        </w:rPr>
        <w:t xml:space="preserve"> </w:t>
      </w:r>
      <w:r w:rsidRPr="00C63860">
        <w:rPr>
          <w:b/>
          <w:bCs/>
          <w:color w:val="000000" w:themeColor="text1"/>
        </w:rPr>
        <w:t>Geoff</w:t>
      </w:r>
      <w:r w:rsidR="00B21308" w:rsidRPr="00C63860">
        <w:rPr>
          <w:b/>
          <w:color w:val="000000" w:themeColor="text1"/>
        </w:rPr>
        <w:t xml:space="preserve"> Bellingan</w:t>
      </w:r>
      <w:r w:rsidR="00EA3E50" w:rsidRPr="00C63860">
        <w:rPr>
          <w:b/>
          <w:color w:val="000000" w:themeColor="text1"/>
        </w:rPr>
        <w:t>,</w:t>
      </w:r>
      <w:r w:rsidR="004D3280" w:rsidRPr="00C63860">
        <w:rPr>
          <w:rFonts w:asciiTheme="minorHAnsi" w:hAnsiTheme="minorHAnsi" w:cstheme="minorBidi"/>
          <w:b/>
          <w:color w:val="000000" w:themeColor="text1"/>
          <w:vertAlign w:val="superscript"/>
        </w:rPr>
        <w:t>6</w:t>
      </w:r>
      <w:r w:rsidR="00B21308" w:rsidRPr="00C63860">
        <w:rPr>
          <w:b/>
          <w:color w:val="000000" w:themeColor="text1"/>
        </w:rPr>
        <w:t xml:space="preserve"> </w:t>
      </w:r>
      <w:r w:rsidRPr="00C63860">
        <w:rPr>
          <w:b/>
          <w:bCs/>
          <w:color w:val="000000" w:themeColor="text1"/>
        </w:rPr>
        <w:t>Ramani</w:t>
      </w:r>
      <w:r w:rsidR="00B21308" w:rsidRPr="00C63860">
        <w:rPr>
          <w:b/>
          <w:color w:val="000000" w:themeColor="text1"/>
        </w:rPr>
        <w:t xml:space="preserve"> Moonesinghe</w:t>
      </w:r>
      <w:r w:rsidR="00EA3E50" w:rsidRPr="00C63860">
        <w:rPr>
          <w:b/>
          <w:color w:val="000000" w:themeColor="text1"/>
        </w:rPr>
        <w:t>,</w:t>
      </w:r>
      <w:r w:rsidR="004D3280" w:rsidRPr="00C63860">
        <w:rPr>
          <w:rFonts w:asciiTheme="minorHAnsi" w:hAnsiTheme="minorHAnsi" w:cstheme="minorBidi"/>
          <w:b/>
          <w:color w:val="000000" w:themeColor="text1"/>
          <w:vertAlign w:val="superscript"/>
        </w:rPr>
        <w:t>6</w:t>
      </w:r>
      <w:r w:rsidR="00B21308" w:rsidRPr="00C63860">
        <w:rPr>
          <w:b/>
          <w:color w:val="000000" w:themeColor="text1"/>
        </w:rPr>
        <w:t xml:space="preserve"> </w:t>
      </w:r>
      <w:r w:rsidRPr="00C63860">
        <w:rPr>
          <w:b/>
          <w:bCs/>
          <w:color w:val="000000" w:themeColor="text1"/>
        </w:rPr>
        <w:t>Luke</w:t>
      </w:r>
      <w:r w:rsidR="00B21308" w:rsidRPr="00C63860">
        <w:rPr>
          <w:b/>
          <w:color w:val="000000" w:themeColor="text1"/>
        </w:rPr>
        <w:t xml:space="preserve"> Keele</w:t>
      </w:r>
      <w:r w:rsidR="00EA3E50" w:rsidRPr="00C63860">
        <w:rPr>
          <w:b/>
          <w:color w:val="000000" w:themeColor="text1"/>
        </w:rPr>
        <w:t>,</w:t>
      </w:r>
      <w:r w:rsidR="004D3280" w:rsidRPr="00C63860">
        <w:rPr>
          <w:rFonts w:asciiTheme="minorHAnsi" w:hAnsiTheme="minorHAnsi" w:cstheme="minorBidi"/>
          <w:b/>
          <w:color w:val="000000" w:themeColor="text1"/>
          <w:vertAlign w:val="superscript"/>
        </w:rPr>
        <w:t>7</w:t>
      </w:r>
      <w:r w:rsidR="00B21308" w:rsidRPr="00C63860">
        <w:rPr>
          <w:b/>
          <w:color w:val="000000" w:themeColor="text1"/>
        </w:rPr>
        <w:t xml:space="preserve"> </w:t>
      </w:r>
      <w:r w:rsidRPr="00C63860">
        <w:rPr>
          <w:b/>
          <w:bCs/>
          <w:color w:val="000000" w:themeColor="text1"/>
        </w:rPr>
        <w:t>Neil</w:t>
      </w:r>
      <w:r w:rsidR="00B21308" w:rsidRPr="00C63860">
        <w:rPr>
          <w:b/>
          <w:color w:val="000000" w:themeColor="text1"/>
        </w:rPr>
        <w:t xml:space="preserve"> Smart</w:t>
      </w:r>
      <w:r w:rsidR="004D3280" w:rsidRPr="00C63860">
        <w:rPr>
          <w:rFonts w:asciiTheme="minorHAnsi" w:hAnsiTheme="minorHAnsi" w:cstheme="minorBidi"/>
          <w:b/>
          <w:color w:val="000000" w:themeColor="text1"/>
          <w:vertAlign w:val="superscript"/>
        </w:rPr>
        <w:t>8</w:t>
      </w:r>
      <w:r w:rsidR="00EA3E50" w:rsidRPr="00C63860">
        <w:rPr>
          <w:b/>
          <w:color w:val="000000" w:themeColor="text1"/>
        </w:rPr>
        <w:t xml:space="preserve"> and</w:t>
      </w:r>
      <w:r w:rsidR="00B21308" w:rsidRPr="00C63860">
        <w:rPr>
          <w:b/>
          <w:color w:val="000000" w:themeColor="text1"/>
        </w:rPr>
        <w:t xml:space="preserve"> </w:t>
      </w:r>
      <w:r w:rsidRPr="00C63860">
        <w:rPr>
          <w:b/>
          <w:bCs/>
          <w:color w:val="000000" w:themeColor="text1"/>
        </w:rPr>
        <w:t>Robert</w:t>
      </w:r>
      <w:r w:rsidR="00B21308" w:rsidRPr="00C63860">
        <w:rPr>
          <w:b/>
          <w:color w:val="000000" w:themeColor="text1"/>
        </w:rPr>
        <w:t xml:space="preserve"> Hinchliffe</w:t>
      </w:r>
      <w:r w:rsidR="004D3280" w:rsidRPr="00C63860">
        <w:rPr>
          <w:rFonts w:asciiTheme="minorHAnsi" w:hAnsiTheme="minorHAnsi" w:cstheme="minorBidi"/>
          <w:b/>
          <w:color w:val="000000" w:themeColor="text1"/>
          <w:vertAlign w:val="superscript"/>
        </w:rPr>
        <w:t>9</w:t>
      </w:r>
    </w:p>
    <w:p w14:paraId="3F99DA14" w14:textId="13E6FBE9" w:rsidR="00AC18AD" w:rsidRPr="00C63860" w:rsidRDefault="00AC18AD" w:rsidP="6BD362EA">
      <w:pPr>
        <w:spacing w:line="276" w:lineRule="auto"/>
        <w:rPr>
          <w:rStyle w:val="Hyperlink"/>
          <w:rFonts w:eastAsia="Calibri"/>
        </w:rPr>
      </w:pPr>
      <w:r w:rsidRPr="00C63860">
        <w:rPr>
          <w:rFonts w:asciiTheme="minorHAnsi" w:hAnsiTheme="minorHAnsi" w:cstheme="minorBidi"/>
          <w:color w:val="000000" w:themeColor="text1"/>
          <w:vertAlign w:val="superscript"/>
        </w:rPr>
        <w:t>1</w:t>
      </w:r>
      <w:r w:rsidR="00C63860" w:rsidRPr="00C63860">
        <w:rPr>
          <w:rFonts w:asciiTheme="minorHAnsi" w:hAnsiTheme="minorHAnsi" w:cstheme="minorBidi"/>
          <w:color w:val="00B0F0"/>
        </w:rPr>
        <w:t>Department of Health and Social Care</w:t>
      </w:r>
      <w:r w:rsidR="000F1686" w:rsidRPr="00C63860">
        <w:rPr>
          <w:rFonts w:asciiTheme="minorHAnsi" w:hAnsiTheme="minorHAnsi" w:cstheme="minorBidi"/>
          <w:color w:val="000000" w:themeColor="text1"/>
        </w:rPr>
        <w:t xml:space="preserve"> Services Research and Policy</w:t>
      </w:r>
      <w:r w:rsidRPr="00C63860">
        <w:rPr>
          <w:rFonts w:asciiTheme="minorHAnsi" w:hAnsiTheme="minorHAnsi" w:cstheme="minorBidi"/>
          <w:color w:val="000000" w:themeColor="text1"/>
        </w:rPr>
        <w:t xml:space="preserve">, </w:t>
      </w:r>
      <w:r w:rsidR="007D081E" w:rsidRPr="00C63860">
        <w:rPr>
          <w:rFonts w:asciiTheme="minorHAnsi" w:hAnsiTheme="minorHAnsi" w:cstheme="minorBidi"/>
          <w:color w:val="000000" w:themeColor="text1"/>
        </w:rPr>
        <w:t>London School of Hygiene and Tropical Medicine</w:t>
      </w:r>
      <w:r w:rsidR="00EB1CC9" w:rsidRPr="00C63860">
        <w:rPr>
          <w:rFonts w:asciiTheme="minorHAnsi" w:hAnsiTheme="minorHAnsi" w:cstheme="minorBidi"/>
          <w:color w:val="000000" w:themeColor="text1"/>
        </w:rPr>
        <w:t>, London, UK</w:t>
      </w:r>
    </w:p>
    <w:p w14:paraId="6A447C1F" w14:textId="77777777" w:rsidR="00C63860" w:rsidRPr="00C63860" w:rsidRDefault="008E41EC" w:rsidP="004F6F51">
      <w:pPr>
        <w:spacing w:line="276" w:lineRule="auto"/>
        <w:rPr>
          <w:rFonts w:asciiTheme="minorHAnsi" w:hAnsiTheme="minorHAnsi" w:cstheme="minorBidi"/>
          <w:color w:val="000000" w:themeColor="text1"/>
        </w:rPr>
      </w:pPr>
      <w:r w:rsidRPr="00C63860">
        <w:rPr>
          <w:rFonts w:asciiTheme="minorHAnsi" w:hAnsiTheme="minorHAnsi" w:cstheme="minorBidi"/>
          <w:color w:val="000000" w:themeColor="text1"/>
          <w:vertAlign w:val="superscript"/>
        </w:rPr>
        <w:t>2</w:t>
      </w:r>
      <w:r w:rsidR="00E75E8A" w:rsidRPr="00C63860">
        <w:rPr>
          <w:rFonts w:asciiTheme="minorHAnsi" w:hAnsiTheme="minorHAnsi" w:cstheme="minorBidi"/>
          <w:color w:val="000000" w:themeColor="text1"/>
        </w:rPr>
        <w:t xml:space="preserve">Centre for Longitudinal Studies, University College London, </w:t>
      </w:r>
      <w:r w:rsidR="00554544" w:rsidRPr="00C63860">
        <w:rPr>
          <w:rFonts w:asciiTheme="minorHAnsi" w:hAnsiTheme="minorHAnsi" w:cstheme="minorBidi"/>
          <w:color w:val="000000" w:themeColor="text1"/>
        </w:rPr>
        <w:t xml:space="preserve">London, </w:t>
      </w:r>
      <w:r w:rsidR="00E75E8A" w:rsidRPr="00C63860">
        <w:rPr>
          <w:rFonts w:asciiTheme="minorHAnsi" w:hAnsiTheme="minorHAnsi" w:cstheme="minorBidi"/>
          <w:color w:val="000000" w:themeColor="text1"/>
        </w:rPr>
        <w:t>UK</w:t>
      </w:r>
    </w:p>
    <w:p w14:paraId="410C7B3A" w14:textId="194AEBCB" w:rsidR="00487F95" w:rsidRPr="00C63860" w:rsidRDefault="005C4C24" w:rsidP="004F6F51">
      <w:pPr>
        <w:spacing w:line="276" w:lineRule="auto"/>
        <w:rPr>
          <w:rFonts w:ascii="Arial" w:eastAsia="Arial" w:hAnsi="Arial" w:cs="Arial"/>
        </w:rPr>
      </w:pPr>
      <w:commentRangeStart w:id="5"/>
      <w:r w:rsidRPr="00C63860">
        <w:rPr>
          <w:rFonts w:asciiTheme="minorHAnsi" w:hAnsiTheme="minorHAnsi" w:cstheme="minorBidi"/>
          <w:color w:val="000000" w:themeColor="text1"/>
          <w:vertAlign w:val="superscript"/>
        </w:rPr>
        <w:t>3</w:t>
      </w:r>
      <w:r w:rsidR="00FB1B7F" w:rsidRPr="00C63860">
        <w:rPr>
          <w:rFonts w:asciiTheme="minorHAnsi" w:hAnsiTheme="minorHAnsi" w:cstheme="minorBidi"/>
          <w:color w:val="000000" w:themeColor="text1"/>
        </w:rPr>
        <w:t>London School of Hygiene and Tropical Medicine</w:t>
      </w:r>
      <w:r w:rsidR="7E21C47F" w:rsidRPr="00C63860">
        <w:rPr>
          <w:rFonts w:asciiTheme="minorHAnsi" w:hAnsiTheme="minorHAnsi" w:cstheme="minorBidi"/>
          <w:color w:val="000000" w:themeColor="text1"/>
        </w:rPr>
        <w:t xml:space="preserve">, </w:t>
      </w:r>
      <w:r w:rsidR="00FB1B7F" w:rsidRPr="00C63860">
        <w:rPr>
          <w:rFonts w:asciiTheme="minorHAnsi" w:hAnsiTheme="minorHAnsi" w:cstheme="minorBidi"/>
          <w:color w:val="000000" w:themeColor="text1"/>
        </w:rPr>
        <w:t>London, UK</w:t>
      </w:r>
      <w:commentRangeEnd w:id="5"/>
      <w:r w:rsidR="00C275D7" w:rsidRPr="00C63860">
        <w:rPr>
          <w:rStyle w:val="CommentReference"/>
        </w:rPr>
        <w:commentReference w:id="5"/>
      </w:r>
    </w:p>
    <w:p w14:paraId="22179955" w14:textId="135AD1DA" w:rsidR="008E41EC" w:rsidRPr="00C63860" w:rsidRDefault="000B29B7" w:rsidP="004F6F51">
      <w:pPr>
        <w:spacing w:line="276" w:lineRule="auto"/>
        <w:rPr>
          <w:rFonts w:eastAsia="Calibri"/>
        </w:rPr>
      </w:pPr>
      <w:r w:rsidRPr="00C63860">
        <w:rPr>
          <w:rFonts w:asciiTheme="minorHAnsi" w:hAnsiTheme="minorHAnsi" w:cstheme="minorBidi"/>
          <w:color w:val="000000" w:themeColor="text1"/>
          <w:vertAlign w:val="superscript"/>
        </w:rPr>
        <w:t>4</w:t>
      </w:r>
      <w:r w:rsidRPr="00C63860">
        <w:rPr>
          <w:rFonts w:asciiTheme="minorHAnsi" w:hAnsiTheme="minorHAnsi" w:cstheme="minorBidi"/>
          <w:color w:val="000000" w:themeColor="text1"/>
        </w:rPr>
        <w:t>Department for Medical Statistics, London School of Hygiene and Tropical Medicine, London, UK</w:t>
      </w:r>
    </w:p>
    <w:p w14:paraId="32E3592D" w14:textId="45CFAE4D" w:rsidR="00C97527" w:rsidRPr="00C63860" w:rsidRDefault="00C97527" w:rsidP="004F6F51">
      <w:pPr>
        <w:spacing w:line="276" w:lineRule="auto"/>
        <w:rPr>
          <w:rStyle w:val="Hyperlink"/>
          <w:rFonts w:ascii="Arial" w:eastAsia="Arial" w:hAnsi="Arial" w:cs="Arial"/>
        </w:rPr>
      </w:pPr>
      <w:commentRangeStart w:id="6"/>
      <w:r w:rsidRPr="00C63860">
        <w:rPr>
          <w:rFonts w:asciiTheme="minorHAnsi" w:hAnsiTheme="minorHAnsi" w:cstheme="minorBidi"/>
          <w:color w:val="000000" w:themeColor="text1"/>
          <w:vertAlign w:val="superscript"/>
        </w:rPr>
        <w:t>5</w:t>
      </w:r>
      <w:r w:rsidRPr="00C63860">
        <w:rPr>
          <w:rFonts w:asciiTheme="minorHAnsi" w:hAnsiTheme="minorHAnsi" w:cstheme="minorBidi"/>
          <w:color w:val="000000" w:themeColor="text1"/>
        </w:rPr>
        <w:t xml:space="preserve">Patient Ambassador, </w:t>
      </w:r>
      <w:r w:rsidR="00F9593F" w:rsidRPr="00C63860">
        <w:rPr>
          <w:rFonts w:asciiTheme="minorHAnsi" w:hAnsiTheme="minorHAnsi" w:cstheme="minorBidi"/>
          <w:color w:val="000000" w:themeColor="text1"/>
        </w:rPr>
        <w:t>National Institute for Health and Care Research</w:t>
      </w:r>
      <w:r w:rsidRPr="00C63860">
        <w:rPr>
          <w:rFonts w:asciiTheme="minorHAnsi" w:hAnsiTheme="minorHAnsi" w:cstheme="minorBidi"/>
          <w:color w:val="000000" w:themeColor="text1"/>
        </w:rPr>
        <w:t>, UK</w:t>
      </w:r>
      <w:commentRangeEnd w:id="6"/>
      <w:r w:rsidR="008432B2" w:rsidRPr="00C63860">
        <w:rPr>
          <w:rStyle w:val="CommentReference"/>
        </w:rPr>
        <w:commentReference w:id="6"/>
      </w:r>
    </w:p>
    <w:p w14:paraId="04142130" w14:textId="64DD4F65" w:rsidR="004D3280" w:rsidRPr="00C63860" w:rsidRDefault="004D3280" w:rsidP="004F6F51">
      <w:pPr>
        <w:autoSpaceDE w:val="0"/>
        <w:autoSpaceDN w:val="0"/>
        <w:adjustRightInd w:val="0"/>
        <w:spacing w:line="276" w:lineRule="auto"/>
        <w:rPr>
          <w:rFonts w:eastAsia="Calibri"/>
        </w:rPr>
      </w:pPr>
      <w:commentRangeStart w:id="7"/>
      <w:r w:rsidRPr="00C63860">
        <w:rPr>
          <w:rFonts w:asciiTheme="minorHAnsi" w:hAnsiTheme="minorHAnsi" w:cstheme="minorBidi"/>
          <w:color w:val="000000" w:themeColor="text1"/>
          <w:vertAlign w:val="superscript"/>
        </w:rPr>
        <w:t>6</w:t>
      </w:r>
      <w:r w:rsidRPr="00C63860">
        <w:rPr>
          <w:rFonts w:asciiTheme="minorHAnsi" w:hAnsiTheme="minorHAnsi" w:cstheme="minorBidi"/>
          <w:color w:val="000000" w:themeColor="text1"/>
        </w:rPr>
        <w:t>University College London Hospitals, London, UK</w:t>
      </w:r>
      <w:commentRangeEnd w:id="7"/>
      <w:r w:rsidR="00322132" w:rsidRPr="00C63860">
        <w:rPr>
          <w:rStyle w:val="CommentReference"/>
        </w:rPr>
        <w:commentReference w:id="7"/>
      </w:r>
    </w:p>
    <w:p w14:paraId="6245AAA7" w14:textId="1537C443" w:rsidR="004D3280" w:rsidRPr="00C63860" w:rsidRDefault="004D3280" w:rsidP="004F6F51">
      <w:pPr>
        <w:spacing w:line="276" w:lineRule="auto"/>
        <w:rPr>
          <w:rStyle w:val="Hyperlink"/>
          <w:rFonts w:ascii="Arial" w:eastAsia="Arial" w:hAnsi="Arial" w:cs="Arial"/>
        </w:rPr>
      </w:pPr>
      <w:r w:rsidRPr="00C63860">
        <w:rPr>
          <w:rFonts w:asciiTheme="minorHAnsi" w:hAnsiTheme="minorHAnsi" w:cstheme="minorBidi"/>
          <w:color w:val="000000" w:themeColor="text1"/>
          <w:vertAlign w:val="superscript"/>
        </w:rPr>
        <w:t>7</w:t>
      </w:r>
      <w:r w:rsidRPr="00C63860">
        <w:rPr>
          <w:rFonts w:asciiTheme="minorHAnsi" w:hAnsiTheme="minorHAnsi" w:cstheme="minorBidi"/>
          <w:color w:val="000000" w:themeColor="text1"/>
        </w:rPr>
        <w:t>Department of Surgery, University of Pennsylvania, Philadelphia, P</w:t>
      </w:r>
      <w:r w:rsidR="00322132" w:rsidRPr="00C63860">
        <w:rPr>
          <w:rFonts w:asciiTheme="minorHAnsi" w:hAnsiTheme="minorHAnsi" w:cstheme="minorBidi"/>
          <w:color w:val="000000" w:themeColor="text1"/>
        </w:rPr>
        <w:t>A</w:t>
      </w:r>
      <w:r w:rsidRPr="00C63860">
        <w:rPr>
          <w:rFonts w:asciiTheme="minorHAnsi" w:hAnsiTheme="minorHAnsi" w:cstheme="minorBidi"/>
          <w:color w:val="000000" w:themeColor="text1"/>
        </w:rPr>
        <w:t>, USA</w:t>
      </w:r>
    </w:p>
    <w:p w14:paraId="3933DA77" w14:textId="177101A1" w:rsidR="00AC18AD" w:rsidRPr="00C63860" w:rsidRDefault="004D3280" w:rsidP="004F6F51">
      <w:pPr>
        <w:spacing w:line="276" w:lineRule="auto"/>
        <w:rPr>
          <w:rFonts w:asciiTheme="minorHAnsi" w:hAnsiTheme="minorHAnsi" w:cstheme="minorBidi"/>
          <w:color w:val="000000" w:themeColor="text1"/>
        </w:rPr>
      </w:pPr>
      <w:r w:rsidRPr="00C63860">
        <w:rPr>
          <w:rFonts w:asciiTheme="minorHAnsi" w:hAnsiTheme="minorHAnsi" w:cstheme="minorBidi"/>
          <w:color w:val="000000" w:themeColor="text1"/>
          <w:vertAlign w:val="superscript"/>
        </w:rPr>
        <w:t>8</w:t>
      </w:r>
      <w:r w:rsidR="00AD75DB" w:rsidRPr="00C63860">
        <w:rPr>
          <w:rFonts w:asciiTheme="minorHAnsi" w:hAnsiTheme="minorHAnsi" w:cstheme="minorBidi"/>
          <w:color w:val="000000" w:themeColor="text1"/>
        </w:rPr>
        <w:t>College of Medicine and Health</w:t>
      </w:r>
      <w:r w:rsidR="006E5CE8" w:rsidRPr="00C63860">
        <w:rPr>
          <w:rFonts w:asciiTheme="minorHAnsi" w:hAnsiTheme="minorHAnsi" w:cstheme="minorBidi"/>
          <w:color w:val="000000" w:themeColor="text1"/>
        </w:rPr>
        <w:t xml:space="preserve">, University of Exeter, </w:t>
      </w:r>
      <w:r w:rsidR="000F1686" w:rsidRPr="00C63860">
        <w:rPr>
          <w:rFonts w:asciiTheme="minorHAnsi" w:hAnsiTheme="minorHAnsi" w:cstheme="minorBidi"/>
          <w:color w:val="000000" w:themeColor="text1"/>
        </w:rPr>
        <w:t>Exeter, UK</w:t>
      </w:r>
    </w:p>
    <w:p w14:paraId="5472707D" w14:textId="77777777" w:rsidR="00C63860" w:rsidRPr="00C63860" w:rsidRDefault="004D3280" w:rsidP="004F6F51">
      <w:pPr>
        <w:spacing w:line="276" w:lineRule="auto"/>
        <w:rPr>
          <w:rFonts w:eastAsia="Calibri"/>
        </w:rPr>
      </w:pPr>
      <w:r w:rsidRPr="00C63860">
        <w:rPr>
          <w:rFonts w:asciiTheme="minorHAnsi" w:hAnsiTheme="minorHAnsi" w:cstheme="minorBidi"/>
          <w:color w:val="000000" w:themeColor="text1"/>
          <w:vertAlign w:val="superscript"/>
        </w:rPr>
        <w:t>9</w:t>
      </w:r>
      <w:r w:rsidR="00217A65" w:rsidRPr="00C63860">
        <w:rPr>
          <w:rFonts w:asciiTheme="minorHAnsi" w:hAnsiTheme="minorHAnsi" w:cstheme="minorBidi"/>
          <w:color w:val="000000" w:themeColor="text1"/>
        </w:rPr>
        <w:t xml:space="preserve">Bristol Surgical Trials Centre, </w:t>
      </w:r>
      <w:r w:rsidR="00FF47B1" w:rsidRPr="00C63860">
        <w:rPr>
          <w:rFonts w:asciiTheme="minorHAnsi" w:hAnsiTheme="minorHAnsi" w:cstheme="minorBidi"/>
          <w:color w:val="000000" w:themeColor="text1"/>
        </w:rPr>
        <w:t xml:space="preserve">University of </w:t>
      </w:r>
      <w:r w:rsidR="00EB1CC9" w:rsidRPr="00C63860">
        <w:rPr>
          <w:rFonts w:asciiTheme="minorHAnsi" w:hAnsiTheme="minorHAnsi" w:cstheme="minorBidi"/>
          <w:color w:val="000000" w:themeColor="text1"/>
        </w:rPr>
        <w:t>Bristol</w:t>
      </w:r>
      <w:r w:rsidR="00217A65" w:rsidRPr="00C63860">
        <w:rPr>
          <w:rFonts w:asciiTheme="minorHAnsi" w:hAnsiTheme="minorHAnsi" w:cstheme="minorBidi"/>
          <w:color w:val="000000" w:themeColor="text1"/>
        </w:rPr>
        <w:t>, Bristol, UK</w:t>
      </w:r>
    </w:p>
    <w:p w14:paraId="02BE3CD4" w14:textId="77777777" w:rsidR="00C63860" w:rsidRPr="00C63860" w:rsidRDefault="00322132" w:rsidP="004F6F51">
      <w:pPr>
        <w:spacing w:line="276" w:lineRule="auto"/>
        <w:rPr>
          <w:rFonts w:asciiTheme="minorHAnsi" w:hAnsiTheme="minorHAnsi" w:cstheme="minorHAnsi"/>
          <w:color w:val="000000" w:themeColor="text1"/>
        </w:rPr>
      </w:pPr>
      <w:r w:rsidRPr="00C63860">
        <w:rPr>
          <w:rFonts w:asciiTheme="minorHAnsi" w:hAnsiTheme="minorHAnsi" w:cstheme="minorHAnsi"/>
          <w:color w:val="000000" w:themeColor="text1"/>
        </w:rPr>
        <w:t>*Corresponding author</w:t>
      </w:r>
    </w:p>
    <w:p w14:paraId="70B51379" w14:textId="77777777" w:rsidR="00C63860" w:rsidRPr="00C63860" w:rsidRDefault="004C7613" w:rsidP="004C7613">
      <w:pPr>
        <w:spacing w:line="276" w:lineRule="auto"/>
        <w:rPr>
          <w:rFonts w:asciiTheme="minorHAnsi" w:hAnsiTheme="minorHAnsi" w:cstheme="minorHAnsi"/>
          <w:b/>
          <w:bCs/>
          <w:color w:val="000000" w:themeColor="text1"/>
        </w:rPr>
      </w:pPr>
      <w:r w:rsidRPr="00C63860">
        <w:rPr>
          <w:rFonts w:asciiTheme="minorHAnsi" w:hAnsiTheme="minorHAnsi" w:cstheme="minorHAnsi"/>
          <w:b/>
          <w:bCs/>
          <w:color w:val="000000" w:themeColor="text1"/>
        </w:rPr>
        <w:t>Disclosure of interests</w:t>
      </w:r>
    </w:p>
    <w:p w14:paraId="6C345793" w14:textId="77777777" w:rsidR="00C63860" w:rsidRPr="00C63860" w:rsidRDefault="004C7613" w:rsidP="004C7613">
      <w:pPr>
        <w:spacing w:line="276" w:lineRule="auto"/>
        <w:rPr>
          <w:rFonts w:asciiTheme="minorHAnsi" w:hAnsiTheme="minorHAnsi" w:cstheme="minorHAnsi"/>
          <w:b/>
          <w:bCs/>
          <w:color w:val="000000" w:themeColor="text1"/>
        </w:rPr>
      </w:pPr>
      <w:r w:rsidRPr="00C63860">
        <w:rPr>
          <w:rFonts w:asciiTheme="minorHAnsi" w:hAnsiTheme="minorHAnsi" w:cstheme="minorHAnsi"/>
          <w:b/>
          <w:bCs/>
          <w:color w:val="000000" w:themeColor="text1"/>
        </w:rPr>
        <w:t xml:space="preserve">Full disclosure of interests: </w:t>
      </w:r>
      <w:r w:rsidRPr="00C63860">
        <w:rPr>
          <w:rFonts w:asciiTheme="minorHAnsi" w:hAnsiTheme="minorHAnsi" w:cstheme="minorHAnsi"/>
          <w:color w:val="000000" w:themeColor="text1"/>
        </w:rPr>
        <w:t>Completed ICMJE forms for all authors, including all related interests, are available in the toolkit on the NIHR Journals Library report publication page at [DOI link].</w:t>
      </w:r>
    </w:p>
    <w:p w14:paraId="28A30F71" w14:textId="000F95F7" w:rsidR="00C63860" w:rsidRPr="00C63860" w:rsidRDefault="004C7613" w:rsidP="6871B26C">
      <w:pPr>
        <w:spacing w:line="276" w:lineRule="auto"/>
        <w:rPr>
          <w:rFonts w:asciiTheme="minorHAnsi" w:eastAsia="Calibri" w:hAnsiTheme="minorHAnsi" w:cstheme="minorBidi"/>
          <w:color w:val="000000" w:themeColor="text1"/>
        </w:rPr>
      </w:pPr>
      <w:r w:rsidRPr="00C63860">
        <w:rPr>
          <w:rFonts w:asciiTheme="minorHAnsi" w:hAnsiTheme="minorHAnsi" w:cstheme="minorHAnsi"/>
          <w:b/>
          <w:bCs/>
          <w:color w:val="000000" w:themeColor="text1"/>
        </w:rPr>
        <w:t xml:space="preserve">Primary conflicts of interest: </w:t>
      </w:r>
      <w:r w:rsidR="00082084" w:rsidRPr="00C63860">
        <w:rPr>
          <w:rFonts w:asciiTheme="minorHAnsi" w:hAnsiTheme="minorHAnsi" w:cstheme="minorBidi"/>
          <w:color w:val="000000" w:themeColor="text1"/>
        </w:rPr>
        <w:t xml:space="preserve">Richard Grieve </w:t>
      </w:r>
      <w:r w:rsidR="00FA2207" w:rsidRPr="00C63860">
        <w:rPr>
          <w:rFonts w:asciiTheme="minorHAnsi" w:hAnsiTheme="minorHAnsi" w:cstheme="minorBidi"/>
          <w:color w:val="000000" w:themeColor="text1"/>
        </w:rPr>
        <w:t>was</w:t>
      </w:r>
      <w:r w:rsidR="00082084" w:rsidRPr="00C63860">
        <w:rPr>
          <w:rFonts w:asciiTheme="minorHAnsi" w:hAnsiTheme="minorHAnsi" w:cstheme="minorBidi"/>
          <w:color w:val="000000" w:themeColor="text1"/>
        </w:rPr>
        <w:t xml:space="preserve"> a member of</w:t>
      </w:r>
      <w:r w:rsidR="004411C1" w:rsidRPr="00C63860">
        <w:rPr>
          <w:rFonts w:asciiTheme="minorHAnsi" w:hAnsiTheme="minorHAnsi" w:cstheme="minorBidi"/>
          <w:color w:val="000000" w:themeColor="text1"/>
        </w:rPr>
        <w:t xml:space="preserve"> the NIHR HTA commissioning </w:t>
      </w:r>
      <w:r w:rsidR="57A311D9" w:rsidRPr="00C63860">
        <w:rPr>
          <w:rFonts w:asciiTheme="minorHAnsi" w:hAnsiTheme="minorHAnsi" w:cstheme="minorBidi"/>
          <w:color w:val="000000" w:themeColor="text1"/>
        </w:rPr>
        <w:t>Committee</w:t>
      </w:r>
      <w:r w:rsidRPr="00C63860">
        <w:rPr>
          <w:rFonts w:asciiTheme="minorHAnsi" w:hAnsiTheme="minorHAnsi" w:cstheme="minorBidi"/>
          <w:color w:val="000000" w:themeColor="text1"/>
        </w:rPr>
        <w:t xml:space="preserve"> (</w:t>
      </w:r>
      <w:r w:rsidR="00FA2207" w:rsidRPr="00C63860">
        <w:rPr>
          <w:rFonts w:asciiTheme="minorHAnsi" w:hAnsiTheme="minorHAnsi" w:cstheme="minorBidi"/>
          <w:color w:val="000000" w:themeColor="text1"/>
        </w:rPr>
        <w:t>2017</w:t>
      </w:r>
      <w:r w:rsidR="00C63860" w:rsidRPr="00C63860">
        <w:rPr>
          <w:rFonts w:asciiTheme="minorHAnsi" w:hAnsiTheme="minorHAnsi" w:cstheme="minorBidi"/>
          <w:color w:val="00B0F0"/>
        </w:rPr>
        <w:t>–2</w:t>
      </w:r>
      <w:r w:rsidR="00FA2207" w:rsidRPr="00C63860">
        <w:rPr>
          <w:rFonts w:asciiTheme="minorHAnsi" w:hAnsiTheme="minorHAnsi" w:cstheme="minorBidi"/>
          <w:color w:val="000000" w:themeColor="text1"/>
        </w:rPr>
        <w:t>021</w:t>
      </w:r>
      <w:r w:rsidRPr="00C63860">
        <w:rPr>
          <w:rFonts w:asciiTheme="minorHAnsi" w:hAnsiTheme="minorHAnsi" w:cstheme="minorBidi"/>
          <w:color w:val="000000" w:themeColor="text1"/>
        </w:rPr>
        <w:t>)</w:t>
      </w:r>
      <w:r w:rsidR="6871B26C" w:rsidRPr="00C63860">
        <w:rPr>
          <w:rFonts w:asciiTheme="minorHAnsi" w:hAnsiTheme="minorHAnsi" w:cstheme="minorBidi"/>
          <w:color w:val="000000" w:themeColor="text1"/>
        </w:rPr>
        <w:t>.</w:t>
      </w:r>
      <w:r w:rsidRPr="00C63860">
        <w:rPr>
          <w:rFonts w:asciiTheme="minorHAnsi" w:hAnsiTheme="minorHAnsi" w:cstheme="minorBidi"/>
          <w:color w:val="000000" w:themeColor="text1"/>
        </w:rPr>
        <w:t xml:space="preserve"> </w:t>
      </w:r>
      <w:r w:rsidR="6871B26C" w:rsidRPr="00C63860">
        <w:rPr>
          <w:rFonts w:asciiTheme="minorHAnsi" w:eastAsia="Calibri" w:hAnsiTheme="minorHAnsi" w:cstheme="minorBidi"/>
          <w:color w:val="000000" w:themeColor="text1"/>
        </w:rPr>
        <w:t>Robert Hinchliffe was a member of the NIHR TCC Pilot.</w:t>
      </w:r>
      <w:r w:rsidRPr="00C63860">
        <w:rPr>
          <w:rFonts w:asciiTheme="minorHAnsi" w:eastAsia="Calibri" w:hAnsiTheme="minorHAnsi" w:cstheme="minorBidi"/>
          <w:color w:val="000000" w:themeColor="text1"/>
        </w:rPr>
        <w:t xml:space="preserve"> </w:t>
      </w:r>
      <w:r w:rsidR="6871B26C" w:rsidRPr="00C63860">
        <w:rPr>
          <w:rFonts w:asciiTheme="minorHAnsi" w:eastAsia="Calibri" w:hAnsiTheme="minorHAnsi" w:cstheme="minorBidi"/>
          <w:color w:val="000000" w:themeColor="text1"/>
        </w:rPr>
        <w:t xml:space="preserve">Paul Charlton was a member of the NIHR HTA Commissioning </w:t>
      </w:r>
      <w:r w:rsidR="4F23A1D8" w:rsidRPr="00C63860">
        <w:rPr>
          <w:rFonts w:asciiTheme="minorHAnsi" w:eastAsia="Calibri" w:hAnsiTheme="minorHAnsi" w:cstheme="minorBidi"/>
          <w:color w:val="000000" w:themeColor="text1"/>
        </w:rPr>
        <w:t xml:space="preserve">Committee </w:t>
      </w:r>
      <w:r w:rsidRPr="00C63860">
        <w:rPr>
          <w:rFonts w:asciiTheme="minorHAnsi" w:eastAsia="Calibri" w:hAnsiTheme="minorHAnsi" w:cstheme="minorBidi"/>
          <w:color w:val="000000" w:themeColor="text1"/>
        </w:rPr>
        <w:t>(</w:t>
      </w:r>
      <w:r w:rsidR="4F23A1D8" w:rsidRPr="00C63860">
        <w:rPr>
          <w:rFonts w:asciiTheme="minorHAnsi" w:eastAsia="Calibri" w:hAnsiTheme="minorHAnsi" w:cstheme="minorBidi"/>
          <w:color w:val="000000" w:themeColor="text1"/>
        </w:rPr>
        <w:t>2017</w:t>
      </w:r>
      <w:r w:rsidR="00C63860" w:rsidRPr="00C63860">
        <w:rPr>
          <w:rFonts w:asciiTheme="minorHAnsi" w:eastAsia="Calibri" w:hAnsiTheme="minorHAnsi" w:cstheme="minorBidi"/>
          <w:color w:val="00B0F0"/>
        </w:rPr>
        <w:t>–2</w:t>
      </w:r>
      <w:r w:rsidR="4F23A1D8" w:rsidRPr="00C63860">
        <w:rPr>
          <w:rFonts w:asciiTheme="minorHAnsi" w:eastAsia="Calibri" w:hAnsiTheme="minorHAnsi" w:cstheme="minorBidi"/>
          <w:color w:val="000000" w:themeColor="text1"/>
        </w:rPr>
        <w:t>021</w:t>
      </w:r>
      <w:r w:rsidRPr="00C63860">
        <w:rPr>
          <w:rFonts w:asciiTheme="minorHAnsi" w:eastAsia="Calibri" w:hAnsiTheme="minorHAnsi" w:cstheme="minorBidi"/>
          <w:color w:val="000000" w:themeColor="text1"/>
        </w:rPr>
        <w:t>)</w:t>
      </w:r>
      <w:r w:rsidR="4F23A1D8" w:rsidRPr="00C63860">
        <w:rPr>
          <w:rFonts w:asciiTheme="minorHAnsi" w:eastAsia="Calibri" w:hAnsiTheme="minorHAnsi" w:cstheme="minorBidi"/>
          <w:color w:val="000000" w:themeColor="text1"/>
        </w:rPr>
        <w:t>.</w:t>
      </w:r>
    </w:p>
    <w:p w14:paraId="3E40FE30" w14:textId="2F108AA1" w:rsidR="007167D0" w:rsidRPr="00C63860" w:rsidRDefault="00C15A24" w:rsidP="00070091">
      <w:pPr>
        <w:pStyle w:val="Heading1"/>
      </w:pPr>
      <w:bookmarkStart w:id="8" w:name="_Toc86672989"/>
      <w:r w:rsidRPr="00C63860">
        <w:t>Abstract</w:t>
      </w:r>
      <w:bookmarkEnd w:id="8"/>
    </w:p>
    <w:p w14:paraId="34873D86" w14:textId="77777777" w:rsidR="00C63860" w:rsidRPr="00C63860" w:rsidRDefault="008171D0" w:rsidP="008171D0">
      <w:pPr>
        <w:spacing w:line="276" w:lineRule="auto"/>
        <w:rPr>
          <w:rFonts w:asciiTheme="minorHAnsi" w:hAnsiTheme="minorHAnsi" w:cstheme="minorHAnsi"/>
          <w:b/>
          <w:bCs/>
          <w:sz w:val="36"/>
          <w:szCs w:val="36"/>
        </w:rPr>
      </w:pPr>
      <w:r w:rsidRPr="00C63860">
        <w:rPr>
          <w:rFonts w:asciiTheme="minorHAnsi" w:hAnsiTheme="minorHAnsi" w:cstheme="minorHAnsi"/>
          <w:b/>
          <w:bCs/>
          <w:sz w:val="36"/>
          <w:szCs w:val="36"/>
        </w:rPr>
        <w:t>Emergency Surgery OR NoT (ESORT)</w:t>
      </w:r>
    </w:p>
    <w:p w14:paraId="7183A7EB" w14:textId="7858BD35" w:rsidR="00C63860" w:rsidRPr="00C63860" w:rsidRDefault="008171D0" w:rsidP="008171D0">
      <w:pPr>
        <w:spacing w:line="276" w:lineRule="auto"/>
        <w:rPr>
          <w:b/>
          <w:bCs/>
        </w:rPr>
      </w:pPr>
      <w:r w:rsidRPr="00C63860">
        <w:rPr>
          <w:b/>
          <w:bCs/>
          <w:color w:val="000000" w:themeColor="text1"/>
        </w:rPr>
        <w:t>Richard</w:t>
      </w:r>
      <w:r w:rsidRPr="00C63860">
        <w:rPr>
          <w:b/>
          <w:color w:val="000000" w:themeColor="text1"/>
        </w:rPr>
        <w:t xml:space="preserve"> Grieve,</w:t>
      </w:r>
      <w:r w:rsidRPr="00C63860">
        <w:rPr>
          <w:rFonts w:asciiTheme="minorHAnsi" w:hAnsiTheme="minorHAnsi" w:cstheme="minorBidi"/>
          <w:b/>
          <w:color w:val="000000" w:themeColor="text1"/>
          <w:vertAlign w:val="superscript"/>
        </w:rPr>
        <w:t>1</w:t>
      </w:r>
      <w:r w:rsidRPr="00C63860">
        <w:rPr>
          <w:rFonts w:asciiTheme="minorHAnsi" w:hAnsiTheme="minorHAnsi" w:cstheme="minorBidi"/>
          <w:b/>
          <w:color w:val="000000" w:themeColor="text1"/>
        </w:rPr>
        <w:t>*</w:t>
      </w:r>
      <w:r w:rsidRPr="00C63860">
        <w:rPr>
          <w:b/>
          <w:color w:val="000000" w:themeColor="text1"/>
        </w:rPr>
        <w:t xml:space="preserve"> </w:t>
      </w:r>
      <w:r w:rsidRPr="00C63860">
        <w:rPr>
          <w:b/>
          <w:bCs/>
          <w:color w:val="000000" w:themeColor="text1"/>
        </w:rPr>
        <w:t>Andrew</w:t>
      </w:r>
      <w:r w:rsidRPr="00C63860">
        <w:rPr>
          <w:b/>
          <w:color w:val="000000" w:themeColor="text1"/>
        </w:rPr>
        <w:t xml:space="preserve"> Hutchings,</w:t>
      </w:r>
      <w:r w:rsidRPr="00C63860">
        <w:rPr>
          <w:rFonts w:asciiTheme="minorHAnsi" w:hAnsiTheme="minorHAnsi" w:cstheme="minorBidi"/>
          <w:b/>
          <w:color w:val="000000" w:themeColor="text1"/>
          <w:vertAlign w:val="superscript"/>
        </w:rPr>
        <w:t>1</w:t>
      </w:r>
      <w:r w:rsidRPr="00C63860">
        <w:rPr>
          <w:b/>
          <w:color w:val="000000" w:themeColor="text1"/>
        </w:rPr>
        <w:t xml:space="preserve"> </w:t>
      </w:r>
      <w:r w:rsidRPr="00C63860">
        <w:rPr>
          <w:b/>
          <w:bCs/>
          <w:color w:val="000000" w:themeColor="text1"/>
        </w:rPr>
        <w:t>Silvia</w:t>
      </w:r>
      <w:r w:rsidRPr="00C63860">
        <w:rPr>
          <w:b/>
          <w:color w:val="000000" w:themeColor="text1"/>
        </w:rPr>
        <w:t xml:space="preserve"> Moler-Zapata,</w:t>
      </w:r>
      <w:r w:rsidRPr="00C63860">
        <w:rPr>
          <w:rFonts w:asciiTheme="minorHAnsi" w:hAnsiTheme="minorHAnsi" w:cstheme="minorBidi"/>
          <w:b/>
          <w:color w:val="000000" w:themeColor="text1"/>
          <w:vertAlign w:val="superscript"/>
        </w:rPr>
        <w:t>1</w:t>
      </w:r>
      <w:r w:rsidRPr="00C63860">
        <w:rPr>
          <w:b/>
          <w:color w:val="000000" w:themeColor="text1"/>
        </w:rPr>
        <w:t xml:space="preserve"> </w:t>
      </w:r>
      <w:r w:rsidRPr="00C63860">
        <w:rPr>
          <w:b/>
          <w:bCs/>
          <w:color w:val="000000" w:themeColor="text1"/>
        </w:rPr>
        <w:t>Stephen</w:t>
      </w:r>
      <w:r w:rsidRPr="00C63860">
        <w:rPr>
          <w:b/>
          <w:color w:val="000000" w:themeColor="text1"/>
        </w:rPr>
        <w:t xml:space="preserve"> O</w:t>
      </w:r>
      <w:r w:rsidR="00C63860" w:rsidRPr="00C63860">
        <w:rPr>
          <w:b/>
          <w:color w:val="00B0F0"/>
        </w:rPr>
        <w:t>’</w:t>
      </w:r>
      <w:r w:rsidRPr="00C63860">
        <w:rPr>
          <w:b/>
          <w:color w:val="000000" w:themeColor="text1"/>
        </w:rPr>
        <w:t>Neill,</w:t>
      </w:r>
      <w:r w:rsidRPr="00C63860">
        <w:rPr>
          <w:rFonts w:asciiTheme="minorHAnsi" w:hAnsiTheme="minorHAnsi" w:cstheme="minorBidi"/>
          <w:b/>
          <w:color w:val="000000" w:themeColor="text1"/>
          <w:vertAlign w:val="superscript"/>
        </w:rPr>
        <w:t>1</w:t>
      </w:r>
      <w:r w:rsidRPr="00C63860">
        <w:rPr>
          <w:b/>
          <w:color w:val="000000" w:themeColor="text1"/>
        </w:rPr>
        <w:t xml:space="preserve"> </w:t>
      </w:r>
      <w:r w:rsidRPr="00C63860">
        <w:rPr>
          <w:b/>
          <w:bCs/>
          <w:color w:val="000000" w:themeColor="text1"/>
        </w:rPr>
        <w:t>David</w:t>
      </w:r>
      <w:r w:rsidRPr="00C63860">
        <w:rPr>
          <w:b/>
          <w:color w:val="000000" w:themeColor="text1"/>
        </w:rPr>
        <w:t xml:space="preserve"> Lugo-Palacios,</w:t>
      </w:r>
      <w:r w:rsidRPr="00C63860">
        <w:rPr>
          <w:rFonts w:asciiTheme="minorHAnsi" w:hAnsiTheme="minorHAnsi" w:cstheme="minorBidi"/>
          <w:b/>
          <w:color w:val="000000" w:themeColor="text1"/>
          <w:vertAlign w:val="superscript"/>
        </w:rPr>
        <w:t>1</w:t>
      </w:r>
      <w:r w:rsidRPr="00C63860">
        <w:rPr>
          <w:b/>
          <w:color w:val="000000" w:themeColor="text1"/>
        </w:rPr>
        <w:t xml:space="preserve"> </w:t>
      </w:r>
      <w:r w:rsidRPr="00C63860">
        <w:rPr>
          <w:b/>
          <w:bCs/>
          <w:color w:val="000000" w:themeColor="text1"/>
        </w:rPr>
        <w:t>Richard</w:t>
      </w:r>
      <w:r w:rsidRPr="00C63860">
        <w:rPr>
          <w:b/>
          <w:color w:val="000000" w:themeColor="text1"/>
        </w:rPr>
        <w:t xml:space="preserve"> Silverwood,</w:t>
      </w:r>
      <w:r w:rsidRPr="00C63860">
        <w:rPr>
          <w:rFonts w:asciiTheme="minorHAnsi" w:hAnsiTheme="minorHAnsi" w:cstheme="minorBidi"/>
          <w:b/>
          <w:color w:val="000000" w:themeColor="text1"/>
          <w:vertAlign w:val="superscript"/>
        </w:rPr>
        <w:t>2</w:t>
      </w:r>
      <w:r w:rsidRPr="00C63860">
        <w:rPr>
          <w:b/>
          <w:color w:val="000000" w:themeColor="text1"/>
        </w:rPr>
        <w:t xml:space="preserve"> </w:t>
      </w:r>
      <w:r w:rsidRPr="00C63860">
        <w:rPr>
          <w:b/>
          <w:bCs/>
          <w:color w:val="000000" w:themeColor="text1"/>
        </w:rPr>
        <w:t>David</w:t>
      </w:r>
      <w:r w:rsidRPr="00C63860">
        <w:rPr>
          <w:b/>
          <w:color w:val="000000" w:themeColor="text1"/>
        </w:rPr>
        <w:t xml:space="preserve"> Cromwell,</w:t>
      </w:r>
      <w:r w:rsidRPr="00C63860">
        <w:rPr>
          <w:rFonts w:asciiTheme="minorHAnsi" w:hAnsiTheme="minorHAnsi" w:cstheme="minorBidi"/>
          <w:b/>
          <w:color w:val="000000" w:themeColor="text1"/>
          <w:vertAlign w:val="superscript"/>
        </w:rPr>
        <w:t>1</w:t>
      </w:r>
      <w:r w:rsidRPr="00C63860">
        <w:rPr>
          <w:b/>
          <w:color w:val="000000" w:themeColor="text1"/>
        </w:rPr>
        <w:t xml:space="preserve"> </w:t>
      </w:r>
      <w:r w:rsidRPr="00C63860">
        <w:rPr>
          <w:b/>
          <w:bCs/>
          <w:color w:val="000000" w:themeColor="text1"/>
        </w:rPr>
        <w:t>Tommaso</w:t>
      </w:r>
      <w:r w:rsidRPr="00C63860">
        <w:rPr>
          <w:b/>
          <w:color w:val="000000" w:themeColor="text1"/>
        </w:rPr>
        <w:t xml:space="preserve"> Kircheis,</w:t>
      </w:r>
      <w:r w:rsidRPr="00C63860">
        <w:rPr>
          <w:rFonts w:asciiTheme="minorHAnsi" w:hAnsiTheme="minorHAnsi" w:cstheme="minorBidi"/>
          <w:b/>
          <w:color w:val="000000" w:themeColor="text1"/>
          <w:vertAlign w:val="superscript"/>
        </w:rPr>
        <w:t>1</w:t>
      </w:r>
      <w:r w:rsidRPr="00C63860">
        <w:rPr>
          <w:b/>
          <w:color w:val="000000" w:themeColor="text1"/>
        </w:rPr>
        <w:t xml:space="preserve"> </w:t>
      </w:r>
      <w:r w:rsidRPr="00C63860">
        <w:rPr>
          <w:b/>
          <w:bCs/>
          <w:color w:val="000000" w:themeColor="text1"/>
        </w:rPr>
        <w:t>Elizabeth</w:t>
      </w:r>
      <w:r w:rsidRPr="00C63860">
        <w:rPr>
          <w:b/>
          <w:color w:val="000000" w:themeColor="text1"/>
        </w:rPr>
        <w:t xml:space="preserve"> Silver,</w:t>
      </w:r>
      <w:r w:rsidRPr="00C63860">
        <w:rPr>
          <w:rFonts w:asciiTheme="minorHAnsi" w:hAnsiTheme="minorHAnsi" w:cstheme="minorBidi"/>
          <w:b/>
          <w:color w:val="000000" w:themeColor="text1"/>
          <w:vertAlign w:val="superscript"/>
        </w:rPr>
        <w:t>3</w:t>
      </w:r>
      <w:r w:rsidRPr="00C63860">
        <w:rPr>
          <w:b/>
          <w:color w:val="000000" w:themeColor="text1"/>
        </w:rPr>
        <w:t xml:space="preserve"> </w:t>
      </w:r>
      <w:r w:rsidRPr="00C63860">
        <w:rPr>
          <w:b/>
          <w:bCs/>
          <w:color w:val="000000" w:themeColor="text1"/>
        </w:rPr>
        <w:t>Claire</w:t>
      </w:r>
      <w:r w:rsidRPr="00C63860">
        <w:rPr>
          <w:b/>
          <w:color w:val="000000" w:themeColor="text1"/>
        </w:rPr>
        <w:t xml:space="preserve"> Snowdon,</w:t>
      </w:r>
      <w:r w:rsidRPr="00C63860">
        <w:rPr>
          <w:rFonts w:asciiTheme="minorHAnsi" w:hAnsiTheme="minorHAnsi" w:cstheme="minorBidi"/>
          <w:b/>
          <w:color w:val="000000" w:themeColor="text1"/>
          <w:vertAlign w:val="superscript"/>
        </w:rPr>
        <w:t>4</w:t>
      </w:r>
      <w:r w:rsidRPr="00C63860">
        <w:rPr>
          <w:b/>
          <w:color w:val="000000" w:themeColor="text1"/>
        </w:rPr>
        <w:t xml:space="preserve"> </w:t>
      </w:r>
      <w:r w:rsidRPr="00C63860">
        <w:rPr>
          <w:b/>
          <w:bCs/>
          <w:color w:val="000000" w:themeColor="text1"/>
        </w:rPr>
        <w:t>Paul</w:t>
      </w:r>
      <w:r w:rsidRPr="00C63860">
        <w:rPr>
          <w:b/>
          <w:color w:val="000000" w:themeColor="text1"/>
        </w:rPr>
        <w:t xml:space="preserve"> Charlton,</w:t>
      </w:r>
      <w:r w:rsidRPr="00C63860">
        <w:rPr>
          <w:rFonts w:asciiTheme="minorHAnsi" w:hAnsiTheme="minorHAnsi" w:cstheme="minorBidi"/>
          <w:b/>
          <w:color w:val="000000" w:themeColor="text1"/>
          <w:vertAlign w:val="superscript"/>
        </w:rPr>
        <w:t>5</w:t>
      </w:r>
      <w:r w:rsidRPr="00C63860">
        <w:rPr>
          <w:b/>
          <w:color w:val="000000" w:themeColor="text1"/>
        </w:rPr>
        <w:t xml:space="preserve"> </w:t>
      </w:r>
      <w:r w:rsidRPr="00C63860">
        <w:rPr>
          <w:b/>
          <w:bCs/>
          <w:color w:val="000000" w:themeColor="text1"/>
        </w:rPr>
        <w:t>Geoff</w:t>
      </w:r>
      <w:r w:rsidRPr="00C63860">
        <w:rPr>
          <w:b/>
          <w:color w:val="000000" w:themeColor="text1"/>
        </w:rPr>
        <w:t xml:space="preserve"> Bellingan,</w:t>
      </w:r>
      <w:r w:rsidRPr="00C63860">
        <w:rPr>
          <w:rFonts w:asciiTheme="minorHAnsi" w:hAnsiTheme="minorHAnsi" w:cstheme="minorBidi"/>
          <w:b/>
          <w:color w:val="000000" w:themeColor="text1"/>
          <w:vertAlign w:val="superscript"/>
        </w:rPr>
        <w:t>6</w:t>
      </w:r>
      <w:r w:rsidRPr="00C63860">
        <w:rPr>
          <w:b/>
          <w:color w:val="000000" w:themeColor="text1"/>
        </w:rPr>
        <w:t xml:space="preserve"> </w:t>
      </w:r>
      <w:r w:rsidRPr="00C63860">
        <w:rPr>
          <w:b/>
          <w:bCs/>
          <w:color w:val="000000" w:themeColor="text1"/>
        </w:rPr>
        <w:t>Ramani</w:t>
      </w:r>
      <w:r w:rsidRPr="00C63860">
        <w:rPr>
          <w:b/>
          <w:color w:val="000000" w:themeColor="text1"/>
        </w:rPr>
        <w:t xml:space="preserve"> Moonesinghe,</w:t>
      </w:r>
      <w:r w:rsidRPr="00C63860">
        <w:rPr>
          <w:rFonts w:asciiTheme="minorHAnsi" w:hAnsiTheme="minorHAnsi" w:cstheme="minorBidi"/>
          <w:b/>
          <w:color w:val="000000" w:themeColor="text1"/>
          <w:vertAlign w:val="superscript"/>
        </w:rPr>
        <w:t>6</w:t>
      </w:r>
      <w:r w:rsidRPr="00C63860">
        <w:rPr>
          <w:b/>
          <w:color w:val="000000" w:themeColor="text1"/>
        </w:rPr>
        <w:t xml:space="preserve"> </w:t>
      </w:r>
      <w:r w:rsidRPr="00C63860">
        <w:rPr>
          <w:b/>
          <w:bCs/>
          <w:color w:val="000000" w:themeColor="text1"/>
        </w:rPr>
        <w:t>Luke</w:t>
      </w:r>
      <w:r w:rsidRPr="00C63860">
        <w:rPr>
          <w:b/>
          <w:color w:val="000000" w:themeColor="text1"/>
        </w:rPr>
        <w:t xml:space="preserve"> Keele,</w:t>
      </w:r>
      <w:r w:rsidRPr="00C63860">
        <w:rPr>
          <w:rFonts w:asciiTheme="minorHAnsi" w:hAnsiTheme="minorHAnsi" w:cstheme="minorBidi"/>
          <w:b/>
          <w:color w:val="000000" w:themeColor="text1"/>
          <w:vertAlign w:val="superscript"/>
        </w:rPr>
        <w:t>7</w:t>
      </w:r>
      <w:r w:rsidRPr="00C63860">
        <w:rPr>
          <w:b/>
          <w:color w:val="000000" w:themeColor="text1"/>
        </w:rPr>
        <w:t xml:space="preserve"> </w:t>
      </w:r>
      <w:r w:rsidRPr="00C63860">
        <w:rPr>
          <w:b/>
          <w:bCs/>
          <w:color w:val="000000" w:themeColor="text1"/>
        </w:rPr>
        <w:t>Neil</w:t>
      </w:r>
      <w:r w:rsidRPr="00C63860">
        <w:rPr>
          <w:b/>
          <w:color w:val="000000" w:themeColor="text1"/>
        </w:rPr>
        <w:t xml:space="preserve"> Smart</w:t>
      </w:r>
      <w:r w:rsidRPr="00C63860">
        <w:rPr>
          <w:rFonts w:asciiTheme="minorHAnsi" w:hAnsiTheme="minorHAnsi" w:cstheme="minorBidi"/>
          <w:b/>
          <w:color w:val="000000" w:themeColor="text1"/>
          <w:vertAlign w:val="superscript"/>
        </w:rPr>
        <w:t>8</w:t>
      </w:r>
      <w:r w:rsidRPr="00C63860">
        <w:rPr>
          <w:b/>
          <w:color w:val="000000" w:themeColor="text1"/>
        </w:rPr>
        <w:t xml:space="preserve"> and </w:t>
      </w:r>
      <w:r w:rsidRPr="00C63860">
        <w:rPr>
          <w:b/>
          <w:bCs/>
          <w:color w:val="000000" w:themeColor="text1"/>
        </w:rPr>
        <w:t>Robert</w:t>
      </w:r>
      <w:r w:rsidRPr="00C63860">
        <w:rPr>
          <w:b/>
          <w:color w:val="000000" w:themeColor="text1"/>
        </w:rPr>
        <w:t xml:space="preserve"> Hinchliffe</w:t>
      </w:r>
      <w:r w:rsidRPr="00C63860">
        <w:rPr>
          <w:rFonts w:asciiTheme="minorHAnsi" w:hAnsiTheme="minorHAnsi" w:cstheme="minorBidi"/>
          <w:b/>
          <w:color w:val="000000" w:themeColor="text1"/>
          <w:vertAlign w:val="superscript"/>
        </w:rPr>
        <w:t>9</w:t>
      </w:r>
    </w:p>
    <w:p w14:paraId="2247369B" w14:textId="7B1CBD2E" w:rsidR="008171D0" w:rsidRPr="00C63860" w:rsidRDefault="008171D0" w:rsidP="008171D0">
      <w:pPr>
        <w:spacing w:line="276" w:lineRule="auto"/>
        <w:rPr>
          <w:rStyle w:val="Hyperlink"/>
          <w:rFonts w:eastAsia="Calibri"/>
        </w:rPr>
      </w:pPr>
      <w:r w:rsidRPr="00C63860">
        <w:rPr>
          <w:rFonts w:asciiTheme="minorHAnsi" w:hAnsiTheme="minorHAnsi" w:cstheme="minorBidi"/>
          <w:color w:val="000000" w:themeColor="text1"/>
          <w:vertAlign w:val="superscript"/>
        </w:rPr>
        <w:t>1</w:t>
      </w:r>
      <w:r w:rsidR="00C63860" w:rsidRPr="00C63860">
        <w:rPr>
          <w:rFonts w:asciiTheme="minorHAnsi" w:hAnsiTheme="minorHAnsi" w:cstheme="minorBidi"/>
          <w:color w:val="00B0F0"/>
        </w:rPr>
        <w:t>Department of Health and Social Care</w:t>
      </w:r>
      <w:r w:rsidRPr="00C63860">
        <w:rPr>
          <w:rFonts w:asciiTheme="minorHAnsi" w:hAnsiTheme="minorHAnsi" w:cstheme="minorBidi"/>
          <w:color w:val="000000" w:themeColor="text1"/>
        </w:rPr>
        <w:t xml:space="preserve"> Services Research and Policy, London School of Hygiene and Tropical Medicine, London, UK</w:t>
      </w:r>
    </w:p>
    <w:p w14:paraId="08D2EFB8" w14:textId="77777777" w:rsidR="00C63860" w:rsidRPr="00C63860" w:rsidRDefault="008171D0" w:rsidP="008171D0">
      <w:pPr>
        <w:spacing w:line="276" w:lineRule="auto"/>
        <w:rPr>
          <w:rFonts w:asciiTheme="minorHAnsi" w:hAnsiTheme="minorHAnsi" w:cstheme="minorBidi"/>
          <w:color w:val="000000" w:themeColor="text1"/>
        </w:rPr>
      </w:pPr>
      <w:r w:rsidRPr="00C63860">
        <w:rPr>
          <w:rFonts w:asciiTheme="minorHAnsi" w:hAnsiTheme="minorHAnsi" w:cstheme="minorBidi"/>
          <w:color w:val="000000" w:themeColor="text1"/>
          <w:vertAlign w:val="superscript"/>
        </w:rPr>
        <w:t>2</w:t>
      </w:r>
      <w:r w:rsidRPr="00C63860">
        <w:rPr>
          <w:rFonts w:asciiTheme="minorHAnsi" w:hAnsiTheme="minorHAnsi" w:cstheme="minorBidi"/>
          <w:color w:val="000000" w:themeColor="text1"/>
        </w:rPr>
        <w:t>Centre for Longitudinal Studies, University College London, London, UK</w:t>
      </w:r>
    </w:p>
    <w:p w14:paraId="142A6450" w14:textId="3C50F4FA" w:rsidR="008171D0" w:rsidRPr="00C63860" w:rsidRDefault="008171D0" w:rsidP="008171D0">
      <w:pPr>
        <w:spacing w:line="276" w:lineRule="auto"/>
        <w:rPr>
          <w:rFonts w:ascii="Arial" w:eastAsia="Arial" w:hAnsi="Arial" w:cs="Arial"/>
        </w:rPr>
      </w:pPr>
      <w:r w:rsidRPr="00C63860">
        <w:rPr>
          <w:rFonts w:asciiTheme="minorHAnsi" w:hAnsiTheme="minorHAnsi" w:cstheme="minorBidi"/>
          <w:color w:val="000000" w:themeColor="text1"/>
          <w:vertAlign w:val="superscript"/>
        </w:rPr>
        <w:t>3</w:t>
      </w:r>
      <w:r w:rsidRPr="00C63860">
        <w:rPr>
          <w:rFonts w:asciiTheme="minorHAnsi" w:hAnsiTheme="minorHAnsi" w:cstheme="minorBidi"/>
          <w:color w:val="000000" w:themeColor="text1"/>
        </w:rPr>
        <w:t>London School of Hygiene and Tropical Medicine, London, UK</w:t>
      </w:r>
    </w:p>
    <w:p w14:paraId="39571912" w14:textId="77777777" w:rsidR="008171D0" w:rsidRPr="00C63860" w:rsidRDefault="008171D0" w:rsidP="008171D0">
      <w:pPr>
        <w:spacing w:line="276" w:lineRule="auto"/>
        <w:rPr>
          <w:rFonts w:eastAsia="Calibri"/>
        </w:rPr>
      </w:pPr>
      <w:r w:rsidRPr="00C63860">
        <w:rPr>
          <w:rFonts w:asciiTheme="minorHAnsi" w:hAnsiTheme="minorHAnsi" w:cstheme="minorBidi"/>
          <w:color w:val="000000" w:themeColor="text1"/>
          <w:vertAlign w:val="superscript"/>
        </w:rPr>
        <w:t>4</w:t>
      </w:r>
      <w:r w:rsidRPr="00C63860">
        <w:rPr>
          <w:rFonts w:asciiTheme="minorHAnsi" w:hAnsiTheme="minorHAnsi" w:cstheme="minorBidi"/>
          <w:color w:val="000000" w:themeColor="text1"/>
        </w:rPr>
        <w:t>Department for Medical Statistics, London School of Hygiene and Tropical Medicine, London, UK</w:t>
      </w:r>
    </w:p>
    <w:p w14:paraId="5D69905E" w14:textId="77777777" w:rsidR="008171D0" w:rsidRPr="00C63860" w:rsidRDefault="008171D0" w:rsidP="008171D0">
      <w:pPr>
        <w:spacing w:line="276" w:lineRule="auto"/>
        <w:rPr>
          <w:rStyle w:val="Hyperlink"/>
          <w:rFonts w:ascii="Arial" w:eastAsia="Arial" w:hAnsi="Arial" w:cs="Arial"/>
        </w:rPr>
      </w:pPr>
      <w:r w:rsidRPr="00C63860">
        <w:rPr>
          <w:rFonts w:asciiTheme="minorHAnsi" w:hAnsiTheme="minorHAnsi" w:cstheme="minorBidi"/>
          <w:color w:val="000000" w:themeColor="text1"/>
          <w:vertAlign w:val="superscript"/>
        </w:rPr>
        <w:t>5</w:t>
      </w:r>
      <w:r w:rsidRPr="00C63860">
        <w:rPr>
          <w:rFonts w:asciiTheme="minorHAnsi" w:hAnsiTheme="minorHAnsi" w:cstheme="minorBidi"/>
          <w:color w:val="000000" w:themeColor="text1"/>
        </w:rPr>
        <w:t>Patient Ambassador, National Institute for Health and Care Research, UK</w:t>
      </w:r>
    </w:p>
    <w:p w14:paraId="35D45545" w14:textId="77777777" w:rsidR="008171D0" w:rsidRPr="00C63860" w:rsidRDefault="008171D0" w:rsidP="008171D0">
      <w:pPr>
        <w:autoSpaceDE w:val="0"/>
        <w:autoSpaceDN w:val="0"/>
        <w:adjustRightInd w:val="0"/>
        <w:spacing w:line="276" w:lineRule="auto"/>
        <w:rPr>
          <w:rFonts w:eastAsia="Calibri"/>
        </w:rPr>
      </w:pPr>
      <w:r w:rsidRPr="00C63860">
        <w:rPr>
          <w:rFonts w:asciiTheme="minorHAnsi" w:hAnsiTheme="minorHAnsi" w:cstheme="minorBidi"/>
          <w:color w:val="000000" w:themeColor="text1"/>
          <w:vertAlign w:val="superscript"/>
        </w:rPr>
        <w:t>6</w:t>
      </w:r>
      <w:r w:rsidRPr="00C63860">
        <w:rPr>
          <w:rFonts w:asciiTheme="minorHAnsi" w:hAnsiTheme="minorHAnsi" w:cstheme="minorBidi"/>
          <w:color w:val="000000" w:themeColor="text1"/>
        </w:rPr>
        <w:t>University College London Hospitals, London, UK</w:t>
      </w:r>
    </w:p>
    <w:p w14:paraId="2DD7F9DB" w14:textId="77777777" w:rsidR="008171D0" w:rsidRPr="00C63860" w:rsidRDefault="008171D0" w:rsidP="008171D0">
      <w:pPr>
        <w:spacing w:line="276" w:lineRule="auto"/>
        <w:rPr>
          <w:rStyle w:val="Hyperlink"/>
          <w:rFonts w:ascii="Arial" w:eastAsia="Arial" w:hAnsi="Arial" w:cs="Arial"/>
        </w:rPr>
      </w:pPr>
      <w:r w:rsidRPr="00C63860">
        <w:rPr>
          <w:rFonts w:asciiTheme="minorHAnsi" w:hAnsiTheme="minorHAnsi" w:cstheme="minorBidi"/>
          <w:color w:val="000000" w:themeColor="text1"/>
          <w:vertAlign w:val="superscript"/>
        </w:rPr>
        <w:t>7</w:t>
      </w:r>
      <w:r w:rsidRPr="00C63860">
        <w:rPr>
          <w:rFonts w:asciiTheme="minorHAnsi" w:hAnsiTheme="minorHAnsi" w:cstheme="minorBidi"/>
          <w:color w:val="000000" w:themeColor="text1"/>
        </w:rPr>
        <w:t>Department of Surgery, University of Pennsylvania, Philadelphia, PA, USA</w:t>
      </w:r>
    </w:p>
    <w:p w14:paraId="51990C77" w14:textId="77777777" w:rsidR="008171D0" w:rsidRPr="00C63860" w:rsidRDefault="008171D0" w:rsidP="008171D0">
      <w:pPr>
        <w:spacing w:line="276" w:lineRule="auto"/>
        <w:rPr>
          <w:rFonts w:asciiTheme="minorHAnsi" w:hAnsiTheme="minorHAnsi" w:cstheme="minorBidi"/>
          <w:color w:val="000000" w:themeColor="text1"/>
        </w:rPr>
      </w:pPr>
      <w:r w:rsidRPr="00C63860">
        <w:rPr>
          <w:rFonts w:asciiTheme="minorHAnsi" w:hAnsiTheme="minorHAnsi" w:cstheme="minorBidi"/>
          <w:color w:val="000000" w:themeColor="text1"/>
          <w:vertAlign w:val="superscript"/>
        </w:rPr>
        <w:t>8</w:t>
      </w:r>
      <w:r w:rsidRPr="00C63860">
        <w:rPr>
          <w:rFonts w:asciiTheme="minorHAnsi" w:hAnsiTheme="minorHAnsi" w:cstheme="minorBidi"/>
          <w:color w:val="000000" w:themeColor="text1"/>
        </w:rPr>
        <w:t>College of Medicine and Health, University of Exeter, Exeter, UK</w:t>
      </w:r>
    </w:p>
    <w:p w14:paraId="0DED4500" w14:textId="77777777" w:rsidR="00C63860" w:rsidRPr="00C63860" w:rsidRDefault="008171D0" w:rsidP="008171D0">
      <w:pPr>
        <w:spacing w:line="276" w:lineRule="auto"/>
        <w:rPr>
          <w:rFonts w:eastAsia="Calibri"/>
        </w:rPr>
      </w:pPr>
      <w:r w:rsidRPr="00C63860">
        <w:rPr>
          <w:rFonts w:asciiTheme="minorHAnsi" w:hAnsiTheme="minorHAnsi" w:cstheme="minorBidi"/>
          <w:color w:val="000000" w:themeColor="text1"/>
          <w:vertAlign w:val="superscript"/>
        </w:rPr>
        <w:t>9</w:t>
      </w:r>
      <w:r w:rsidRPr="00C63860">
        <w:rPr>
          <w:rFonts w:asciiTheme="minorHAnsi" w:hAnsiTheme="minorHAnsi" w:cstheme="minorBidi"/>
          <w:color w:val="000000" w:themeColor="text1"/>
        </w:rPr>
        <w:t>Bristol Surgical Trials Centre, University of Bristol, Bristol, UK</w:t>
      </w:r>
    </w:p>
    <w:p w14:paraId="6781AE61" w14:textId="77777777" w:rsidR="00C63860" w:rsidRPr="00C63860" w:rsidRDefault="008171D0" w:rsidP="008171D0">
      <w:pPr>
        <w:spacing w:line="276" w:lineRule="auto"/>
        <w:rPr>
          <w:rFonts w:asciiTheme="minorHAnsi" w:hAnsiTheme="minorHAnsi" w:cstheme="minorHAnsi"/>
          <w:color w:val="000000" w:themeColor="text1"/>
        </w:rPr>
      </w:pPr>
      <w:r w:rsidRPr="00C63860">
        <w:rPr>
          <w:rFonts w:asciiTheme="minorHAnsi" w:hAnsiTheme="minorHAnsi" w:cstheme="minorHAnsi"/>
          <w:color w:val="000000" w:themeColor="text1"/>
        </w:rPr>
        <w:t xml:space="preserve">*Corresponding author </w:t>
      </w:r>
      <w:r w:rsidRPr="00C63860">
        <w:rPr>
          <w:rFonts w:ascii="Arial" w:eastAsia="Arial" w:hAnsi="Arial" w:cs="Arial"/>
        </w:rPr>
        <w:t>richard.grieve@lshtm.ac.uk</w:t>
      </w:r>
    </w:p>
    <w:p w14:paraId="6B071DC7" w14:textId="627CC440" w:rsidR="00C63860" w:rsidRPr="00C63860" w:rsidRDefault="00A47539" w:rsidP="00D558A0">
      <w:pPr>
        <w:spacing w:after="240" w:line="276" w:lineRule="auto"/>
        <w:rPr>
          <w:rStyle w:val="normaltextrun"/>
          <w:rFonts w:asciiTheme="minorHAnsi" w:hAnsiTheme="minorHAnsi" w:cstheme="minorHAnsi"/>
        </w:rPr>
      </w:pPr>
      <w:r w:rsidRPr="00C63860">
        <w:rPr>
          <w:rFonts w:asciiTheme="minorHAnsi" w:eastAsiaTheme="majorEastAsia" w:hAnsiTheme="minorHAnsi" w:cstheme="minorHAnsi"/>
          <w:b/>
          <w:bCs/>
        </w:rPr>
        <w:t>Background</w:t>
      </w:r>
      <w:r w:rsidRPr="00C63860">
        <w:rPr>
          <w:rFonts w:asciiTheme="minorHAnsi" w:hAnsiTheme="minorHAnsi" w:cstheme="minorHAnsi"/>
          <w:b/>
          <w:bCs/>
        </w:rPr>
        <w:t>:</w:t>
      </w:r>
      <w:r w:rsidRPr="00C63860">
        <w:rPr>
          <w:rFonts w:asciiTheme="minorHAnsi" w:hAnsiTheme="minorHAnsi" w:cstheme="minorHAnsi"/>
        </w:rPr>
        <w:t xml:space="preserve"> </w:t>
      </w:r>
      <w:r w:rsidR="00B5058D" w:rsidRPr="00C63860">
        <w:rPr>
          <w:rFonts w:asciiTheme="minorHAnsi" w:hAnsiTheme="minorHAnsi" w:cstheme="minorHAnsi"/>
        </w:rPr>
        <w:t xml:space="preserve">Evidence is required on the effectiveness and cost-effectiveness of </w:t>
      </w:r>
      <w:r w:rsidR="005A1BFC" w:rsidRPr="00C63860">
        <w:rPr>
          <w:rStyle w:val="normaltextrun"/>
          <w:rFonts w:asciiTheme="minorHAnsi" w:hAnsiTheme="minorHAnsi" w:cstheme="minorHAnsi"/>
        </w:rPr>
        <w:t>emergency</w:t>
      </w:r>
      <w:r w:rsidR="00C63860" w:rsidRPr="00C63860">
        <w:rPr>
          <w:rStyle w:val="normaltextrun"/>
          <w:rFonts w:asciiTheme="minorHAnsi" w:hAnsiTheme="minorHAnsi" w:cstheme="minorHAnsi"/>
        </w:rPr>
        <w:t xml:space="preserve"> </w:t>
      </w:r>
      <w:r w:rsidR="005A1BFC" w:rsidRPr="00C63860">
        <w:rPr>
          <w:rStyle w:val="normaltextrun"/>
          <w:rFonts w:asciiTheme="minorHAnsi" w:hAnsiTheme="minorHAnsi" w:cstheme="minorHAnsi"/>
        </w:rPr>
        <w:t xml:space="preserve">surgery </w:t>
      </w:r>
      <w:r w:rsidR="00CA5C8C" w:rsidRPr="00C63860">
        <w:rPr>
          <w:rStyle w:val="normaltextrun"/>
          <w:rFonts w:asciiTheme="minorHAnsi" w:hAnsiTheme="minorHAnsi" w:cstheme="minorHAnsi"/>
        </w:rPr>
        <w:t>v</w:t>
      </w:r>
      <w:r w:rsidR="008D0B5F" w:rsidRPr="00C63860">
        <w:rPr>
          <w:rStyle w:val="normaltextrun"/>
          <w:rFonts w:asciiTheme="minorHAnsi" w:hAnsiTheme="minorHAnsi" w:cstheme="minorHAnsi"/>
        </w:rPr>
        <w:t>ersus</w:t>
      </w:r>
      <w:r w:rsidR="00CA5C8C" w:rsidRPr="00C63860">
        <w:rPr>
          <w:rStyle w:val="normaltextrun"/>
          <w:rFonts w:asciiTheme="minorHAnsi" w:hAnsiTheme="minorHAnsi" w:cstheme="minorHAnsi"/>
        </w:rPr>
        <w:t xml:space="preserve"> </w:t>
      </w:r>
      <w:r w:rsidR="005A1BFC" w:rsidRPr="00C63860">
        <w:rPr>
          <w:rFonts w:asciiTheme="minorHAnsi" w:hAnsiTheme="minorHAnsi" w:cstheme="minorHAnsi"/>
        </w:rPr>
        <w:t>non-emergency surgery strategies (</w:t>
      </w:r>
      <w:r w:rsidR="002A12C4" w:rsidRPr="00C63860">
        <w:rPr>
          <w:rFonts w:asciiTheme="minorHAnsi" w:hAnsiTheme="minorHAnsi" w:cstheme="minorHAnsi"/>
        </w:rPr>
        <w:t>including</w:t>
      </w:r>
      <w:r w:rsidR="005A1BFC" w:rsidRPr="00C63860">
        <w:rPr>
          <w:rFonts w:asciiTheme="minorHAnsi" w:hAnsiTheme="minorHAnsi" w:cstheme="minorHAnsi"/>
        </w:rPr>
        <w:t xml:space="preserve"> medical management, non-surgical procedures, or </w:t>
      </w:r>
      <w:r w:rsidR="000767C0" w:rsidRPr="00C63860">
        <w:rPr>
          <w:rFonts w:asciiTheme="minorHAnsi" w:hAnsiTheme="minorHAnsi" w:cstheme="minorHAnsi"/>
        </w:rPr>
        <w:t xml:space="preserve">elective </w:t>
      </w:r>
      <w:r w:rsidR="005A1BFC" w:rsidRPr="00C63860">
        <w:rPr>
          <w:rFonts w:asciiTheme="minorHAnsi" w:hAnsiTheme="minorHAnsi" w:cstheme="minorHAnsi"/>
        </w:rPr>
        <w:t xml:space="preserve">surgery) for patients </w:t>
      </w:r>
      <w:r w:rsidR="004977E9" w:rsidRPr="00C63860">
        <w:rPr>
          <w:rStyle w:val="normaltextrun"/>
          <w:rFonts w:asciiTheme="minorHAnsi" w:hAnsiTheme="minorHAnsi" w:cstheme="minorHAnsi"/>
        </w:rPr>
        <w:t>admi</w:t>
      </w:r>
      <w:r w:rsidR="00415127" w:rsidRPr="00C63860">
        <w:rPr>
          <w:rStyle w:val="normaltextrun"/>
          <w:rFonts w:asciiTheme="minorHAnsi" w:hAnsiTheme="minorHAnsi" w:cstheme="minorHAnsi"/>
        </w:rPr>
        <w:t>tted</w:t>
      </w:r>
      <w:r w:rsidR="004977E9" w:rsidRPr="00C63860">
        <w:rPr>
          <w:rStyle w:val="normaltextrun"/>
          <w:rFonts w:asciiTheme="minorHAnsi" w:hAnsiTheme="minorHAnsi" w:cstheme="minorHAnsi"/>
        </w:rPr>
        <w:t xml:space="preserve"> to hospital with common acute gastrointestinal conditions</w:t>
      </w:r>
      <w:r w:rsidR="005A1BFC" w:rsidRPr="00C63860">
        <w:rPr>
          <w:rStyle w:val="normaltextrun"/>
          <w:rFonts w:asciiTheme="minorHAnsi" w:hAnsiTheme="minorHAnsi" w:cstheme="minorHAnsi"/>
        </w:rPr>
        <w:t>.</w:t>
      </w:r>
    </w:p>
    <w:p w14:paraId="46628FBC" w14:textId="1F43119B" w:rsidR="00C55E92" w:rsidRPr="00C63860" w:rsidRDefault="00C70452" w:rsidP="00C14820">
      <w:pPr>
        <w:autoSpaceDE w:val="0"/>
        <w:autoSpaceDN w:val="0"/>
        <w:adjustRightInd w:val="0"/>
        <w:spacing w:after="240" w:line="276" w:lineRule="auto"/>
        <w:rPr>
          <w:rFonts w:asciiTheme="minorHAnsi" w:hAnsiTheme="minorHAnsi" w:cstheme="minorHAnsi"/>
        </w:rPr>
      </w:pPr>
      <w:bookmarkStart w:id="9" w:name="_Hlk86060823"/>
      <w:r w:rsidRPr="00C63860">
        <w:rPr>
          <w:rFonts w:asciiTheme="minorHAnsi" w:eastAsiaTheme="majorEastAsia" w:hAnsiTheme="minorHAnsi" w:cstheme="minorHAnsi"/>
          <w:b/>
          <w:bCs/>
        </w:rPr>
        <w:t>Objectives</w:t>
      </w:r>
      <w:r w:rsidRPr="00C63860">
        <w:rPr>
          <w:rFonts w:asciiTheme="minorHAnsi" w:hAnsiTheme="minorHAnsi" w:cstheme="minorHAnsi"/>
        </w:rPr>
        <w:t xml:space="preserve">: </w:t>
      </w:r>
      <w:bookmarkStart w:id="10" w:name="_Hlk86272086"/>
      <w:r w:rsidR="005174C5" w:rsidRPr="00C63860">
        <w:rPr>
          <w:rFonts w:asciiTheme="minorHAnsi" w:hAnsiTheme="minorHAnsi" w:cstheme="minorHAnsi"/>
        </w:rPr>
        <w:t>To evaluate</w:t>
      </w:r>
      <w:r w:rsidR="009F308E" w:rsidRPr="00C63860">
        <w:rPr>
          <w:rFonts w:asciiTheme="minorHAnsi" w:hAnsiTheme="minorHAnsi" w:cstheme="minorHAnsi"/>
        </w:rPr>
        <w:t xml:space="preserve"> the</w:t>
      </w:r>
      <w:r w:rsidR="005174C5" w:rsidRPr="00C63860">
        <w:rPr>
          <w:rFonts w:asciiTheme="minorHAnsi" w:hAnsiTheme="minorHAnsi" w:cstheme="minorHAnsi"/>
        </w:rPr>
        <w:t xml:space="preserve">: (1) </w:t>
      </w:r>
      <w:r w:rsidR="00FA2207" w:rsidRPr="00C63860">
        <w:rPr>
          <w:rFonts w:asciiTheme="minorHAnsi" w:hAnsiTheme="minorHAnsi" w:cstheme="minorHAnsi"/>
        </w:rPr>
        <w:t xml:space="preserve">relative </w:t>
      </w:r>
      <w:r w:rsidR="00C55E92" w:rsidRPr="00C63860">
        <w:rPr>
          <w:rFonts w:asciiTheme="minorHAnsi" w:hAnsiTheme="minorHAnsi" w:cstheme="minorHAnsi"/>
        </w:rPr>
        <w:t xml:space="preserve">effectiveness of </w:t>
      </w:r>
      <w:r w:rsidR="00CA5C8C" w:rsidRPr="00C63860">
        <w:rPr>
          <w:rFonts w:asciiTheme="minorHAnsi" w:hAnsiTheme="minorHAnsi" w:cstheme="minorHAnsi"/>
        </w:rPr>
        <w:t>th</w:t>
      </w:r>
      <w:r w:rsidR="008D2A42" w:rsidRPr="00C63860">
        <w:rPr>
          <w:rFonts w:asciiTheme="minorHAnsi" w:hAnsiTheme="minorHAnsi" w:cstheme="minorHAnsi"/>
        </w:rPr>
        <w:t>ese</w:t>
      </w:r>
      <w:r w:rsidR="00CA5C8C" w:rsidRPr="00C63860">
        <w:rPr>
          <w:rFonts w:asciiTheme="minorHAnsi" w:hAnsiTheme="minorHAnsi" w:cstheme="minorHAnsi"/>
        </w:rPr>
        <w:t xml:space="preserve"> </w:t>
      </w:r>
      <w:r w:rsidR="008D2A42" w:rsidRPr="00C63860">
        <w:rPr>
          <w:rFonts w:asciiTheme="minorHAnsi" w:hAnsiTheme="minorHAnsi" w:cstheme="minorHAnsi"/>
        </w:rPr>
        <w:t>two</w:t>
      </w:r>
      <w:r w:rsidR="00FA2207" w:rsidRPr="00C63860">
        <w:rPr>
          <w:rFonts w:asciiTheme="minorHAnsi" w:hAnsiTheme="minorHAnsi" w:cstheme="minorHAnsi"/>
        </w:rPr>
        <w:t xml:space="preserve"> </w:t>
      </w:r>
      <w:r w:rsidR="00CA5C8C" w:rsidRPr="00C63860">
        <w:rPr>
          <w:rFonts w:asciiTheme="minorHAnsi" w:hAnsiTheme="minorHAnsi" w:cstheme="minorHAnsi"/>
        </w:rPr>
        <w:t xml:space="preserve">strategies </w:t>
      </w:r>
      <w:r w:rsidR="00C55E92" w:rsidRPr="00C63860">
        <w:rPr>
          <w:rFonts w:asciiTheme="minorHAnsi" w:hAnsiTheme="minorHAnsi" w:cstheme="minorHAnsi"/>
        </w:rPr>
        <w:t>for five common acute conditions presenting as emergency admissions</w:t>
      </w:r>
      <w:r w:rsidR="00C14820" w:rsidRPr="00C63860">
        <w:rPr>
          <w:rFonts w:asciiTheme="minorHAnsi" w:hAnsiTheme="minorHAnsi" w:cstheme="minorHAnsi"/>
        </w:rPr>
        <w:t xml:space="preserve">; (2) </w:t>
      </w:r>
      <w:r w:rsidR="00C55E92" w:rsidRPr="00C63860">
        <w:rPr>
          <w:rFonts w:asciiTheme="minorHAnsi" w:hAnsiTheme="minorHAnsi" w:cstheme="minorHAnsi"/>
        </w:rPr>
        <w:t>relative cost-effectiveness for five common acute conditions presenting as emergency admissions</w:t>
      </w:r>
      <w:r w:rsidR="00C14820" w:rsidRPr="00C63860">
        <w:rPr>
          <w:rFonts w:asciiTheme="minorHAnsi" w:hAnsiTheme="minorHAnsi" w:cstheme="minorHAnsi"/>
        </w:rPr>
        <w:t xml:space="preserve">; and (3) the </w:t>
      </w:r>
      <w:r w:rsidR="00FA2207" w:rsidRPr="00C63860">
        <w:rPr>
          <w:rFonts w:asciiTheme="minorHAnsi" w:hAnsiTheme="minorHAnsi" w:cstheme="minorHAnsi"/>
        </w:rPr>
        <w:t xml:space="preserve">relative </w:t>
      </w:r>
      <w:r w:rsidR="00C55E92" w:rsidRPr="00C63860">
        <w:rPr>
          <w:rFonts w:asciiTheme="minorHAnsi" w:hAnsiTheme="minorHAnsi" w:cstheme="minorHAnsi"/>
        </w:rPr>
        <w:t xml:space="preserve">clinical and cost-effectiveness of </w:t>
      </w:r>
      <w:r w:rsidR="00C251B3" w:rsidRPr="00C63860">
        <w:rPr>
          <w:rFonts w:asciiTheme="minorHAnsi" w:hAnsiTheme="minorHAnsi" w:cstheme="minorHAnsi"/>
        </w:rPr>
        <w:t xml:space="preserve">the </w:t>
      </w:r>
      <w:r w:rsidR="00A30DCC" w:rsidRPr="00C63860">
        <w:rPr>
          <w:rFonts w:asciiTheme="minorHAnsi" w:hAnsiTheme="minorHAnsi" w:cstheme="minorHAnsi"/>
        </w:rPr>
        <w:t xml:space="preserve">alternative </w:t>
      </w:r>
      <w:r w:rsidR="00C55E92" w:rsidRPr="00C63860">
        <w:rPr>
          <w:rFonts w:asciiTheme="minorHAnsi" w:hAnsiTheme="minorHAnsi" w:cstheme="minorHAnsi"/>
        </w:rPr>
        <w:t>strategies for specific patient subgroups.</w:t>
      </w:r>
    </w:p>
    <w:bookmarkEnd w:id="9"/>
    <w:bookmarkEnd w:id="10"/>
    <w:p w14:paraId="44378AA9" w14:textId="77777777" w:rsidR="00C63860" w:rsidRPr="00C63860" w:rsidRDefault="00A32FC1" w:rsidP="00D558A0">
      <w:pPr>
        <w:autoSpaceDE w:val="0"/>
        <w:autoSpaceDN w:val="0"/>
        <w:adjustRightInd w:val="0"/>
        <w:spacing w:after="240" w:line="276" w:lineRule="auto"/>
        <w:rPr>
          <w:rFonts w:asciiTheme="minorHAnsi" w:hAnsiTheme="minorHAnsi" w:cstheme="minorHAnsi"/>
        </w:rPr>
      </w:pPr>
      <w:r w:rsidRPr="00C63860">
        <w:rPr>
          <w:rFonts w:asciiTheme="minorHAnsi" w:eastAsiaTheme="majorEastAsia" w:hAnsiTheme="minorHAnsi" w:cstheme="minorHAnsi"/>
          <w:b/>
          <w:bCs/>
        </w:rPr>
        <w:lastRenderedPageBreak/>
        <w:t>Methods</w:t>
      </w:r>
      <w:r w:rsidR="00F55A49" w:rsidRPr="00C63860">
        <w:rPr>
          <w:rFonts w:asciiTheme="minorHAnsi" w:hAnsiTheme="minorHAnsi" w:cstheme="minorHAnsi"/>
        </w:rPr>
        <w:t>:</w:t>
      </w:r>
      <w:r w:rsidR="00AB6884" w:rsidRPr="00C63860">
        <w:rPr>
          <w:rFonts w:asciiTheme="minorHAnsi" w:hAnsiTheme="minorHAnsi" w:cstheme="minorHAnsi"/>
        </w:rPr>
        <w:t xml:space="preserve"> </w:t>
      </w:r>
      <w:r w:rsidR="00C55E92" w:rsidRPr="00C63860">
        <w:rPr>
          <w:rFonts w:asciiTheme="minorHAnsi" w:hAnsiTheme="minorHAnsi" w:cstheme="minorHAnsi"/>
        </w:rPr>
        <w:t>Records of emergency admissions with acute appendicitis, cholelithiasis, diverticular disease, abdominal wall hernia or intestinal obstruction to 175 acute hospitals in England between 1/4/2010 and 31/12/2019, were extracted from Hospital Episode Statistics</w:t>
      </w:r>
      <w:r w:rsidR="00156B85" w:rsidRPr="00C63860">
        <w:rPr>
          <w:rFonts w:asciiTheme="minorHAnsi" w:hAnsiTheme="minorHAnsi" w:cstheme="minorHAnsi"/>
        </w:rPr>
        <w:t xml:space="preserve"> </w:t>
      </w:r>
      <w:r w:rsidR="001F3B3F" w:rsidRPr="00C63860">
        <w:rPr>
          <w:rFonts w:asciiTheme="minorHAnsi" w:hAnsiTheme="minorHAnsi" w:cstheme="minorHAnsi"/>
        </w:rPr>
        <w:t>–</w:t>
      </w:r>
      <w:r w:rsidR="00156B85" w:rsidRPr="00C63860">
        <w:rPr>
          <w:rFonts w:asciiTheme="minorHAnsi" w:hAnsiTheme="minorHAnsi" w:cstheme="minorHAnsi"/>
        </w:rPr>
        <w:t xml:space="preserve"> </w:t>
      </w:r>
      <w:r w:rsidR="001F3B3F" w:rsidRPr="00C63860">
        <w:rPr>
          <w:rFonts w:asciiTheme="minorHAnsi" w:hAnsiTheme="minorHAnsi" w:cstheme="minorHAnsi"/>
        </w:rPr>
        <w:t xml:space="preserve">and </w:t>
      </w:r>
      <w:r w:rsidR="00156B85" w:rsidRPr="00C63860">
        <w:rPr>
          <w:rFonts w:asciiTheme="minorHAnsi" w:hAnsiTheme="minorHAnsi" w:cstheme="minorHAnsi"/>
        </w:rPr>
        <w:t xml:space="preserve">linked to mortality </w:t>
      </w:r>
      <w:r w:rsidR="00156B85" w:rsidRPr="00C63860">
        <w:rPr>
          <w:rFonts w:asciiTheme="minorHAnsi" w:hAnsiTheme="minorHAnsi" w:cstheme="minorHAnsi"/>
          <w:highlight w:val="magenta"/>
        </w:rPr>
        <w:t>data</w:t>
      </w:r>
      <w:r w:rsidR="00156B85" w:rsidRPr="00C63860">
        <w:rPr>
          <w:rFonts w:asciiTheme="minorHAnsi" w:hAnsiTheme="minorHAnsi" w:cstheme="minorHAnsi"/>
        </w:rPr>
        <w:t xml:space="preserve"> from the Office for National Statistics</w:t>
      </w:r>
      <w:r w:rsidR="00C55E92" w:rsidRPr="00C63860">
        <w:rPr>
          <w:rStyle w:val="normaltextrun"/>
          <w:rFonts w:asciiTheme="minorHAnsi" w:hAnsiTheme="minorHAnsi" w:cstheme="minorHAnsi"/>
        </w:rPr>
        <w:t>.</w:t>
      </w:r>
      <w:r w:rsidR="00C55E92" w:rsidRPr="00C63860">
        <w:rPr>
          <w:rFonts w:asciiTheme="minorHAnsi" w:hAnsiTheme="minorHAnsi" w:cstheme="minorHAnsi"/>
        </w:rPr>
        <w:t xml:space="preserve"> Eligibility was determined using </w:t>
      </w:r>
      <w:r w:rsidR="00C55E92" w:rsidRPr="00C63860">
        <w:rPr>
          <w:rFonts w:asciiTheme="minorHAnsi" w:hAnsiTheme="minorHAnsi" w:cstheme="minorHAnsi"/>
          <w:i/>
          <w:color w:val="00B0F0"/>
        </w:rPr>
        <w:t>International Classification of Diseases,</w:t>
      </w:r>
      <w:r w:rsidR="00C55E92" w:rsidRPr="00C63860">
        <w:rPr>
          <w:rFonts w:asciiTheme="minorHAnsi" w:hAnsiTheme="minorHAnsi" w:cstheme="minorHAnsi"/>
        </w:rPr>
        <w:t xml:space="preserve"> tenth revision diagnosis codes agreed by clinical panel consensus. Patients having </w:t>
      </w:r>
      <w:r w:rsidR="00156B85" w:rsidRPr="00C63860">
        <w:rPr>
          <w:rFonts w:asciiTheme="minorHAnsi" w:hAnsiTheme="minorHAnsi" w:cstheme="minorHAnsi"/>
        </w:rPr>
        <w:t xml:space="preserve">emergency surgery </w:t>
      </w:r>
      <w:r w:rsidR="00C55E92" w:rsidRPr="00C63860">
        <w:rPr>
          <w:rFonts w:asciiTheme="minorHAnsi" w:hAnsiTheme="minorHAnsi" w:cstheme="minorHAnsi"/>
        </w:rPr>
        <w:t xml:space="preserve">were identified </w:t>
      </w:r>
      <w:r w:rsidR="001A610D" w:rsidRPr="00C63860">
        <w:rPr>
          <w:rFonts w:asciiTheme="minorHAnsi" w:hAnsiTheme="minorHAnsi" w:cstheme="minorHAnsi"/>
        </w:rPr>
        <w:t>from</w:t>
      </w:r>
      <w:r w:rsidR="00C55E92" w:rsidRPr="00C63860">
        <w:rPr>
          <w:rFonts w:asciiTheme="minorHAnsi" w:hAnsiTheme="minorHAnsi" w:cstheme="minorHAnsi"/>
        </w:rPr>
        <w:t xml:space="preserve"> Office of Population Censuses and Surveys procedure codes.</w:t>
      </w:r>
    </w:p>
    <w:p w14:paraId="2AF6ED43" w14:textId="0ECCCDAD" w:rsidR="00C63860" w:rsidRPr="00C63860" w:rsidRDefault="00C55E92" w:rsidP="00D558A0">
      <w:pPr>
        <w:spacing w:after="240" w:line="276" w:lineRule="auto"/>
        <w:rPr>
          <w:rFonts w:asciiTheme="minorHAnsi" w:hAnsiTheme="minorHAnsi" w:cstheme="minorHAnsi"/>
        </w:rPr>
      </w:pPr>
      <w:r w:rsidRPr="00C63860">
        <w:rPr>
          <w:rStyle w:val="eop"/>
          <w:rFonts w:asciiTheme="minorHAnsi" w:hAnsiTheme="minorHAnsi" w:cstheme="minorHAnsi"/>
        </w:rPr>
        <w:t>The study addressed the potential for unmeasured confounding with an instrumental variable design</w:t>
      </w:r>
      <w:r w:rsidRPr="00C63860">
        <w:rPr>
          <w:rFonts w:asciiTheme="minorHAnsi" w:hAnsiTheme="minorHAnsi" w:cstheme="minorHAnsi"/>
        </w:rPr>
        <w:t xml:space="preserve">. The </w:t>
      </w:r>
      <w:r w:rsidR="00525797" w:rsidRPr="00C63860">
        <w:rPr>
          <w:rFonts w:asciiTheme="minorHAnsi" w:hAnsiTheme="minorHAnsi" w:cstheme="minorHAnsi"/>
        </w:rPr>
        <w:t xml:space="preserve">instrumental variable </w:t>
      </w:r>
      <w:r w:rsidRPr="00C63860">
        <w:rPr>
          <w:rFonts w:asciiTheme="minorHAnsi" w:hAnsiTheme="minorHAnsi" w:cstheme="minorHAnsi"/>
        </w:rPr>
        <w:t>was each hospital</w:t>
      </w:r>
      <w:r w:rsidR="00C63860" w:rsidRPr="00C63860">
        <w:rPr>
          <w:rFonts w:asciiTheme="minorHAnsi" w:hAnsiTheme="minorHAnsi" w:cstheme="minorHAnsi"/>
          <w:color w:val="00B0F0"/>
        </w:rPr>
        <w:t>’</w:t>
      </w:r>
      <w:r w:rsidRPr="00C63860">
        <w:rPr>
          <w:rFonts w:asciiTheme="minorHAnsi" w:hAnsiTheme="minorHAnsi" w:cstheme="minorHAnsi"/>
        </w:rPr>
        <w:t xml:space="preserve">s propensity to use </w:t>
      </w:r>
      <w:r w:rsidR="00525797" w:rsidRPr="00C63860">
        <w:rPr>
          <w:rFonts w:asciiTheme="minorHAnsi" w:hAnsiTheme="minorHAnsi" w:cstheme="minorHAnsi"/>
        </w:rPr>
        <w:t xml:space="preserve">emergency surgery </w:t>
      </w:r>
      <w:r w:rsidRPr="00C63860">
        <w:rPr>
          <w:rFonts w:asciiTheme="minorHAnsi" w:hAnsiTheme="minorHAnsi" w:cstheme="minorHAnsi"/>
        </w:rPr>
        <w:t xml:space="preserve">versus </w:t>
      </w:r>
      <w:r w:rsidR="00525797" w:rsidRPr="00C63860">
        <w:rPr>
          <w:rFonts w:asciiTheme="minorHAnsi" w:hAnsiTheme="minorHAnsi" w:cstheme="minorHAnsi"/>
        </w:rPr>
        <w:t xml:space="preserve">non-emergency surgery </w:t>
      </w:r>
      <w:r w:rsidRPr="00C63860">
        <w:rPr>
          <w:rFonts w:asciiTheme="minorHAnsi" w:hAnsiTheme="minorHAnsi" w:cstheme="minorHAnsi"/>
        </w:rPr>
        <w:t xml:space="preserve">strategies. The primary outcome was the </w:t>
      </w:r>
      <w:r w:rsidR="006F6056" w:rsidRPr="00C63860">
        <w:rPr>
          <w:rFonts w:asciiTheme="minorHAnsi" w:hAnsiTheme="minorHAnsi" w:cstheme="minorHAnsi"/>
          <w:color w:val="00B0F0"/>
          <w:highlight w:val="green"/>
        </w:rPr>
        <w:t>‘</w:t>
      </w:r>
      <w:r w:rsidR="006F6056" w:rsidRPr="00C63860">
        <w:rPr>
          <w:rFonts w:asciiTheme="minorHAnsi" w:hAnsiTheme="minorHAnsi" w:cstheme="minorHAnsi"/>
          <w:highlight w:val="green"/>
        </w:rPr>
        <w:t>number of days alive and out of hospital</w:t>
      </w:r>
      <w:r w:rsidR="006F6056" w:rsidRPr="00C63860">
        <w:rPr>
          <w:rFonts w:asciiTheme="minorHAnsi" w:hAnsiTheme="minorHAnsi" w:cstheme="minorHAnsi"/>
          <w:color w:val="00B0F0"/>
          <w:highlight w:val="green"/>
        </w:rPr>
        <w:t>’</w:t>
      </w:r>
      <w:r w:rsidRPr="00C63860">
        <w:rPr>
          <w:rFonts w:asciiTheme="minorHAnsi" w:hAnsiTheme="minorHAnsi" w:cstheme="minorHAnsi"/>
        </w:rPr>
        <w:t xml:space="preserve"> </w:t>
      </w:r>
      <w:r w:rsidR="00A65695" w:rsidRPr="00C63860">
        <w:rPr>
          <w:rFonts w:asciiTheme="minorHAnsi" w:hAnsiTheme="minorHAnsi" w:cstheme="minorHAnsi"/>
        </w:rPr>
        <w:t xml:space="preserve">(DAOH) </w:t>
      </w:r>
      <w:r w:rsidRPr="00C63860">
        <w:rPr>
          <w:rFonts w:asciiTheme="minorHAnsi" w:hAnsiTheme="minorHAnsi" w:cstheme="minorHAnsi"/>
        </w:rPr>
        <w:t xml:space="preserve">at 90 days. We reported the </w:t>
      </w:r>
      <w:r w:rsidR="00FA2207" w:rsidRPr="00C63860">
        <w:rPr>
          <w:rFonts w:asciiTheme="minorHAnsi" w:hAnsiTheme="minorHAnsi" w:cstheme="minorHAnsi"/>
        </w:rPr>
        <w:t xml:space="preserve">relative </w:t>
      </w:r>
      <w:r w:rsidRPr="00C63860">
        <w:rPr>
          <w:rFonts w:asciiTheme="minorHAnsi" w:hAnsiTheme="minorHAnsi" w:cstheme="minorHAnsi"/>
        </w:rPr>
        <w:t xml:space="preserve">effectiveness of </w:t>
      </w:r>
      <w:r w:rsidR="00525797" w:rsidRPr="00C63860">
        <w:rPr>
          <w:rFonts w:asciiTheme="minorHAnsi" w:hAnsiTheme="minorHAnsi" w:cstheme="minorHAnsi"/>
        </w:rPr>
        <w:t xml:space="preserve">the </w:t>
      </w:r>
      <w:r w:rsidR="00FA2207" w:rsidRPr="00C63860">
        <w:rPr>
          <w:rFonts w:asciiTheme="minorHAnsi" w:hAnsiTheme="minorHAnsi" w:cstheme="minorHAnsi"/>
        </w:rPr>
        <w:t>alternative</w:t>
      </w:r>
      <w:r w:rsidR="00525797" w:rsidRPr="00C63860">
        <w:rPr>
          <w:rFonts w:asciiTheme="minorHAnsi" w:hAnsiTheme="minorHAnsi" w:cstheme="minorHAnsi"/>
        </w:rPr>
        <w:t xml:space="preserve"> </w:t>
      </w:r>
      <w:r w:rsidRPr="00C63860">
        <w:rPr>
          <w:rFonts w:asciiTheme="minorHAnsi" w:hAnsiTheme="minorHAnsi" w:cstheme="minorHAnsi"/>
        </w:rPr>
        <w:t>strategies overall, and for pre-specified subgroups (age, number of comorbidities, and frailty level).</w:t>
      </w:r>
    </w:p>
    <w:p w14:paraId="4712B6F8" w14:textId="743DA1A4" w:rsidR="00C55E92" w:rsidRPr="00C63860" w:rsidRDefault="00C55E92" w:rsidP="6B69E4BD">
      <w:pPr>
        <w:pStyle w:val="paragraph"/>
        <w:spacing w:before="0" w:beforeAutospacing="0" w:after="240" w:afterAutospacing="0" w:line="276" w:lineRule="auto"/>
        <w:textAlignment w:val="baseline"/>
        <w:rPr>
          <w:rFonts w:asciiTheme="minorHAnsi" w:hAnsiTheme="minorHAnsi" w:cstheme="minorBidi"/>
          <w:sz w:val="22"/>
          <w:szCs w:val="22"/>
        </w:rPr>
      </w:pPr>
      <w:r w:rsidRPr="00C63860">
        <w:rPr>
          <w:rStyle w:val="normaltextrun"/>
          <w:rFonts w:asciiTheme="minorHAnsi" w:hAnsiTheme="minorHAnsi" w:cstheme="minorBidi"/>
          <w:sz w:val="22"/>
          <w:szCs w:val="22"/>
        </w:rPr>
        <w:t xml:space="preserve">The cost-effectiveness analyses used resource use and mortality from the linked </w:t>
      </w:r>
      <w:r w:rsidRPr="00C63860">
        <w:rPr>
          <w:rStyle w:val="normaltextrun"/>
          <w:rFonts w:asciiTheme="minorHAnsi" w:hAnsiTheme="minorHAnsi" w:cstheme="minorBidi"/>
          <w:sz w:val="22"/>
          <w:szCs w:val="22"/>
          <w:highlight w:val="magenta"/>
        </w:rPr>
        <w:t>data</w:t>
      </w:r>
      <w:r w:rsidRPr="00C63860">
        <w:rPr>
          <w:rStyle w:val="normaltextrun"/>
          <w:rFonts w:asciiTheme="minorHAnsi" w:hAnsiTheme="minorHAnsi" w:cstheme="minorBidi"/>
          <w:sz w:val="22"/>
          <w:szCs w:val="22"/>
        </w:rPr>
        <w:t xml:space="preserve"> to derive estimates of incremental costs, Quality-Adjusted </w:t>
      </w:r>
      <w:r w:rsidR="00C63860" w:rsidRPr="00C63860">
        <w:rPr>
          <w:rStyle w:val="normaltextrun"/>
          <w:rFonts w:asciiTheme="minorHAnsi" w:hAnsiTheme="minorHAnsi" w:cstheme="minorBidi"/>
          <w:color w:val="00B0F0"/>
          <w:sz w:val="22"/>
          <w:szCs w:val="22"/>
        </w:rPr>
        <w:t>Life-year</w:t>
      </w:r>
      <w:r w:rsidRPr="00C63860">
        <w:rPr>
          <w:rStyle w:val="normaltextrun"/>
          <w:rFonts w:asciiTheme="minorHAnsi" w:hAnsiTheme="minorHAnsi" w:cstheme="minorBidi"/>
          <w:sz w:val="22"/>
          <w:szCs w:val="22"/>
        </w:rPr>
        <w:t>s</w:t>
      </w:r>
      <w:r w:rsidR="00A65695" w:rsidRPr="00C63860">
        <w:rPr>
          <w:rStyle w:val="normaltextrun"/>
          <w:rFonts w:asciiTheme="minorHAnsi" w:hAnsiTheme="minorHAnsi" w:cstheme="minorBidi"/>
          <w:sz w:val="22"/>
          <w:szCs w:val="22"/>
        </w:rPr>
        <w:t xml:space="preserve"> (QALYs)</w:t>
      </w:r>
      <w:r w:rsidRPr="00C63860">
        <w:rPr>
          <w:rStyle w:val="normaltextrun"/>
          <w:rFonts w:asciiTheme="minorHAnsi" w:hAnsiTheme="minorHAnsi" w:cstheme="minorBidi"/>
          <w:sz w:val="22"/>
          <w:szCs w:val="22"/>
        </w:rPr>
        <w:t>, and incremental net monetary benefits (INBs) at one year.</w:t>
      </w:r>
    </w:p>
    <w:p w14:paraId="30780907" w14:textId="77777777" w:rsidR="00C63860" w:rsidRPr="00C63860" w:rsidRDefault="00724E7C" w:rsidP="6B69E4BD">
      <w:pPr>
        <w:autoSpaceDE w:val="0"/>
        <w:autoSpaceDN w:val="0"/>
        <w:adjustRightInd w:val="0"/>
        <w:spacing w:after="240" w:line="257" w:lineRule="auto"/>
        <w:rPr>
          <w:rFonts w:asciiTheme="minorHAnsi" w:hAnsiTheme="minorHAnsi" w:cstheme="minorBidi"/>
        </w:rPr>
      </w:pPr>
      <w:r w:rsidRPr="00C63860">
        <w:rPr>
          <w:rFonts w:asciiTheme="minorHAnsi" w:eastAsiaTheme="majorEastAsia" w:hAnsiTheme="minorHAnsi" w:cstheme="minorBidi"/>
          <w:b/>
          <w:bCs/>
        </w:rPr>
        <w:t>Results:</w:t>
      </w:r>
      <w:r w:rsidRPr="00C63860">
        <w:rPr>
          <w:rFonts w:asciiTheme="minorHAnsi" w:hAnsiTheme="minorHAnsi" w:cstheme="minorBidi"/>
        </w:rPr>
        <w:t xml:space="preserve"> </w:t>
      </w:r>
      <w:r w:rsidR="00C55E92" w:rsidRPr="00C63860">
        <w:rPr>
          <w:rFonts w:asciiTheme="minorHAnsi" w:hAnsiTheme="minorHAnsi" w:cstheme="minorBidi"/>
        </w:rPr>
        <w:t xml:space="preserve">Cohort sizes were: 268,144 (appendicitis), 240,977 (cholelithiasis), 138,869 (diverticular disease), 106,432 (hernia), and 133,073 (intestinal obstruction). Overall, average DAOHs at 90 days, costs and QALYs at one-year were similar following </w:t>
      </w:r>
      <w:r w:rsidR="00556C0D" w:rsidRPr="00C63860">
        <w:rPr>
          <w:rFonts w:asciiTheme="minorHAnsi" w:hAnsiTheme="minorHAnsi" w:cstheme="minorBidi"/>
        </w:rPr>
        <w:t xml:space="preserve">either </w:t>
      </w:r>
      <w:r w:rsidR="00C55E92" w:rsidRPr="00C63860">
        <w:rPr>
          <w:rFonts w:asciiTheme="minorHAnsi" w:hAnsiTheme="minorHAnsi" w:cstheme="minorBidi"/>
        </w:rPr>
        <w:t>strateg</w:t>
      </w:r>
      <w:r w:rsidR="00556C0D" w:rsidRPr="00C63860">
        <w:rPr>
          <w:rFonts w:asciiTheme="minorHAnsi" w:hAnsiTheme="minorHAnsi" w:cstheme="minorBidi"/>
        </w:rPr>
        <w:t>y,</w:t>
      </w:r>
      <w:r w:rsidR="00C55E92" w:rsidRPr="00C63860">
        <w:rPr>
          <w:rFonts w:asciiTheme="minorHAnsi" w:hAnsiTheme="minorHAnsi" w:cstheme="minorBidi"/>
        </w:rPr>
        <w:t xml:space="preserve"> after adjusting for confounding. </w:t>
      </w:r>
      <w:r w:rsidR="00C32C5F" w:rsidRPr="00C63860">
        <w:rPr>
          <w:rStyle w:val="normaltextrun"/>
          <w:shd w:val="clear" w:color="auto" w:fill="FFFFFF"/>
        </w:rPr>
        <w:t>For each of the five conditions, overall the 95% CIs around the INB estimates all included zero.</w:t>
      </w:r>
    </w:p>
    <w:p w14:paraId="60C33C35" w14:textId="72A87ED4" w:rsidR="00C63860" w:rsidRPr="00C63860" w:rsidRDefault="00C55E92" w:rsidP="6B69E4BD">
      <w:pPr>
        <w:autoSpaceDE w:val="0"/>
        <w:autoSpaceDN w:val="0"/>
        <w:adjustRightInd w:val="0"/>
        <w:spacing w:after="240" w:line="257" w:lineRule="auto"/>
        <w:rPr>
          <w:rFonts w:asciiTheme="minorHAnsi" w:hAnsiTheme="minorHAnsi" w:cstheme="minorBidi"/>
        </w:rPr>
      </w:pPr>
      <w:r w:rsidRPr="00C63860">
        <w:rPr>
          <w:rFonts w:asciiTheme="minorHAnsi" w:hAnsiTheme="minorHAnsi" w:cstheme="minorBidi"/>
        </w:rPr>
        <w:t xml:space="preserve">For patients with severe frailty, </w:t>
      </w:r>
      <w:r w:rsidR="00556C0D" w:rsidRPr="00C63860">
        <w:rPr>
          <w:rFonts w:asciiTheme="minorHAnsi" w:hAnsiTheme="minorHAnsi" w:cstheme="minorBidi"/>
        </w:rPr>
        <w:t xml:space="preserve">emergency surgery </w:t>
      </w:r>
      <w:r w:rsidRPr="00C63860">
        <w:rPr>
          <w:rFonts w:asciiTheme="minorHAnsi" w:hAnsiTheme="minorHAnsi" w:cstheme="minorBidi"/>
        </w:rPr>
        <w:t xml:space="preserve">led to reduced </w:t>
      </w:r>
      <w:r w:rsidR="00DA58E5" w:rsidRPr="00C63860">
        <w:rPr>
          <w:rFonts w:asciiTheme="minorHAnsi" w:hAnsiTheme="minorHAnsi" w:cstheme="minorBidi"/>
        </w:rPr>
        <w:t>DAOH</w:t>
      </w:r>
      <w:r w:rsidR="00E95E6C" w:rsidRPr="00C63860">
        <w:rPr>
          <w:rFonts w:asciiTheme="minorHAnsi" w:hAnsiTheme="minorHAnsi" w:cstheme="minorBidi"/>
        </w:rPr>
        <w:t xml:space="preserve">, </w:t>
      </w:r>
      <w:r w:rsidRPr="00C63860">
        <w:rPr>
          <w:rFonts w:asciiTheme="minorHAnsi" w:hAnsiTheme="minorHAnsi" w:cstheme="minorBidi"/>
        </w:rPr>
        <w:t>and was not cost-effective</w:t>
      </w:r>
      <w:r w:rsidR="00E95E6C" w:rsidRPr="00C63860">
        <w:rPr>
          <w:rFonts w:asciiTheme="minorHAnsi" w:hAnsiTheme="minorHAnsi" w:cstheme="minorBidi"/>
        </w:rPr>
        <w:t>,</w:t>
      </w:r>
      <w:r w:rsidRPr="00C63860">
        <w:rPr>
          <w:rFonts w:asciiTheme="minorHAnsi" w:hAnsiTheme="minorHAnsi" w:cstheme="minorBidi"/>
        </w:rPr>
        <w:t xml:space="preserve"> </w:t>
      </w:r>
      <w:r w:rsidRPr="00C63860">
        <w:rPr>
          <w:rFonts w:asciiTheme="minorHAnsi" w:hAnsiTheme="minorHAnsi" w:cstheme="minorBidi"/>
          <w:highlight w:val="magenta"/>
        </w:rPr>
        <w:t>compar</w:t>
      </w:r>
      <w:r w:rsidR="00FA2207" w:rsidRPr="00C63860">
        <w:rPr>
          <w:rFonts w:asciiTheme="minorHAnsi" w:hAnsiTheme="minorHAnsi" w:cstheme="minorBidi"/>
          <w:highlight w:val="magenta"/>
        </w:rPr>
        <w:t>ed</w:t>
      </w:r>
      <w:r w:rsidRPr="00C63860">
        <w:rPr>
          <w:rFonts w:asciiTheme="minorHAnsi" w:hAnsiTheme="minorHAnsi" w:cstheme="minorBidi"/>
          <w:highlight w:val="magenta"/>
        </w:rPr>
        <w:t xml:space="preserve"> to</w:t>
      </w:r>
      <w:r w:rsidRPr="00C63860">
        <w:rPr>
          <w:rFonts w:asciiTheme="minorHAnsi" w:hAnsiTheme="minorHAnsi" w:cstheme="minorBidi"/>
        </w:rPr>
        <w:t xml:space="preserve"> </w:t>
      </w:r>
      <w:r w:rsidR="00E95E6C" w:rsidRPr="00C63860">
        <w:rPr>
          <w:rFonts w:asciiTheme="minorHAnsi" w:hAnsiTheme="minorHAnsi" w:cstheme="minorBidi"/>
        </w:rPr>
        <w:t xml:space="preserve">non-emergency surgery, </w:t>
      </w:r>
      <w:r w:rsidR="6B69E4BD" w:rsidRPr="00C63860">
        <w:rPr>
          <w:rFonts w:eastAsia="Calibri"/>
        </w:rPr>
        <w:t>with INB estimates for appendicitis of -£18,727 (-£23,900 to -£13,600), cholelithiasis -£7,700 (-£13,000 to -£2,370), diverticular disease -£9,230 (-£24,300 to £5,860), hernia -£16,600 (-£21,100 to -£12,000), and intestinal obstruction -£19,300 (-£25,600 to -£13,000).</w:t>
      </w:r>
      <w:r w:rsidR="00C63860" w:rsidRPr="00C63860">
        <w:rPr>
          <w:rFonts w:eastAsia="Calibri"/>
        </w:rPr>
        <w:t xml:space="preserve"> </w:t>
      </w:r>
      <w:r w:rsidR="6B69E4BD" w:rsidRPr="00C63860">
        <w:rPr>
          <w:rFonts w:eastAsia="Calibri"/>
        </w:rPr>
        <w:t xml:space="preserve">For patients who were </w:t>
      </w:r>
      <w:r w:rsidR="00C63860" w:rsidRPr="00C63860">
        <w:rPr>
          <w:rFonts w:eastAsia="Calibri"/>
          <w:color w:val="00B0F0"/>
        </w:rPr>
        <w:t>‘</w:t>
      </w:r>
      <w:r w:rsidR="006F6056" w:rsidRPr="00C63860">
        <w:rPr>
          <w:rFonts w:eastAsia="Calibri"/>
        </w:rPr>
        <w:t>fit</w:t>
      </w:r>
      <w:r w:rsidR="00C63860" w:rsidRPr="00C63860">
        <w:rPr>
          <w:rFonts w:eastAsia="Calibri"/>
          <w:color w:val="00B0F0"/>
        </w:rPr>
        <w:t>’</w:t>
      </w:r>
      <w:r w:rsidR="00BE48E8" w:rsidRPr="00C63860">
        <w:rPr>
          <w:rFonts w:eastAsia="Calibri"/>
        </w:rPr>
        <w:t>,</w:t>
      </w:r>
      <w:r w:rsidR="6B69E4BD" w:rsidRPr="00C63860">
        <w:rPr>
          <w:rFonts w:eastAsia="Calibri"/>
        </w:rPr>
        <w:t xml:space="preserve"> ES was relatively cost-effective with estimated INBs of £5,180 (£684 to £9,680) for diverticular disease, £2,040 (£996 to £3,090) for hernia, £7,850 (£5,020 to £10,700) for intestinal obstruction, £369 (-£728 to £1,460) for appendicitis, and £718 (£294 to £1,140) for cholelithiasis.</w:t>
      </w:r>
      <w:r w:rsidR="00192874" w:rsidRPr="00C63860">
        <w:rPr>
          <w:rFonts w:asciiTheme="minorHAnsi" w:hAnsiTheme="minorHAnsi" w:cstheme="minorBidi"/>
        </w:rPr>
        <w:t>.</w:t>
      </w:r>
    </w:p>
    <w:p w14:paraId="696FF8B7" w14:textId="77777777" w:rsidR="00C63860" w:rsidRPr="00C63860" w:rsidRDefault="00C55E92" w:rsidP="00D558A0">
      <w:pPr>
        <w:spacing w:after="240" w:line="276" w:lineRule="auto"/>
        <w:rPr>
          <w:rStyle w:val="eop"/>
          <w:rFonts w:asciiTheme="minorHAnsi" w:hAnsiTheme="minorHAnsi" w:cstheme="minorHAnsi"/>
        </w:rPr>
      </w:pPr>
      <w:r w:rsidRPr="00C63860">
        <w:rPr>
          <w:rFonts w:asciiTheme="minorHAnsi" w:hAnsiTheme="minorHAnsi" w:cstheme="minorHAnsi"/>
        </w:rPr>
        <w:t xml:space="preserve">Public and Patient Involvement translation workshop participants emphasised that these findings should be made widely available to inform future decisions about </w:t>
      </w:r>
      <w:r w:rsidR="00B94A7A" w:rsidRPr="00C63860">
        <w:rPr>
          <w:rFonts w:asciiTheme="minorHAnsi" w:hAnsiTheme="minorHAnsi" w:cstheme="minorHAnsi"/>
        </w:rPr>
        <w:t>surgery</w:t>
      </w:r>
      <w:r w:rsidRPr="00C63860">
        <w:rPr>
          <w:rFonts w:asciiTheme="minorHAnsi" w:hAnsiTheme="minorHAnsi" w:cstheme="minorHAnsi"/>
        </w:rPr>
        <w:t>.</w:t>
      </w:r>
    </w:p>
    <w:p w14:paraId="4EA59CA8" w14:textId="3CE99E70" w:rsidR="00724E7C" w:rsidRPr="00C63860" w:rsidRDefault="00CA155E" w:rsidP="6B69E4BD">
      <w:pPr>
        <w:autoSpaceDE w:val="0"/>
        <w:autoSpaceDN w:val="0"/>
        <w:adjustRightInd w:val="0"/>
        <w:spacing w:after="240" w:line="276" w:lineRule="auto"/>
        <w:rPr>
          <w:rStyle w:val="normaltextrun"/>
          <w:rFonts w:asciiTheme="minorHAnsi" w:hAnsiTheme="minorHAnsi" w:cstheme="minorBidi"/>
        </w:rPr>
      </w:pPr>
      <w:r w:rsidRPr="00C63860">
        <w:rPr>
          <w:rFonts w:asciiTheme="minorHAnsi" w:eastAsiaTheme="majorEastAsia" w:hAnsiTheme="minorHAnsi" w:cstheme="minorBidi"/>
          <w:b/>
          <w:bCs/>
        </w:rPr>
        <w:t>Limitations</w:t>
      </w:r>
      <w:r w:rsidR="00724E7C" w:rsidRPr="00C63860">
        <w:rPr>
          <w:rFonts w:asciiTheme="minorHAnsi" w:eastAsiaTheme="majorEastAsia" w:hAnsiTheme="minorHAnsi" w:cstheme="minorBidi"/>
        </w:rPr>
        <w:t>:</w:t>
      </w:r>
      <w:r w:rsidR="00724E7C" w:rsidRPr="00C63860">
        <w:rPr>
          <w:rFonts w:asciiTheme="minorHAnsi" w:hAnsiTheme="minorHAnsi" w:cstheme="minorBidi"/>
          <w:b/>
          <w:bCs/>
        </w:rPr>
        <w:t xml:space="preserve"> </w:t>
      </w:r>
      <w:r w:rsidR="00C55E92" w:rsidRPr="00C63860">
        <w:rPr>
          <w:rStyle w:val="normaltextrun"/>
          <w:rFonts w:asciiTheme="minorHAnsi" w:hAnsiTheme="minorHAnsi" w:cstheme="minorBidi"/>
        </w:rPr>
        <w:t xml:space="preserve">The </w:t>
      </w:r>
      <w:r w:rsidR="005E6E26" w:rsidRPr="00C63860">
        <w:rPr>
          <w:rStyle w:val="normaltextrun"/>
          <w:rFonts w:asciiTheme="minorHAnsi" w:hAnsiTheme="minorHAnsi" w:cstheme="minorBidi"/>
        </w:rPr>
        <w:t xml:space="preserve">instrumental </w:t>
      </w:r>
      <w:r w:rsidR="0029317C" w:rsidRPr="00C63860">
        <w:rPr>
          <w:rStyle w:val="normaltextrun"/>
          <w:rFonts w:asciiTheme="minorHAnsi" w:hAnsiTheme="minorHAnsi" w:cstheme="minorBidi"/>
        </w:rPr>
        <w:t xml:space="preserve">variable </w:t>
      </w:r>
      <w:r w:rsidR="00C55E92" w:rsidRPr="00C63860">
        <w:rPr>
          <w:rStyle w:val="normaltextrun"/>
          <w:rFonts w:asciiTheme="minorHAnsi" w:hAnsiTheme="minorHAnsi" w:cstheme="minorBidi"/>
        </w:rPr>
        <w:t xml:space="preserve">approach </w:t>
      </w:r>
      <w:r w:rsidR="00A966BF" w:rsidRPr="00C63860">
        <w:rPr>
          <w:rStyle w:val="normaltextrun"/>
          <w:rFonts w:asciiTheme="minorHAnsi" w:hAnsiTheme="minorHAnsi" w:cstheme="minorBidi"/>
        </w:rPr>
        <w:t>did not</w:t>
      </w:r>
      <w:r w:rsidR="00C55E92" w:rsidRPr="00C63860">
        <w:rPr>
          <w:rStyle w:val="normaltextrun"/>
          <w:rFonts w:asciiTheme="minorHAnsi" w:hAnsiTheme="minorHAnsi" w:cstheme="minorBidi"/>
        </w:rPr>
        <w:t xml:space="preserve"> eliminate the risk of confounding</w:t>
      </w:r>
      <w:r w:rsidR="00EE2847" w:rsidRPr="00C63860">
        <w:rPr>
          <w:rStyle w:val="normaltextrun"/>
          <w:rFonts w:asciiTheme="minorHAnsi" w:hAnsiTheme="minorHAnsi" w:cstheme="minorBidi"/>
        </w:rPr>
        <w:t xml:space="preserve">, and </w:t>
      </w:r>
      <w:r w:rsidR="00F31C35" w:rsidRPr="00C63860">
        <w:rPr>
          <w:rStyle w:val="normaltextrun"/>
          <w:rFonts w:asciiTheme="minorHAnsi" w:hAnsiTheme="minorHAnsi" w:cstheme="minorBidi"/>
        </w:rPr>
        <w:t xml:space="preserve">the acute hospital perspective excluded </w:t>
      </w:r>
      <w:r w:rsidR="00AF230C" w:rsidRPr="00C63860">
        <w:rPr>
          <w:rStyle w:val="normaltextrun"/>
          <w:rFonts w:asciiTheme="minorHAnsi" w:hAnsiTheme="minorHAnsi" w:cstheme="minorBidi"/>
        </w:rPr>
        <w:t>costs to other providers.</w:t>
      </w:r>
    </w:p>
    <w:p w14:paraId="70C6A2F0" w14:textId="77777777" w:rsidR="00C63860" w:rsidRPr="00C63860" w:rsidRDefault="00CA155E" w:rsidP="6B69E4BD">
      <w:pPr>
        <w:autoSpaceDE w:val="0"/>
        <w:autoSpaceDN w:val="0"/>
        <w:adjustRightInd w:val="0"/>
        <w:spacing w:after="240" w:line="276" w:lineRule="auto"/>
        <w:rPr>
          <w:rFonts w:asciiTheme="minorHAnsi" w:hAnsiTheme="minorHAnsi" w:cstheme="minorBidi"/>
        </w:rPr>
      </w:pPr>
      <w:r w:rsidRPr="00C63860">
        <w:rPr>
          <w:rFonts w:asciiTheme="minorHAnsi" w:eastAsiaTheme="majorEastAsia" w:hAnsiTheme="minorHAnsi" w:cstheme="minorBidi"/>
          <w:b/>
          <w:bCs/>
        </w:rPr>
        <w:t>Conclusions</w:t>
      </w:r>
      <w:r w:rsidR="00B96D4A" w:rsidRPr="00C63860">
        <w:rPr>
          <w:rFonts w:asciiTheme="minorHAnsi" w:eastAsiaTheme="majorEastAsia" w:hAnsiTheme="minorHAnsi" w:cstheme="minorBidi"/>
        </w:rPr>
        <w:t>:</w:t>
      </w:r>
      <w:r w:rsidR="00B96D4A" w:rsidRPr="00C63860">
        <w:rPr>
          <w:rFonts w:asciiTheme="minorHAnsi" w:hAnsiTheme="minorHAnsi" w:cstheme="minorBidi"/>
        </w:rPr>
        <w:t xml:space="preserve"> </w:t>
      </w:r>
      <w:r w:rsidR="00C55E92" w:rsidRPr="00C63860">
        <w:rPr>
          <w:rFonts w:asciiTheme="minorHAnsi" w:hAnsiTheme="minorHAnsi" w:cstheme="minorBidi"/>
        </w:rPr>
        <w:t>Neither strateg</w:t>
      </w:r>
      <w:r w:rsidR="00A966BF" w:rsidRPr="00C63860">
        <w:rPr>
          <w:rFonts w:asciiTheme="minorHAnsi" w:hAnsiTheme="minorHAnsi" w:cstheme="minorBidi"/>
        </w:rPr>
        <w:t>y</w:t>
      </w:r>
      <w:r w:rsidR="00C55E92" w:rsidRPr="00C63860">
        <w:rPr>
          <w:rFonts w:asciiTheme="minorHAnsi" w:hAnsiTheme="minorHAnsi" w:cstheme="minorBidi"/>
        </w:rPr>
        <w:t xml:space="preserve"> was more cost-effective overall. For patients with severe frailty, </w:t>
      </w:r>
      <w:r w:rsidR="005E6E26" w:rsidRPr="00C63860">
        <w:rPr>
          <w:rFonts w:asciiTheme="minorHAnsi" w:hAnsiTheme="minorHAnsi" w:cstheme="minorBidi"/>
        </w:rPr>
        <w:t xml:space="preserve">non-emergency surgery </w:t>
      </w:r>
      <w:r w:rsidR="00C55E92" w:rsidRPr="00C63860">
        <w:rPr>
          <w:rFonts w:asciiTheme="minorHAnsi" w:hAnsiTheme="minorHAnsi" w:cstheme="minorBidi"/>
        </w:rPr>
        <w:t xml:space="preserve">strategies were relatively cost-effective. For patients who were fit, </w:t>
      </w:r>
      <w:r w:rsidR="005E6E26" w:rsidRPr="00C63860">
        <w:rPr>
          <w:rFonts w:asciiTheme="minorHAnsi" w:hAnsiTheme="minorHAnsi" w:cstheme="minorBidi"/>
        </w:rPr>
        <w:t xml:space="preserve">emergency surgery </w:t>
      </w:r>
      <w:r w:rsidR="00C55E92" w:rsidRPr="00C63860">
        <w:rPr>
          <w:rFonts w:asciiTheme="minorHAnsi" w:hAnsiTheme="minorHAnsi" w:cstheme="minorBidi"/>
        </w:rPr>
        <w:t>w</w:t>
      </w:r>
      <w:r w:rsidR="002A12C4" w:rsidRPr="00C63860">
        <w:rPr>
          <w:rFonts w:asciiTheme="minorHAnsi" w:hAnsiTheme="minorHAnsi" w:cstheme="minorBidi"/>
        </w:rPr>
        <w:t xml:space="preserve">ere </w:t>
      </w:r>
      <w:r w:rsidR="00C55E92" w:rsidRPr="00C63860">
        <w:rPr>
          <w:rFonts w:asciiTheme="minorHAnsi" w:hAnsiTheme="minorHAnsi" w:cstheme="minorBidi"/>
        </w:rPr>
        <w:t>more cost-effective.</w:t>
      </w:r>
    </w:p>
    <w:p w14:paraId="270446A0" w14:textId="07A57002" w:rsidR="00C55E92" w:rsidRPr="00C63860" w:rsidRDefault="00CA155E" w:rsidP="6B69E4BD">
      <w:pPr>
        <w:pStyle w:val="paragraph"/>
        <w:spacing w:before="0" w:beforeAutospacing="0" w:after="240" w:afterAutospacing="0" w:line="276" w:lineRule="auto"/>
        <w:textAlignment w:val="baseline"/>
        <w:rPr>
          <w:rFonts w:asciiTheme="minorHAnsi" w:hAnsiTheme="minorHAnsi" w:cstheme="minorBidi"/>
          <w:sz w:val="22"/>
          <w:szCs w:val="22"/>
        </w:rPr>
      </w:pPr>
      <w:r w:rsidRPr="00C63860">
        <w:rPr>
          <w:rFonts w:asciiTheme="minorHAnsi" w:eastAsiaTheme="majorEastAsia" w:hAnsiTheme="minorHAnsi" w:cstheme="minorBidi"/>
          <w:b/>
          <w:bCs/>
          <w:sz w:val="22"/>
          <w:szCs w:val="22"/>
        </w:rPr>
        <w:t>Future work</w:t>
      </w:r>
      <w:r w:rsidR="003948AF" w:rsidRPr="00C63860">
        <w:rPr>
          <w:rFonts w:asciiTheme="minorHAnsi" w:eastAsiaTheme="majorEastAsia" w:hAnsiTheme="minorHAnsi" w:cstheme="minorBidi"/>
          <w:sz w:val="22"/>
          <w:szCs w:val="22"/>
        </w:rPr>
        <w:t>:</w:t>
      </w:r>
      <w:r w:rsidR="003948AF" w:rsidRPr="00C63860">
        <w:rPr>
          <w:rFonts w:asciiTheme="minorHAnsi" w:hAnsiTheme="minorHAnsi" w:cstheme="minorBidi"/>
          <w:b/>
          <w:bCs/>
          <w:sz w:val="22"/>
          <w:szCs w:val="22"/>
        </w:rPr>
        <w:t xml:space="preserve"> </w:t>
      </w:r>
      <w:r w:rsidR="00FA2207" w:rsidRPr="00C63860">
        <w:rPr>
          <w:rFonts w:asciiTheme="minorHAnsi" w:hAnsiTheme="minorHAnsi" w:cstheme="minorBidi"/>
          <w:sz w:val="22"/>
          <w:szCs w:val="22"/>
        </w:rPr>
        <w:t>For patients with multiple long-term conditions, further research is required to assess the benefits and costs of</w:t>
      </w:r>
      <w:r w:rsidR="00C63860" w:rsidRPr="00C63860">
        <w:rPr>
          <w:rFonts w:asciiTheme="minorHAnsi" w:hAnsiTheme="minorHAnsi" w:cstheme="minorBidi"/>
          <w:sz w:val="22"/>
          <w:szCs w:val="22"/>
        </w:rPr>
        <w:t xml:space="preserve"> </w:t>
      </w:r>
      <w:r w:rsidR="00FA2207" w:rsidRPr="00C63860">
        <w:rPr>
          <w:rFonts w:asciiTheme="minorHAnsi" w:hAnsiTheme="minorHAnsi" w:cstheme="minorBidi"/>
          <w:sz w:val="22"/>
          <w:szCs w:val="22"/>
        </w:rPr>
        <w:t>ES.</w:t>
      </w:r>
    </w:p>
    <w:p w14:paraId="4E081321" w14:textId="77777777" w:rsidR="00C63860" w:rsidRPr="00C63860" w:rsidRDefault="00CA155E" w:rsidP="00323422">
      <w:pPr>
        <w:tabs>
          <w:tab w:val="right" w:pos="9026"/>
        </w:tabs>
        <w:autoSpaceDE w:val="0"/>
        <w:autoSpaceDN w:val="0"/>
        <w:adjustRightInd w:val="0"/>
        <w:spacing w:after="240" w:line="276" w:lineRule="auto"/>
        <w:rPr>
          <w:rFonts w:asciiTheme="minorHAnsi" w:hAnsiTheme="minorHAnsi" w:cstheme="minorHAnsi"/>
        </w:rPr>
      </w:pPr>
      <w:r w:rsidRPr="00C63860">
        <w:rPr>
          <w:rFonts w:asciiTheme="minorHAnsi" w:eastAsiaTheme="majorEastAsia" w:hAnsiTheme="minorHAnsi" w:cstheme="minorHAnsi"/>
          <w:b/>
          <w:bCs/>
        </w:rPr>
        <w:t>Study registration</w:t>
      </w:r>
      <w:r w:rsidR="003948AF" w:rsidRPr="00C63860">
        <w:rPr>
          <w:rFonts w:asciiTheme="minorHAnsi" w:eastAsiaTheme="majorEastAsia" w:hAnsiTheme="minorHAnsi" w:cstheme="minorHAnsi"/>
        </w:rPr>
        <w:t>:</w:t>
      </w:r>
      <w:r w:rsidR="003948AF" w:rsidRPr="00C63860">
        <w:rPr>
          <w:rFonts w:asciiTheme="minorHAnsi" w:hAnsiTheme="minorHAnsi" w:cstheme="minorHAnsi"/>
          <w:b/>
          <w:bCs/>
        </w:rPr>
        <w:t xml:space="preserve"> </w:t>
      </w:r>
      <w:r w:rsidR="00967403" w:rsidRPr="00C63860">
        <w:rPr>
          <w:rFonts w:asciiTheme="minorHAnsi" w:hAnsiTheme="minorHAnsi" w:cstheme="minorHAnsi"/>
        </w:rPr>
        <w:t>reviewregistry784</w:t>
      </w:r>
      <w:r w:rsidR="00AB6884" w:rsidRPr="00C63860">
        <w:rPr>
          <w:rFonts w:asciiTheme="minorHAnsi" w:hAnsiTheme="minorHAnsi" w:cstheme="minorHAnsi"/>
        </w:rPr>
        <w:t>.</w:t>
      </w:r>
    </w:p>
    <w:p w14:paraId="5AC57160" w14:textId="77777777" w:rsidR="00C63860" w:rsidRPr="00C63860" w:rsidRDefault="00CA155E" w:rsidP="00D558A0">
      <w:pPr>
        <w:autoSpaceDE w:val="0"/>
        <w:autoSpaceDN w:val="0"/>
        <w:adjustRightInd w:val="0"/>
        <w:spacing w:after="240" w:line="276" w:lineRule="auto"/>
        <w:rPr>
          <w:rFonts w:asciiTheme="minorHAnsi" w:hAnsiTheme="minorHAnsi" w:cstheme="minorBidi"/>
        </w:rPr>
      </w:pPr>
      <w:r w:rsidRPr="00C63860">
        <w:rPr>
          <w:rFonts w:asciiTheme="minorHAnsi" w:eastAsiaTheme="majorEastAsia" w:hAnsiTheme="minorHAnsi" w:cstheme="minorBidi"/>
          <w:b/>
        </w:rPr>
        <w:t>Funding</w:t>
      </w:r>
      <w:r w:rsidR="00967403" w:rsidRPr="00C63860">
        <w:rPr>
          <w:rFonts w:asciiTheme="minorHAnsi" w:eastAsiaTheme="majorEastAsia" w:hAnsiTheme="minorHAnsi" w:cstheme="minorBidi"/>
        </w:rPr>
        <w:t xml:space="preserve">: </w:t>
      </w:r>
      <w:r w:rsidR="00C55E92" w:rsidRPr="00C63860">
        <w:rPr>
          <w:rFonts w:asciiTheme="minorHAnsi" w:hAnsiTheme="minorHAnsi" w:cstheme="minorBidi"/>
        </w:rPr>
        <w:t>T</w:t>
      </w:r>
      <w:r w:rsidRPr="00C63860">
        <w:rPr>
          <w:rFonts w:asciiTheme="minorHAnsi" w:hAnsiTheme="minorHAnsi" w:cstheme="minorBidi"/>
        </w:rPr>
        <w:t xml:space="preserve">his project was funded by the National Institute for Health Research (NIHR) </w:t>
      </w:r>
      <w:r w:rsidR="00967403" w:rsidRPr="00C63860">
        <w:rPr>
          <w:rFonts w:asciiTheme="minorHAnsi" w:hAnsiTheme="minorHAnsi" w:cstheme="minorBidi"/>
        </w:rPr>
        <w:t xml:space="preserve">HS&amp;DR </w:t>
      </w:r>
      <w:r w:rsidRPr="00C63860">
        <w:rPr>
          <w:rFonts w:asciiTheme="minorHAnsi" w:hAnsiTheme="minorHAnsi" w:cstheme="minorBidi"/>
        </w:rPr>
        <w:t>programme and will be published in full in XXX Journal; Vol. XX, No. XX. See the NIHR Journals Library website for further project information.</w:t>
      </w:r>
    </w:p>
    <w:p w14:paraId="3750F57D" w14:textId="750BA4FD" w:rsidR="0012052D" w:rsidRPr="00C63860" w:rsidRDefault="0012052D" w:rsidP="0012052D">
      <w:bookmarkStart w:id="11" w:name="_Toc86672993"/>
      <w:r w:rsidRPr="00C63860">
        <w:t>Contents</w:t>
      </w:r>
    </w:p>
    <w:p w14:paraId="7FABFFAF" w14:textId="23F3C8DD" w:rsidR="0012052D" w:rsidRPr="00C63860" w:rsidRDefault="0012052D" w:rsidP="0012052D">
      <w:pPr>
        <w:rPr>
          <w:i/>
          <w:color w:val="FF0000"/>
        </w:rPr>
      </w:pPr>
      <w:r w:rsidRPr="00C63860">
        <w:rPr>
          <w:i/>
          <w:color w:val="FF0000"/>
        </w:rPr>
        <w:t>&lt;&lt;Typesetter insert Contents list &gt;&gt;</w:t>
      </w:r>
    </w:p>
    <w:p w14:paraId="737939E6" w14:textId="77777777" w:rsidR="0012052D" w:rsidRPr="00C63860" w:rsidRDefault="0012052D" w:rsidP="0012052D"/>
    <w:p w14:paraId="0E9C1A6B" w14:textId="03ABDE3B" w:rsidR="0012052D" w:rsidRPr="00C63860" w:rsidRDefault="0012052D" w:rsidP="0012052D">
      <w:r w:rsidRPr="00C63860">
        <w:t>List of tables</w:t>
      </w:r>
    </w:p>
    <w:p w14:paraId="5A6D90C3" w14:textId="5474722E" w:rsidR="0012052D" w:rsidRPr="00C63860" w:rsidRDefault="0012052D" w:rsidP="0012052D">
      <w:pPr>
        <w:rPr>
          <w:i/>
          <w:color w:val="FF0000"/>
        </w:rPr>
      </w:pPr>
      <w:r w:rsidRPr="00C63860">
        <w:rPr>
          <w:i/>
          <w:color w:val="FF0000"/>
        </w:rPr>
        <w:t>&lt;&lt;Typesetter insert List of tables&gt;&gt;</w:t>
      </w:r>
    </w:p>
    <w:p w14:paraId="34F09BD8" w14:textId="77777777" w:rsidR="0012052D" w:rsidRPr="00C63860" w:rsidRDefault="0012052D" w:rsidP="0012052D"/>
    <w:p w14:paraId="2DCAB6CC" w14:textId="0CAF1CCD" w:rsidR="0012052D" w:rsidRPr="00C63860" w:rsidRDefault="0012052D" w:rsidP="0012052D">
      <w:r w:rsidRPr="00C63860">
        <w:t>List of figures</w:t>
      </w:r>
    </w:p>
    <w:p w14:paraId="124D1ED0" w14:textId="4F15C6D7" w:rsidR="0012052D" w:rsidRPr="00C63860" w:rsidRDefault="0012052D" w:rsidP="0012052D">
      <w:pPr>
        <w:rPr>
          <w:i/>
          <w:color w:val="FF0000"/>
        </w:rPr>
      </w:pPr>
      <w:r w:rsidRPr="00C63860">
        <w:rPr>
          <w:i/>
          <w:color w:val="FF0000"/>
        </w:rPr>
        <w:t>&lt;&lt;Typesetter insert List of figures&gt;&gt;</w:t>
      </w:r>
    </w:p>
    <w:p w14:paraId="0A84C3FC" w14:textId="77777777" w:rsidR="0012052D" w:rsidRPr="00C63860" w:rsidRDefault="0012052D" w:rsidP="0012052D"/>
    <w:p w14:paraId="675233F7" w14:textId="0D97903A" w:rsidR="0012052D" w:rsidRPr="00C63860" w:rsidRDefault="0012052D" w:rsidP="0012052D">
      <w:r w:rsidRPr="00C63860">
        <w:t>List of supplementary material</w:t>
      </w:r>
    </w:p>
    <w:p w14:paraId="451003B8" w14:textId="77777777" w:rsidR="0012052D" w:rsidRPr="00C63860" w:rsidRDefault="0012052D" w:rsidP="0012052D">
      <w:pPr>
        <w:rPr>
          <w:i/>
          <w:color w:val="FF0000"/>
        </w:rPr>
      </w:pPr>
      <w:r w:rsidRPr="00C63860">
        <w:rPr>
          <w:i/>
          <w:color w:val="FF0000"/>
        </w:rPr>
        <w:t>&lt;&lt;Typesetter please format as per list of tables/boxes/figures&gt;&gt;</w:t>
      </w:r>
    </w:p>
    <w:bookmarkEnd w:id="11"/>
    <w:p w14:paraId="5F325FD7" w14:textId="6643B38A" w:rsidR="00AB469C" w:rsidRPr="00C63860" w:rsidRDefault="00AB469C" w:rsidP="00AB469C">
      <w:pPr>
        <w:autoSpaceDE w:val="0"/>
        <w:autoSpaceDN w:val="0"/>
        <w:adjustRightInd w:val="0"/>
        <w:spacing w:line="276" w:lineRule="auto"/>
        <w:rPr>
          <w:rFonts w:asciiTheme="minorHAnsi" w:hAnsiTheme="minorHAnsi" w:cstheme="minorHAnsi"/>
          <w:i/>
          <w:iCs/>
          <w:color w:val="000000" w:themeColor="text1"/>
          <w:sz w:val="24"/>
          <w:szCs w:val="24"/>
        </w:rPr>
      </w:pPr>
    </w:p>
    <w:p w14:paraId="2D495178" w14:textId="77777777" w:rsidR="00C63860" w:rsidRPr="00C63860" w:rsidRDefault="003B2F8B" w:rsidP="00194F23">
      <w:pPr>
        <w:spacing w:line="276" w:lineRule="auto"/>
      </w:pPr>
      <w:r w:rsidRPr="00C63860">
        <w:t>Report Supplementary Material 1</w:t>
      </w:r>
      <w:r w:rsidR="004959E0" w:rsidRPr="00C63860">
        <w:t xml:space="preserve"> ESORT Statistical Analysis Plan </w:t>
      </w:r>
      <w:r w:rsidR="0080766C" w:rsidRPr="00C63860">
        <w:t>– July 2021</w:t>
      </w:r>
    </w:p>
    <w:p w14:paraId="25BA001B" w14:textId="77777777" w:rsidR="00C63860" w:rsidRPr="00C63860" w:rsidRDefault="003B2F8B" w:rsidP="00194F23">
      <w:pPr>
        <w:spacing w:line="276" w:lineRule="auto"/>
      </w:pPr>
      <w:r w:rsidRPr="00C63860">
        <w:t xml:space="preserve">Report Supplementary Material </w:t>
      </w:r>
      <w:r w:rsidR="0096100B" w:rsidRPr="00C63860">
        <w:t>2</w:t>
      </w:r>
      <w:r w:rsidRPr="00C63860">
        <w:t xml:space="preserve"> </w:t>
      </w:r>
      <w:r w:rsidR="00F6599F" w:rsidRPr="00C63860">
        <w:t xml:space="preserve">ESORT PPI Panel – Minutes of Workshops </w:t>
      </w:r>
      <w:r w:rsidR="007B6C96" w:rsidRPr="00C63860">
        <w:t xml:space="preserve">held </w:t>
      </w:r>
      <w:r w:rsidR="00F6599F" w:rsidRPr="00C63860">
        <w:t>on 6 and 9 July 2020</w:t>
      </w:r>
    </w:p>
    <w:p w14:paraId="5DBF231F" w14:textId="77777777" w:rsidR="00C63860" w:rsidRPr="00C63860" w:rsidRDefault="0096100B" w:rsidP="00194F23">
      <w:pPr>
        <w:spacing w:line="276" w:lineRule="auto"/>
      </w:pPr>
      <w:r w:rsidRPr="00C63860">
        <w:t>Report Supplementary Material 3</w:t>
      </w:r>
      <w:r w:rsidR="00F6599F" w:rsidRPr="00C63860">
        <w:t xml:space="preserve"> ESORT PPI Panel – Minutes of Workshops </w:t>
      </w:r>
      <w:r w:rsidR="007B6C96" w:rsidRPr="00C63860">
        <w:t xml:space="preserve">held </w:t>
      </w:r>
      <w:r w:rsidR="00F6599F" w:rsidRPr="00C63860">
        <w:t>on</w:t>
      </w:r>
      <w:r w:rsidR="004959E0" w:rsidRPr="00C63860">
        <w:t xml:space="preserve"> 15 and 17 September 2021</w:t>
      </w:r>
    </w:p>
    <w:p w14:paraId="5FC1C303" w14:textId="77777777" w:rsidR="00C63860" w:rsidRPr="00C63860" w:rsidRDefault="0096100B" w:rsidP="00194F23">
      <w:pPr>
        <w:spacing w:line="276" w:lineRule="auto"/>
      </w:pPr>
      <w:r w:rsidRPr="00C63860">
        <w:t>Report Supplementary Material 4</w:t>
      </w:r>
      <w:r w:rsidR="004959E0" w:rsidRPr="00C63860">
        <w:t xml:space="preserve"> ESORT Clinical Panel – Summary Note – May 2021</w:t>
      </w:r>
    </w:p>
    <w:p w14:paraId="211B767F" w14:textId="77777777" w:rsidR="00C63860" w:rsidRPr="00C63860" w:rsidRDefault="0096100B" w:rsidP="00194F23">
      <w:pPr>
        <w:spacing w:line="276" w:lineRule="auto"/>
      </w:pPr>
      <w:r w:rsidRPr="00C63860">
        <w:t>Report Supplementary Material 5</w:t>
      </w:r>
      <w:r w:rsidR="001F4396" w:rsidRPr="00C63860">
        <w:t xml:space="preserve"> </w:t>
      </w:r>
      <w:commentRangeStart w:id="12"/>
      <w:r w:rsidR="001F4396" w:rsidRPr="00C63860">
        <w:t>GRIPP2 form</w:t>
      </w:r>
      <w:commentRangeEnd w:id="12"/>
      <w:r w:rsidR="00902058">
        <w:rPr>
          <w:rStyle w:val="CommentReference"/>
        </w:rPr>
        <w:commentReference w:id="12"/>
      </w:r>
    </w:p>
    <w:p w14:paraId="6DD48D4B" w14:textId="276321FC" w:rsidR="00B97264" w:rsidRPr="00C63860" w:rsidRDefault="00B97264" w:rsidP="00B97264">
      <w:r w:rsidRPr="00C63860">
        <w:t>Supplementary material can be found on the NIHR Journals Library report page (https://doi.org/10.3310/XXXXXXX0).</w:t>
      </w:r>
    </w:p>
    <w:p w14:paraId="7E98B9F9" w14:textId="77777777" w:rsidR="00C63860" w:rsidRPr="00C63860" w:rsidRDefault="00B97264" w:rsidP="00B97264">
      <w:r w:rsidRPr="00C63860">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63E72A33" w14:textId="77777777" w:rsidR="00C63860" w:rsidRPr="00C63860" w:rsidRDefault="00DC238A" w:rsidP="00DC238A">
      <w:pPr>
        <w:pStyle w:val="Heading1"/>
      </w:pPr>
      <w:bookmarkStart w:id="13" w:name="_Toc86672994"/>
      <w:r w:rsidRPr="00C63860">
        <w:t>List of Abbreviations</w:t>
      </w:r>
      <w:bookmarkEnd w:id="13"/>
    </w:p>
    <w:p w14:paraId="21B260D7" w14:textId="24E442E6" w:rsidR="00DC238A" w:rsidRPr="00C63860" w:rsidRDefault="00DC238A" w:rsidP="00194F23">
      <w:pPr>
        <w:spacing w:line="276" w:lineRule="auto"/>
      </w:pPr>
      <w:r w:rsidRPr="00C63860">
        <w:t>CEA – cost-effectiveness analysis</w:t>
      </w:r>
    </w:p>
    <w:p w14:paraId="5339CEBA" w14:textId="35A0A229" w:rsidR="00DC238A" w:rsidRPr="00C63860" w:rsidRDefault="00DC238A" w:rsidP="00194F23">
      <w:pPr>
        <w:spacing w:line="276" w:lineRule="auto"/>
      </w:pPr>
      <w:r w:rsidRPr="00C63860">
        <w:t>Chole-QuIC</w:t>
      </w:r>
      <w:r w:rsidR="00C63860" w:rsidRPr="00C63860">
        <w:rPr>
          <w:color w:val="00B0F0"/>
        </w:rPr>
        <w:t xml:space="preserve"> – </w:t>
      </w:r>
      <w:r w:rsidRPr="00C63860">
        <w:t>Cholecystectomy Quality Improvement Collaborative</w:t>
      </w:r>
    </w:p>
    <w:p w14:paraId="6BBC9F5E" w14:textId="36505C75" w:rsidR="00DC238A" w:rsidRPr="00C63860" w:rsidRDefault="00DC238A" w:rsidP="00194F23">
      <w:pPr>
        <w:spacing w:line="276" w:lineRule="auto"/>
      </w:pPr>
      <w:r w:rsidRPr="00C63860">
        <w:t>CI – Confidence Interval</w:t>
      </w:r>
    </w:p>
    <w:p w14:paraId="2E4E6A2B" w14:textId="77777777" w:rsidR="00C63860" w:rsidRPr="00C63860" w:rsidRDefault="00AE4FD0" w:rsidP="00194F23">
      <w:pPr>
        <w:spacing w:line="276" w:lineRule="auto"/>
      </w:pPr>
      <w:r w:rsidRPr="00C63860">
        <w:t>DAOH</w:t>
      </w:r>
      <w:r w:rsidR="00E425D6" w:rsidRPr="00C63860">
        <w:t xml:space="preserve"> –</w:t>
      </w:r>
      <w:r w:rsidRPr="00C63860">
        <w:t xml:space="preserve"> Days Alive and Out of Hospital</w:t>
      </w:r>
    </w:p>
    <w:p w14:paraId="237500C9" w14:textId="2B91195E" w:rsidR="00C63860" w:rsidRPr="00C63860" w:rsidRDefault="00A30DCC" w:rsidP="00194F23">
      <w:pPr>
        <w:spacing w:line="276" w:lineRule="auto"/>
      </w:pPr>
      <w:r w:rsidRPr="00C63860">
        <w:t>E</w:t>
      </w:r>
      <w:r w:rsidR="00C63860" w:rsidRPr="00C63860">
        <w:rPr>
          <w:color w:val="00B0F0"/>
        </w:rPr>
        <w:t>Q-5D-3</w:t>
      </w:r>
      <w:r w:rsidRPr="00C63860">
        <w:t>L</w:t>
      </w:r>
      <w:r w:rsidR="00E425D6" w:rsidRPr="00C63860">
        <w:t xml:space="preserve"> –</w:t>
      </w:r>
      <w:r w:rsidRPr="00C63860">
        <w:t xml:space="preserve"> EuroQol Five dimension Three </w:t>
      </w:r>
      <w:r w:rsidR="00013CA3" w:rsidRPr="00C63860">
        <w:t>L</w:t>
      </w:r>
      <w:r w:rsidRPr="00C63860">
        <w:t>evel Questionnaire</w:t>
      </w:r>
    </w:p>
    <w:p w14:paraId="0CBCE38E" w14:textId="536856E0" w:rsidR="00C63860" w:rsidRPr="00C63860" w:rsidRDefault="00DC238A" w:rsidP="00194F23">
      <w:pPr>
        <w:spacing w:line="276" w:lineRule="auto"/>
      </w:pPr>
      <w:r w:rsidRPr="00C63860">
        <w:t>ES</w:t>
      </w:r>
      <w:r w:rsidR="00C63860" w:rsidRPr="00C63860">
        <w:rPr>
          <w:color w:val="00B0F0"/>
        </w:rPr>
        <w:t xml:space="preserve"> – </w:t>
      </w:r>
      <w:r w:rsidRPr="00C63860">
        <w:t>Emergency Surgery</w:t>
      </w:r>
    </w:p>
    <w:p w14:paraId="5141307C" w14:textId="77777777" w:rsidR="00C63860" w:rsidRPr="00C63860" w:rsidRDefault="00DC238A" w:rsidP="00194F23">
      <w:pPr>
        <w:spacing w:line="276" w:lineRule="auto"/>
      </w:pPr>
      <w:r w:rsidRPr="00C63860">
        <w:t>ESORT – Emergency Surgery: Or NoT</w:t>
      </w:r>
    </w:p>
    <w:p w14:paraId="5EB23E0E" w14:textId="4572695F" w:rsidR="00DC238A" w:rsidRPr="00C63860" w:rsidRDefault="00DC238A" w:rsidP="00194F23">
      <w:pPr>
        <w:spacing w:line="276" w:lineRule="auto"/>
      </w:pPr>
      <w:r w:rsidRPr="00C63860">
        <w:t>GIRFT – Getting It Right First Time report</w:t>
      </w:r>
    </w:p>
    <w:p w14:paraId="7F4EE678" w14:textId="23449525" w:rsidR="00AE4FD0" w:rsidRPr="00C63860" w:rsidRDefault="00AE4FD0" w:rsidP="00194F23">
      <w:pPr>
        <w:spacing w:line="276" w:lineRule="auto"/>
      </w:pPr>
      <w:r w:rsidRPr="00C63860">
        <w:t>GLM</w:t>
      </w:r>
      <w:r w:rsidR="00E425D6" w:rsidRPr="00C63860">
        <w:t xml:space="preserve"> –</w:t>
      </w:r>
      <w:r w:rsidRPr="00C63860">
        <w:t xml:space="preserve"> Generalised Linear Model</w:t>
      </w:r>
    </w:p>
    <w:p w14:paraId="5D64406B" w14:textId="76445ED7" w:rsidR="00A30DCC" w:rsidRPr="00C63860" w:rsidRDefault="00A30DCC" w:rsidP="00194F23">
      <w:pPr>
        <w:spacing w:line="276" w:lineRule="auto"/>
      </w:pPr>
      <w:r w:rsidRPr="00C63860">
        <w:t>GRIPP2</w:t>
      </w:r>
      <w:r w:rsidR="00E425D6" w:rsidRPr="00C63860">
        <w:t xml:space="preserve"> –</w:t>
      </w:r>
      <w:r w:rsidRPr="00C63860">
        <w:t xml:space="preserve"> Guidance for Reporting Involvement of Patients and the Public, second version</w:t>
      </w:r>
    </w:p>
    <w:p w14:paraId="5F219E64" w14:textId="0BC205BA" w:rsidR="00C63860" w:rsidRPr="00C63860" w:rsidRDefault="00DC238A" w:rsidP="00194F23">
      <w:pPr>
        <w:spacing w:line="276" w:lineRule="auto"/>
      </w:pPr>
      <w:r w:rsidRPr="00C63860">
        <w:t>HES</w:t>
      </w:r>
      <w:r w:rsidR="00C63860" w:rsidRPr="00C63860">
        <w:rPr>
          <w:color w:val="00B0F0"/>
        </w:rPr>
        <w:t xml:space="preserve"> – </w:t>
      </w:r>
      <w:r w:rsidRPr="00C63860">
        <w:t>Hospital Episode Statistics</w:t>
      </w:r>
    </w:p>
    <w:p w14:paraId="5EC0E58C" w14:textId="339C26E9" w:rsidR="00DC238A" w:rsidRPr="00C63860" w:rsidRDefault="00DC238A" w:rsidP="00194F23">
      <w:pPr>
        <w:spacing w:line="276" w:lineRule="auto"/>
      </w:pPr>
      <w:r w:rsidRPr="00C63860">
        <w:t>HPB</w:t>
      </w:r>
      <w:r w:rsidR="00C63860" w:rsidRPr="00C63860">
        <w:rPr>
          <w:color w:val="00B0F0"/>
        </w:rPr>
        <w:t xml:space="preserve"> – </w:t>
      </w:r>
      <w:r w:rsidRPr="00C63860">
        <w:t>hepato-biliary</w:t>
      </w:r>
    </w:p>
    <w:p w14:paraId="29331C07" w14:textId="77777777" w:rsidR="00DC238A" w:rsidRPr="00C63860" w:rsidRDefault="00DC238A" w:rsidP="00194F23">
      <w:pPr>
        <w:spacing w:line="276" w:lineRule="auto"/>
      </w:pPr>
      <w:r w:rsidRPr="00C63860">
        <w:t>HRQoL – health-related quality of life</w:t>
      </w:r>
    </w:p>
    <w:p w14:paraId="7C9CFCAB" w14:textId="38C98146" w:rsidR="00C63860" w:rsidRPr="00C63860" w:rsidRDefault="00DC238A" w:rsidP="00194F23">
      <w:pPr>
        <w:spacing w:line="276" w:lineRule="auto"/>
        <w:rPr>
          <w:rFonts w:cstheme="minorHAnsi"/>
        </w:rPr>
      </w:pPr>
      <w:r w:rsidRPr="00C63860">
        <w:rPr>
          <w:rFonts w:cstheme="minorHAnsi"/>
        </w:rPr>
        <w:t>IC</w:t>
      </w:r>
      <w:r w:rsidR="00C63860" w:rsidRPr="00C63860">
        <w:rPr>
          <w:rFonts w:cstheme="minorHAnsi"/>
          <w:color w:val="00B0F0"/>
        </w:rPr>
        <w:t>D-1</w:t>
      </w:r>
      <w:r w:rsidRPr="00C63860">
        <w:rPr>
          <w:rFonts w:cstheme="minorHAnsi"/>
        </w:rPr>
        <w:t>0</w:t>
      </w:r>
      <w:r w:rsidR="00C63860" w:rsidRPr="00C63860">
        <w:rPr>
          <w:rFonts w:cstheme="minorHAnsi"/>
          <w:color w:val="00B0F0"/>
        </w:rPr>
        <w:t xml:space="preserve"> – </w:t>
      </w:r>
      <w:r w:rsidRPr="00C63860">
        <w:rPr>
          <w:rFonts w:cstheme="minorHAnsi"/>
          <w:i/>
          <w:color w:val="00B0F0"/>
        </w:rPr>
        <w:t>International Classification of Diseases,</w:t>
      </w:r>
      <w:r w:rsidRPr="00C63860">
        <w:rPr>
          <w:rFonts w:cstheme="minorHAnsi"/>
        </w:rPr>
        <w:t xml:space="preserve"> tenth revision</w:t>
      </w:r>
    </w:p>
    <w:p w14:paraId="1FFA81B9" w14:textId="27C646F5" w:rsidR="00A30DCC" w:rsidRPr="00C63860" w:rsidRDefault="00A30DCC" w:rsidP="00194F23">
      <w:pPr>
        <w:spacing w:line="276" w:lineRule="auto"/>
      </w:pPr>
      <w:r w:rsidRPr="00C63860">
        <w:t>INB</w:t>
      </w:r>
      <w:r w:rsidR="00E425D6" w:rsidRPr="00C63860">
        <w:t xml:space="preserve"> –</w:t>
      </w:r>
      <w:r w:rsidRPr="00C63860">
        <w:t xml:space="preserve"> Incremental Net Monetary Benefit</w:t>
      </w:r>
    </w:p>
    <w:p w14:paraId="779D70D5" w14:textId="2DEC3286" w:rsidR="00DC238A" w:rsidRPr="00C63860" w:rsidRDefault="00DC238A" w:rsidP="00194F23">
      <w:pPr>
        <w:spacing w:line="276" w:lineRule="auto"/>
      </w:pPr>
      <w:r w:rsidRPr="00C63860">
        <w:t xml:space="preserve">IMD </w:t>
      </w:r>
      <w:r w:rsidR="00E425D6" w:rsidRPr="00C63860">
        <w:t>–</w:t>
      </w:r>
      <w:r w:rsidRPr="00C63860">
        <w:t xml:space="preserve"> Index of Multiple Deprivation</w:t>
      </w:r>
    </w:p>
    <w:p w14:paraId="6DFE8C85" w14:textId="48DD42E5" w:rsidR="00DC238A" w:rsidRPr="00C63860" w:rsidRDefault="00DC238A" w:rsidP="00194F23">
      <w:pPr>
        <w:spacing w:line="276" w:lineRule="auto"/>
      </w:pPr>
      <w:r w:rsidRPr="00C63860">
        <w:t xml:space="preserve">IV – </w:t>
      </w:r>
      <w:r w:rsidR="00E425D6" w:rsidRPr="00C63860">
        <w:t>i</w:t>
      </w:r>
      <w:r w:rsidRPr="00C63860">
        <w:t>nstrumental variable</w:t>
      </w:r>
    </w:p>
    <w:p w14:paraId="02503D50" w14:textId="6AFE2734" w:rsidR="00AE4FD0" w:rsidRPr="00C63860" w:rsidRDefault="00AE4FD0" w:rsidP="00194F23">
      <w:pPr>
        <w:spacing w:line="276" w:lineRule="auto"/>
      </w:pPr>
      <w:r w:rsidRPr="00C63860">
        <w:t>LY</w:t>
      </w:r>
      <w:r w:rsidR="00E425D6" w:rsidRPr="00C63860">
        <w:t xml:space="preserve"> –</w:t>
      </w:r>
      <w:r w:rsidRPr="00C63860">
        <w:t xml:space="preserve"> </w:t>
      </w:r>
      <w:r w:rsidR="00C63860" w:rsidRPr="00C63860">
        <w:rPr>
          <w:color w:val="00B0F0"/>
        </w:rPr>
        <w:t>Life-year</w:t>
      </w:r>
      <w:r w:rsidRPr="00C63860">
        <w:t>s</w:t>
      </w:r>
    </w:p>
    <w:p w14:paraId="2F642E3D" w14:textId="736AB606" w:rsidR="00A30DCC" w:rsidRPr="00C63860" w:rsidRDefault="00A30DCC" w:rsidP="00194F23">
      <w:pPr>
        <w:spacing w:line="276" w:lineRule="auto"/>
      </w:pPr>
      <w:r w:rsidRPr="00C63860">
        <w:t>LOS</w:t>
      </w:r>
      <w:r w:rsidR="00E425D6" w:rsidRPr="00C63860">
        <w:t xml:space="preserve"> –</w:t>
      </w:r>
      <w:r w:rsidRPr="00C63860">
        <w:t xml:space="preserve"> Length of Stay</w:t>
      </w:r>
    </w:p>
    <w:p w14:paraId="726C1DB6" w14:textId="016DDE12" w:rsidR="00C63860" w:rsidRPr="00C63860" w:rsidRDefault="00DC238A" w:rsidP="00194F23">
      <w:pPr>
        <w:spacing w:line="276" w:lineRule="auto"/>
      </w:pPr>
      <w:r w:rsidRPr="00C63860">
        <w:t>LSHTM</w:t>
      </w:r>
      <w:r w:rsidR="00C63860" w:rsidRPr="00C63860">
        <w:rPr>
          <w:color w:val="00B0F0"/>
        </w:rPr>
        <w:t xml:space="preserve"> – </w:t>
      </w:r>
      <w:r w:rsidRPr="00C63860">
        <w:t>London School of Hygiene and Tropical Medicine</w:t>
      </w:r>
    </w:p>
    <w:p w14:paraId="3C17493B" w14:textId="19262DC8" w:rsidR="00C63860" w:rsidRPr="00C63860" w:rsidRDefault="00DC238A" w:rsidP="00194F23">
      <w:pPr>
        <w:spacing w:line="276" w:lineRule="auto"/>
      </w:pPr>
      <w:r w:rsidRPr="00C63860">
        <w:t>NEC</w:t>
      </w:r>
      <w:r w:rsidR="00C63860" w:rsidRPr="00C63860">
        <w:rPr>
          <w:color w:val="00B0F0"/>
        </w:rPr>
        <w:t xml:space="preserve"> – </w:t>
      </w:r>
      <w:r w:rsidRPr="00C63860">
        <w:t>National Ethics Committee</w:t>
      </w:r>
    </w:p>
    <w:p w14:paraId="63266868" w14:textId="38BCBFCF" w:rsidR="00DC238A" w:rsidRPr="00C63860" w:rsidRDefault="00DC238A" w:rsidP="00194F23">
      <w:pPr>
        <w:spacing w:line="276" w:lineRule="auto"/>
        <w:rPr>
          <w:b/>
          <w:bCs/>
        </w:rPr>
      </w:pPr>
      <w:r w:rsidRPr="00C63860">
        <w:t>NELA – National Emergency Laparotomy Audit</w:t>
      </w:r>
    </w:p>
    <w:p w14:paraId="01B67E3C" w14:textId="51A5AB81" w:rsidR="00C63860" w:rsidRPr="00C63860" w:rsidRDefault="00DC238A" w:rsidP="00194F23">
      <w:pPr>
        <w:spacing w:line="276" w:lineRule="auto"/>
      </w:pPr>
      <w:r w:rsidRPr="00C63860">
        <w:t>NES</w:t>
      </w:r>
      <w:r w:rsidR="00C63860" w:rsidRPr="00C63860">
        <w:rPr>
          <w:color w:val="00B0F0"/>
        </w:rPr>
        <w:t xml:space="preserve"> – </w:t>
      </w:r>
      <w:r w:rsidRPr="00C63860">
        <w:t>non-emergency surgery</w:t>
      </w:r>
    </w:p>
    <w:p w14:paraId="78DCE0B0" w14:textId="64613EE3" w:rsidR="00DC238A" w:rsidRPr="00C63860" w:rsidRDefault="00DC238A" w:rsidP="00194F23">
      <w:pPr>
        <w:spacing w:line="276" w:lineRule="auto"/>
      </w:pPr>
      <w:r w:rsidRPr="00C63860">
        <w:t>NHS – National Health Service</w:t>
      </w:r>
    </w:p>
    <w:p w14:paraId="4CA4C7EF" w14:textId="77777777" w:rsidR="00DC238A" w:rsidRPr="00C63860" w:rsidRDefault="00DC238A" w:rsidP="00194F23">
      <w:pPr>
        <w:spacing w:line="276" w:lineRule="auto"/>
      </w:pPr>
      <w:r w:rsidRPr="00C63860">
        <w:t>NICE – National Institute for Health and Care Excellence</w:t>
      </w:r>
    </w:p>
    <w:p w14:paraId="6896E95F" w14:textId="77777777" w:rsidR="00DC238A" w:rsidRPr="00C63860" w:rsidRDefault="00DC238A" w:rsidP="00194F23">
      <w:pPr>
        <w:spacing w:line="276" w:lineRule="auto"/>
      </w:pPr>
      <w:r w:rsidRPr="00C63860">
        <w:t>NIHR – National Institute for Health Research</w:t>
      </w:r>
    </w:p>
    <w:p w14:paraId="3D74024A" w14:textId="77777777" w:rsidR="00C63860" w:rsidRPr="00C63860" w:rsidRDefault="00DC238A" w:rsidP="00194F23">
      <w:pPr>
        <w:spacing w:line="276" w:lineRule="auto"/>
      </w:pPr>
      <w:r w:rsidRPr="00C63860">
        <w:t>OPCS – Office of Population Censuses and Surveys</w:t>
      </w:r>
    </w:p>
    <w:p w14:paraId="622D2258" w14:textId="77777777" w:rsidR="00C63860" w:rsidRPr="00C63860" w:rsidRDefault="00DC238A" w:rsidP="00194F23">
      <w:pPr>
        <w:spacing w:line="276" w:lineRule="auto"/>
      </w:pPr>
      <w:r w:rsidRPr="00C63860">
        <w:t>ONS – Office for National Statistics</w:t>
      </w:r>
    </w:p>
    <w:p w14:paraId="7BA0576F" w14:textId="26889E49" w:rsidR="00DC238A" w:rsidRPr="00C63860" w:rsidRDefault="00DC238A" w:rsidP="00194F23">
      <w:pPr>
        <w:spacing w:line="276" w:lineRule="auto"/>
      </w:pPr>
      <w:r w:rsidRPr="00C63860">
        <w:t>PeT – person-centred treatment</w:t>
      </w:r>
    </w:p>
    <w:p w14:paraId="51472AF2" w14:textId="77777777" w:rsidR="00DC238A" w:rsidRPr="00C63860" w:rsidRDefault="00DC238A" w:rsidP="00194F23">
      <w:pPr>
        <w:spacing w:line="276" w:lineRule="auto"/>
      </w:pPr>
      <w:r w:rsidRPr="00C63860">
        <w:t>PPI – Patient and Public Involvement</w:t>
      </w:r>
    </w:p>
    <w:p w14:paraId="75B5D1DA" w14:textId="40DEF918" w:rsidR="00DC238A" w:rsidRPr="00C63860" w:rsidRDefault="00DC238A" w:rsidP="00194F23">
      <w:pPr>
        <w:spacing w:line="276" w:lineRule="auto"/>
      </w:pPr>
      <w:r w:rsidRPr="00C63860">
        <w:t xml:space="preserve">QALY – </w:t>
      </w:r>
      <w:r w:rsidR="00AE4FD0" w:rsidRPr="00C63860">
        <w:t>Q</w:t>
      </w:r>
      <w:r w:rsidRPr="00C63860">
        <w:t>uality-</w:t>
      </w:r>
      <w:r w:rsidR="00AE4FD0" w:rsidRPr="00C63860">
        <w:t>A</w:t>
      </w:r>
      <w:r w:rsidRPr="00C63860">
        <w:t xml:space="preserve">djusted </w:t>
      </w:r>
      <w:r w:rsidR="00C63860" w:rsidRPr="00C63860">
        <w:rPr>
          <w:color w:val="00B0F0"/>
        </w:rPr>
        <w:t>Life-year</w:t>
      </w:r>
      <w:r w:rsidRPr="00C63860">
        <w:t>s</w:t>
      </w:r>
    </w:p>
    <w:p w14:paraId="5B409ED7" w14:textId="77777777" w:rsidR="00DC238A" w:rsidRPr="00C63860" w:rsidRDefault="00DC238A" w:rsidP="00194F23">
      <w:pPr>
        <w:spacing w:line="276" w:lineRule="auto"/>
      </w:pPr>
      <w:r w:rsidRPr="00C63860">
        <w:t>RCS – Royal College of Surgeons</w:t>
      </w:r>
    </w:p>
    <w:p w14:paraId="591A87AE" w14:textId="2A75291A" w:rsidR="00DC238A" w:rsidRPr="00C63860" w:rsidRDefault="00DC238A" w:rsidP="00194F23">
      <w:pPr>
        <w:spacing w:line="276" w:lineRule="auto"/>
      </w:pPr>
      <w:r w:rsidRPr="00C63860">
        <w:t>RCT – randomised controlled trial</w:t>
      </w:r>
    </w:p>
    <w:p w14:paraId="6BB69AFE" w14:textId="23F14887" w:rsidR="00AE4FD0" w:rsidRPr="00C63860" w:rsidRDefault="00AE4FD0" w:rsidP="00194F23">
      <w:pPr>
        <w:spacing w:line="276" w:lineRule="auto"/>
      </w:pPr>
      <w:r w:rsidRPr="00C63860">
        <w:t>RMSE</w:t>
      </w:r>
      <w:r w:rsidR="00E425D6" w:rsidRPr="00C63860">
        <w:t xml:space="preserve"> – </w:t>
      </w:r>
      <w:r w:rsidRPr="00C63860">
        <w:t>Root Mean Squared Error</w:t>
      </w:r>
    </w:p>
    <w:p w14:paraId="34046CAA" w14:textId="457516D8" w:rsidR="00A94569" w:rsidRPr="00C63860" w:rsidRDefault="00A94569" w:rsidP="00194F23">
      <w:pPr>
        <w:spacing w:line="276" w:lineRule="auto"/>
      </w:pPr>
      <w:r w:rsidRPr="00C63860">
        <w:t>SA1, SA2, SA3, SA4</w:t>
      </w:r>
      <w:r w:rsidR="00AE4FD0" w:rsidRPr="00C63860">
        <w:t>, SA5, SA6</w:t>
      </w:r>
      <w:r w:rsidRPr="00C63860">
        <w:t xml:space="preserve"> – Sensitivity Analys</w:t>
      </w:r>
      <w:r w:rsidR="00AE4FD0" w:rsidRPr="00C63860">
        <w:t>e</w:t>
      </w:r>
      <w:r w:rsidRPr="00C63860">
        <w:t>s 1</w:t>
      </w:r>
      <w:r w:rsidR="00C63860" w:rsidRPr="00C63860">
        <w:rPr>
          <w:color w:val="00B0F0"/>
        </w:rPr>
        <w:t>–6</w:t>
      </w:r>
    </w:p>
    <w:p w14:paraId="69D3F56D" w14:textId="77777777" w:rsidR="00DC238A" w:rsidRPr="00C63860" w:rsidRDefault="00DC238A" w:rsidP="00194F23">
      <w:pPr>
        <w:spacing w:line="276" w:lineRule="auto"/>
      </w:pPr>
      <w:r w:rsidRPr="00C63860">
        <w:t>SCARF index – Secondary Care Administrative Records Frailty index</w:t>
      </w:r>
    </w:p>
    <w:p w14:paraId="6E9A129C" w14:textId="77777777" w:rsidR="00C63860" w:rsidRPr="00C63860" w:rsidRDefault="00DC238A" w:rsidP="00194F23">
      <w:pPr>
        <w:spacing w:line="276" w:lineRule="auto"/>
      </w:pPr>
      <w:r w:rsidRPr="00C63860">
        <w:t>TTO – Tendency to Operate</w:t>
      </w:r>
    </w:p>
    <w:p w14:paraId="4BFA491C" w14:textId="77777777" w:rsidR="00C63860" w:rsidRPr="00C63860" w:rsidRDefault="005126A9" w:rsidP="00070091">
      <w:pPr>
        <w:pStyle w:val="Heading1"/>
      </w:pPr>
      <w:bookmarkStart w:id="14" w:name="_Toc86672995"/>
      <w:r w:rsidRPr="00C63860">
        <w:t>Plain English Summary</w:t>
      </w:r>
      <w:bookmarkEnd w:id="14"/>
    </w:p>
    <w:p w14:paraId="0FC10549" w14:textId="3C8E7D99" w:rsidR="00C63860" w:rsidRPr="00C63860" w:rsidRDefault="00E626EE" w:rsidP="00194F23">
      <w:pPr>
        <w:spacing w:line="276" w:lineRule="auto"/>
      </w:pPr>
      <w:bookmarkStart w:id="15" w:name="_Hlk81408833"/>
      <w:r w:rsidRPr="00C63860">
        <w:rPr>
          <w:b/>
          <w:bCs/>
        </w:rPr>
        <w:t>Background</w:t>
      </w:r>
      <w:r w:rsidR="00C63860" w:rsidRPr="00C63860">
        <w:rPr>
          <w:color w:val="00B0F0"/>
        </w:rPr>
        <w:t xml:space="preserve"> – </w:t>
      </w:r>
      <w:r w:rsidRPr="00C63860">
        <w:t>Many patients are admitted to NHS hospitals in an emergency with common acute conditions. In England, just over half have surgery within days of admission. This is emergency surgery.</w:t>
      </w:r>
      <w:r w:rsidR="00C63860" w:rsidRPr="00C63860">
        <w:t xml:space="preserve"> </w:t>
      </w:r>
      <w:r w:rsidRPr="00C63860">
        <w:t>Others have another approach to care e.g. drug treatment, or surgery at a later date.</w:t>
      </w:r>
    </w:p>
    <w:p w14:paraId="5C89279E" w14:textId="77777777" w:rsidR="00C63860" w:rsidRPr="00C63860" w:rsidRDefault="00E626EE" w:rsidP="00194F23">
      <w:pPr>
        <w:spacing w:line="276" w:lineRule="auto"/>
      </w:pPr>
      <w:r w:rsidRPr="00C63860">
        <w:t>Patients are treated differently across England.</w:t>
      </w:r>
      <w:r w:rsidR="00C63860" w:rsidRPr="00C63860">
        <w:t xml:space="preserve"> </w:t>
      </w:r>
      <w:r w:rsidRPr="00C63860">
        <w:t>We do not know whether the benefits and costs of emergency surgery are greater than alternative approaches to care.</w:t>
      </w:r>
    </w:p>
    <w:p w14:paraId="66B17664" w14:textId="459C0A41" w:rsidR="00C63860" w:rsidRPr="00C63860" w:rsidRDefault="00E626EE" w:rsidP="00194F23">
      <w:pPr>
        <w:spacing w:line="276" w:lineRule="auto"/>
      </w:pPr>
      <w:r w:rsidRPr="00C63860">
        <w:rPr>
          <w:b/>
          <w:bCs/>
        </w:rPr>
        <w:t>Methods</w:t>
      </w:r>
      <w:r w:rsidR="00C63860" w:rsidRPr="00C63860">
        <w:rPr>
          <w:b/>
          <w:bCs/>
          <w:color w:val="00B0F0"/>
        </w:rPr>
        <w:t xml:space="preserve"> – </w:t>
      </w:r>
      <w:r w:rsidRPr="00C63860">
        <w:t>We aimed to find out which patients should have emergency surgery, and to understand the benefits, risks and costs involved. We used routinely collected information from hospitals in England for 2009</w:t>
      </w:r>
      <w:r w:rsidR="00C63860" w:rsidRPr="00C63860">
        <w:rPr>
          <w:color w:val="00B0F0"/>
        </w:rPr>
        <w:t>–2</w:t>
      </w:r>
      <w:r w:rsidRPr="00C63860">
        <w:t>019 to compare:</w:t>
      </w:r>
    </w:p>
    <w:p w14:paraId="056A53D7" w14:textId="14C1B7B6" w:rsidR="00E626EE" w:rsidRPr="00C63860" w:rsidRDefault="00E626EE" w:rsidP="00194F23">
      <w:pPr>
        <w:pStyle w:val="ListParagraph"/>
        <w:numPr>
          <w:ilvl w:val="0"/>
          <w:numId w:val="42"/>
        </w:numPr>
        <w:spacing w:line="276" w:lineRule="auto"/>
      </w:pPr>
      <w:r w:rsidRPr="00C63860">
        <w:t>outcomes for patients who had emergency surgery or another approach to care</w:t>
      </w:r>
    </w:p>
    <w:p w14:paraId="5B1F1BCC" w14:textId="77777777" w:rsidR="00E626EE" w:rsidRPr="00C63860" w:rsidRDefault="00E626EE" w:rsidP="00194F23">
      <w:pPr>
        <w:pStyle w:val="ListParagraph"/>
        <w:numPr>
          <w:ilvl w:val="0"/>
          <w:numId w:val="42"/>
        </w:numPr>
        <w:spacing w:line="276" w:lineRule="auto"/>
      </w:pPr>
      <w:r w:rsidRPr="00C63860">
        <w:t>the costs of emergency surgery and other approaches to care</w:t>
      </w:r>
    </w:p>
    <w:p w14:paraId="463F3D98" w14:textId="77777777" w:rsidR="00C63860" w:rsidRPr="00C63860" w:rsidRDefault="00E626EE" w:rsidP="00194F23">
      <w:pPr>
        <w:pStyle w:val="ListParagraph"/>
        <w:numPr>
          <w:ilvl w:val="0"/>
          <w:numId w:val="42"/>
        </w:numPr>
        <w:spacing w:line="276" w:lineRule="auto"/>
      </w:pPr>
      <w:r w:rsidRPr="00C63860">
        <w:t>how benefits and costs change for different types of patients.</w:t>
      </w:r>
    </w:p>
    <w:p w14:paraId="1B31D7A6" w14:textId="1DE225F8" w:rsidR="00C63860" w:rsidRPr="00C63860" w:rsidRDefault="00E626EE" w:rsidP="00194F23">
      <w:pPr>
        <w:spacing w:line="276" w:lineRule="auto"/>
        <w:rPr>
          <w:b/>
          <w:bCs/>
        </w:rPr>
      </w:pPr>
      <w:r w:rsidRPr="00C63860">
        <w:rPr>
          <w:b/>
          <w:bCs/>
        </w:rPr>
        <w:t>Results</w:t>
      </w:r>
      <w:r w:rsidR="00C63860" w:rsidRPr="00C63860">
        <w:rPr>
          <w:color w:val="00B0F0"/>
        </w:rPr>
        <w:t xml:space="preserve"> – </w:t>
      </w:r>
      <w:r w:rsidRPr="00C63860">
        <w:rPr>
          <w:b/>
          <w:bCs/>
        </w:rPr>
        <w:t>Overall, we found that people tended to have similar outcomes and costs, whether they had emergency surgery or another approach to care.</w:t>
      </w:r>
    </w:p>
    <w:p w14:paraId="1ECD05CD" w14:textId="77777777" w:rsidR="00C63860" w:rsidRPr="00C63860" w:rsidRDefault="00E626EE" w:rsidP="00194F23">
      <w:pPr>
        <w:spacing w:line="276" w:lineRule="auto"/>
      </w:pPr>
      <w:r w:rsidRPr="00C63860">
        <w:t>For some subgroups we did find important differences:</w:t>
      </w:r>
    </w:p>
    <w:p w14:paraId="4A2DBA70" w14:textId="622ACB7B" w:rsidR="00E626EE" w:rsidRPr="00C63860" w:rsidRDefault="00E626EE" w:rsidP="00194F23">
      <w:pPr>
        <w:pStyle w:val="ListParagraph"/>
        <w:numPr>
          <w:ilvl w:val="0"/>
          <w:numId w:val="42"/>
        </w:numPr>
        <w:spacing w:line="276" w:lineRule="auto"/>
      </w:pPr>
      <w:r w:rsidRPr="00C63860">
        <w:t xml:space="preserve">for patients </w:t>
      </w:r>
      <w:r w:rsidR="00AE4FD0" w:rsidRPr="00C63860">
        <w:t xml:space="preserve">with intestinal obstruction </w:t>
      </w:r>
      <w:r w:rsidRPr="00C63860">
        <w:t xml:space="preserve">who were not frail, we found that </w:t>
      </w:r>
      <w:r w:rsidRPr="00C63860">
        <w:rPr>
          <w:b/>
          <w:bCs/>
        </w:rPr>
        <w:t>emergency surgery</w:t>
      </w:r>
      <w:r w:rsidRPr="00C63860">
        <w:t xml:space="preserve"> generally improved outcomes and reduced costs</w:t>
      </w:r>
    </w:p>
    <w:p w14:paraId="3603DF9A" w14:textId="77777777" w:rsidR="00C63860" w:rsidRPr="00C63860" w:rsidRDefault="00E626EE" w:rsidP="00194F23">
      <w:pPr>
        <w:pStyle w:val="ListParagraph"/>
        <w:numPr>
          <w:ilvl w:val="0"/>
          <w:numId w:val="42"/>
        </w:numPr>
        <w:spacing w:line="276" w:lineRule="auto"/>
      </w:pPr>
      <w:r w:rsidRPr="00C63860">
        <w:t xml:space="preserve">for people who were very frail, </w:t>
      </w:r>
      <w:r w:rsidRPr="00C63860">
        <w:rPr>
          <w:b/>
          <w:bCs/>
        </w:rPr>
        <w:t>other approaches to care</w:t>
      </w:r>
      <w:r w:rsidRPr="00C63860">
        <w:t xml:space="preserve"> led to greater benefits and reduced costs. For these patients, emergency surgery could </w:t>
      </w:r>
      <w:r w:rsidRPr="00C63860">
        <w:rPr>
          <w:highlight w:val="magenta"/>
        </w:rPr>
        <w:t>lead</w:t>
      </w:r>
      <w:r w:rsidRPr="00C63860">
        <w:t xml:space="preserve"> to worse outcomes.</w:t>
      </w:r>
    </w:p>
    <w:p w14:paraId="6F0B039B" w14:textId="77777777" w:rsidR="00C63860" w:rsidRPr="00C63860" w:rsidRDefault="00E626EE" w:rsidP="00194F23">
      <w:pPr>
        <w:spacing w:line="276" w:lineRule="auto"/>
      </w:pPr>
      <w:r w:rsidRPr="00C63860">
        <w:t>Further research to find out whether emergency surgery or later surgery improves outcome for patients with several long-term conditions, would be useful.</w:t>
      </w:r>
    </w:p>
    <w:p w14:paraId="104718A0" w14:textId="6D85DF53" w:rsidR="00C63860" w:rsidRPr="00C63860" w:rsidRDefault="00E626EE" w:rsidP="00194F23">
      <w:pPr>
        <w:spacing w:line="276" w:lineRule="auto"/>
      </w:pPr>
      <w:r w:rsidRPr="00C63860">
        <w:rPr>
          <w:b/>
          <w:bCs/>
        </w:rPr>
        <w:t>Patient and public involvement</w:t>
      </w:r>
      <w:r w:rsidR="00C63860" w:rsidRPr="00C63860">
        <w:rPr>
          <w:color w:val="00B0F0"/>
        </w:rPr>
        <w:t xml:space="preserve"> – </w:t>
      </w:r>
      <w:r w:rsidRPr="00C63860">
        <w:t>A PPI panel initially helped us focus on what outcomes matter for patients, and later helped us plan how to communicate our results to the public.</w:t>
      </w:r>
    </w:p>
    <w:p w14:paraId="5F736B06" w14:textId="77777777" w:rsidR="00C63860" w:rsidRPr="00C63860" w:rsidRDefault="00E626EE" w:rsidP="00194F23">
      <w:pPr>
        <w:spacing w:line="276" w:lineRule="auto"/>
      </w:pPr>
      <w:r w:rsidRPr="00C63860">
        <w:t>We worked with people with autism or learning difficulties to produce an easy-read guide explaining the study and how research can use health records.</w:t>
      </w:r>
      <w:bookmarkEnd w:id="15"/>
    </w:p>
    <w:p w14:paraId="0A7643C5" w14:textId="0C818261" w:rsidR="00C63860" w:rsidRPr="00C63860" w:rsidRDefault="00604B85" w:rsidP="00070091">
      <w:pPr>
        <w:pStyle w:val="Heading1"/>
      </w:pPr>
      <w:bookmarkStart w:id="16" w:name="_Toc86672996"/>
      <w:r w:rsidRPr="00C63860">
        <w:t>Scientific Summary</w:t>
      </w:r>
      <w:bookmarkEnd w:id="16"/>
    </w:p>
    <w:p w14:paraId="3EF96104" w14:textId="77777777" w:rsidR="00C63860" w:rsidRPr="00C63860" w:rsidRDefault="000717D2" w:rsidP="00E3645C">
      <w:pPr>
        <w:pStyle w:val="paragraph"/>
        <w:spacing w:line="276" w:lineRule="auto"/>
        <w:textAlignment w:val="baseline"/>
        <w:rPr>
          <w:rStyle w:val="normaltextrun"/>
          <w:rFonts w:asciiTheme="minorHAnsi" w:hAnsiTheme="minorHAnsi" w:cstheme="minorHAnsi"/>
          <w:b/>
          <w:bCs/>
          <w:sz w:val="22"/>
          <w:szCs w:val="22"/>
        </w:rPr>
      </w:pPr>
      <w:r w:rsidRPr="00C63860">
        <w:rPr>
          <w:rStyle w:val="normaltextrun"/>
          <w:rFonts w:asciiTheme="minorHAnsi" w:hAnsiTheme="minorHAnsi" w:cstheme="minorHAnsi"/>
          <w:b/>
          <w:bCs/>
          <w:sz w:val="28"/>
          <w:szCs w:val="28"/>
        </w:rPr>
        <w:t>Background</w:t>
      </w:r>
    </w:p>
    <w:p w14:paraId="5BBBFBD0" w14:textId="77777777" w:rsidR="00C63860" w:rsidRPr="00C63860" w:rsidRDefault="000717D2" w:rsidP="00E3645C">
      <w:pPr>
        <w:spacing w:before="100" w:beforeAutospacing="1" w:after="100" w:afterAutospacing="1" w:line="276" w:lineRule="auto"/>
        <w:rPr>
          <w:rStyle w:val="normaltextrun"/>
          <w:rFonts w:asciiTheme="minorHAnsi" w:hAnsiTheme="minorHAnsi" w:cstheme="minorHAnsi"/>
        </w:rPr>
      </w:pPr>
      <w:bookmarkStart w:id="17" w:name="_Hlk85625401"/>
      <w:r w:rsidRPr="00C63860">
        <w:rPr>
          <w:rStyle w:val="normaltextrun"/>
          <w:rFonts w:asciiTheme="minorHAnsi" w:hAnsiTheme="minorHAnsi" w:cstheme="minorHAnsi"/>
        </w:rPr>
        <w:t>Patients with common acute gastrointestinal conditions who require emergency hospital admissions may receive emergency</w:t>
      </w:r>
      <w:r w:rsidR="00C63860" w:rsidRPr="00C63860">
        <w:rPr>
          <w:rStyle w:val="normaltextrun"/>
          <w:rFonts w:asciiTheme="minorHAnsi" w:hAnsiTheme="minorHAnsi" w:cstheme="minorHAnsi"/>
        </w:rPr>
        <w:t xml:space="preserve"> </w:t>
      </w:r>
      <w:r w:rsidRPr="00C63860">
        <w:rPr>
          <w:rStyle w:val="normaltextrun"/>
          <w:rFonts w:asciiTheme="minorHAnsi" w:hAnsiTheme="minorHAnsi" w:cstheme="minorHAnsi"/>
        </w:rPr>
        <w:t xml:space="preserve">surgery (ES) or </w:t>
      </w:r>
      <w:r w:rsidRPr="00C63860">
        <w:rPr>
          <w:rFonts w:asciiTheme="minorHAnsi" w:hAnsiTheme="minorHAnsi" w:cstheme="minorHAnsi"/>
        </w:rPr>
        <w:t xml:space="preserve">non-emergency surgery (NES) </w:t>
      </w:r>
      <w:r w:rsidR="00FA2207" w:rsidRPr="00C63860">
        <w:rPr>
          <w:rFonts w:asciiTheme="minorHAnsi" w:hAnsiTheme="minorHAnsi" w:cstheme="minorHAnsi"/>
        </w:rPr>
        <w:t xml:space="preserve">strategies </w:t>
      </w:r>
      <w:r w:rsidR="005F42CA" w:rsidRPr="00C63860">
        <w:rPr>
          <w:rFonts w:asciiTheme="minorHAnsi" w:hAnsiTheme="minorHAnsi" w:cstheme="minorHAnsi"/>
        </w:rPr>
        <w:t xml:space="preserve">which include </w:t>
      </w:r>
      <w:r w:rsidRPr="00C63860">
        <w:rPr>
          <w:rFonts w:asciiTheme="minorHAnsi" w:hAnsiTheme="minorHAnsi" w:cstheme="minorHAnsi"/>
        </w:rPr>
        <w:t xml:space="preserve">medical management, non-surgical procedures (e.g. radiological guided drainage of abscess), or surgery deferred to the elective setting. </w:t>
      </w:r>
      <w:r w:rsidRPr="00C63860">
        <w:rPr>
          <w:rStyle w:val="normaltextrun"/>
          <w:rFonts w:asciiTheme="minorHAnsi" w:hAnsiTheme="minorHAnsi" w:cstheme="minorHAnsi"/>
        </w:rPr>
        <w:t>For</w:t>
      </w:r>
      <w:r w:rsidR="00C63860" w:rsidRPr="00C63860">
        <w:rPr>
          <w:rStyle w:val="normaltextrun"/>
          <w:rFonts w:asciiTheme="minorHAnsi" w:hAnsiTheme="minorHAnsi" w:cstheme="minorHAnsi"/>
        </w:rPr>
        <w:t xml:space="preserve"> </w:t>
      </w:r>
      <w:r w:rsidRPr="00C63860">
        <w:rPr>
          <w:rStyle w:val="normaltextrun"/>
          <w:rFonts w:asciiTheme="minorHAnsi" w:hAnsiTheme="minorHAnsi" w:cstheme="minorHAnsi"/>
        </w:rPr>
        <w:t>some</w:t>
      </w:r>
      <w:r w:rsidR="00C63860" w:rsidRPr="00C63860">
        <w:rPr>
          <w:rStyle w:val="normaltextrun"/>
          <w:rFonts w:asciiTheme="minorHAnsi" w:hAnsiTheme="minorHAnsi" w:cstheme="minorHAnsi"/>
        </w:rPr>
        <w:t xml:space="preserve"> </w:t>
      </w:r>
      <w:r w:rsidRPr="00C63860">
        <w:rPr>
          <w:rStyle w:val="normaltextrun"/>
          <w:rFonts w:asciiTheme="minorHAnsi" w:hAnsiTheme="minorHAnsi" w:cstheme="minorHAnsi"/>
        </w:rPr>
        <w:t>common acute conditions, such as diverticular disease, there are</w:t>
      </w:r>
      <w:r w:rsidR="00C63860" w:rsidRPr="00C63860">
        <w:rPr>
          <w:rStyle w:val="normaltextrun"/>
          <w:rFonts w:asciiTheme="minorHAnsi" w:hAnsiTheme="minorHAnsi" w:cstheme="minorHAnsi"/>
        </w:rPr>
        <w:t xml:space="preserve"> </w:t>
      </w:r>
      <w:r w:rsidRPr="00C63860">
        <w:rPr>
          <w:rStyle w:val="normaltextrun"/>
          <w:rFonts w:asciiTheme="minorHAnsi" w:hAnsiTheme="minorHAnsi" w:cstheme="minorHAnsi"/>
        </w:rPr>
        <w:t>well-developed NES strategies</w:t>
      </w:r>
      <w:r w:rsidR="00FA2207" w:rsidRPr="00C63860">
        <w:rPr>
          <w:rStyle w:val="normaltextrun"/>
          <w:rFonts w:asciiTheme="minorHAnsi" w:hAnsiTheme="minorHAnsi" w:cstheme="minorHAnsi"/>
        </w:rPr>
        <w:t>,</w:t>
      </w:r>
      <w:r w:rsidRPr="00C63860">
        <w:rPr>
          <w:rStyle w:val="normaltextrun"/>
          <w:rFonts w:asciiTheme="minorHAnsi" w:hAnsiTheme="minorHAnsi" w:cstheme="minorHAnsi"/>
        </w:rPr>
        <w:t xml:space="preserve"> and little evidence that ES leads to better</w:t>
      </w:r>
      <w:r w:rsidR="00C63860" w:rsidRPr="00C63860">
        <w:rPr>
          <w:rStyle w:val="normaltextrun"/>
          <w:rFonts w:asciiTheme="minorHAnsi" w:hAnsiTheme="minorHAnsi" w:cstheme="minorHAnsi"/>
        </w:rPr>
        <w:t xml:space="preserve"> </w:t>
      </w:r>
      <w:r w:rsidRPr="00C63860">
        <w:rPr>
          <w:rStyle w:val="normaltextrun"/>
          <w:rFonts w:asciiTheme="minorHAnsi" w:hAnsiTheme="minorHAnsi" w:cstheme="minorHAnsi"/>
        </w:rPr>
        <w:t>outcomes.</w:t>
      </w:r>
      <w:r w:rsidR="00C63860" w:rsidRPr="00C63860">
        <w:rPr>
          <w:rStyle w:val="eop"/>
          <w:rFonts w:asciiTheme="minorHAnsi" w:hAnsiTheme="minorHAnsi" w:cstheme="minorHAnsi"/>
        </w:rPr>
        <w:t xml:space="preserve"> </w:t>
      </w:r>
      <w:r w:rsidRPr="00C63860">
        <w:rPr>
          <w:rFonts w:asciiTheme="minorHAnsi" w:hAnsiTheme="minorHAnsi" w:cstheme="minorHAnsi"/>
        </w:rPr>
        <w:t>For other conditions such as acute cholelithiasis, RCTs have found that NES strategies may have unintended consequences,</w:t>
      </w:r>
      <w:r w:rsidRPr="00C63860">
        <w:rPr>
          <w:rFonts w:asciiTheme="minorHAnsi" w:hAnsiTheme="minorHAnsi" w:cstheme="minorHAnsi"/>
          <w:vertAlign w:val="superscript"/>
        </w:rPr>
        <w:t xml:space="preserve"> </w:t>
      </w:r>
      <w:r w:rsidRPr="00C63860">
        <w:rPr>
          <w:rFonts w:asciiTheme="minorHAnsi" w:hAnsiTheme="minorHAnsi" w:cstheme="minorHAnsi"/>
        </w:rPr>
        <w:t>with patients having recurrent symptoms, and delayed surgery, thus leading to further pressure on surgical waiting lists.</w:t>
      </w:r>
      <w:r w:rsidR="00C63860" w:rsidRPr="00C63860">
        <w:rPr>
          <w:rFonts w:asciiTheme="minorHAnsi" w:hAnsiTheme="minorHAnsi" w:cstheme="minorHAnsi"/>
          <w:vertAlign w:val="superscript"/>
        </w:rPr>
        <w:t xml:space="preserve"> </w:t>
      </w:r>
      <w:r w:rsidRPr="00C63860">
        <w:rPr>
          <w:rFonts w:asciiTheme="minorHAnsi" w:hAnsiTheme="minorHAnsi" w:cstheme="minorHAnsi"/>
        </w:rPr>
        <w:t>However, none of these RCTs have included routine emergency admissions to hospitals. Hence, f</w:t>
      </w:r>
      <w:r w:rsidRPr="00C63860">
        <w:rPr>
          <w:rStyle w:val="normaltextrun"/>
          <w:rFonts w:asciiTheme="minorHAnsi" w:hAnsiTheme="minorHAnsi" w:cstheme="minorHAnsi"/>
        </w:rPr>
        <w:t>or many patients with common conditions,</w:t>
      </w:r>
      <w:r w:rsidR="00C63860" w:rsidRPr="00C63860">
        <w:rPr>
          <w:rStyle w:val="normaltextrun"/>
          <w:rFonts w:asciiTheme="minorHAnsi" w:hAnsiTheme="minorHAnsi" w:cstheme="minorHAnsi"/>
        </w:rPr>
        <w:t xml:space="preserve"> </w:t>
      </w:r>
      <w:r w:rsidRPr="00C63860">
        <w:rPr>
          <w:rStyle w:val="normaltextrun"/>
          <w:rFonts w:asciiTheme="minorHAnsi" w:hAnsiTheme="minorHAnsi" w:cstheme="minorHAnsi"/>
        </w:rPr>
        <w:t>the relative benefits and costs of</w:t>
      </w:r>
      <w:r w:rsidR="00C63860" w:rsidRPr="00C63860">
        <w:rPr>
          <w:rStyle w:val="normaltextrun"/>
          <w:rFonts w:asciiTheme="minorHAnsi" w:hAnsiTheme="minorHAnsi" w:cstheme="minorHAnsi"/>
        </w:rPr>
        <w:t xml:space="preserve"> </w:t>
      </w:r>
      <w:r w:rsidRPr="00C63860">
        <w:rPr>
          <w:rStyle w:val="normaltextrun"/>
          <w:rFonts w:asciiTheme="minorHAnsi" w:hAnsiTheme="minorHAnsi" w:cstheme="minorHAnsi"/>
        </w:rPr>
        <w:t xml:space="preserve">ES versus NES strategies are unknown, and there is wide variation across NHS </w:t>
      </w:r>
      <w:r w:rsidR="00D94903" w:rsidRPr="00C63860">
        <w:rPr>
          <w:rStyle w:val="normaltextrun"/>
          <w:rFonts w:asciiTheme="minorHAnsi" w:hAnsiTheme="minorHAnsi" w:cstheme="minorHAnsi"/>
        </w:rPr>
        <w:t xml:space="preserve">hospital </w:t>
      </w:r>
      <w:r w:rsidRPr="00C63860">
        <w:rPr>
          <w:rStyle w:val="normaltextrun"/>
          <w:rFonts w:asciiTheme="minorHAnsi" w:hAnsiTheme="minorHAnsi" w:cstheme="minorHAnsi"/>
        </w:rPr>
        <w:t>trusts in ES rates and outcomes.</w:t>
      </w:r>
    </w:p>
    <w:bookmarkEnd w:id="17"/>
    <w:p w14:paraId="5E9E1BDE" w14:textId="77777777" w:rsidR="00C63860" w:rsidRPr="00C63860" w:rsidRDefault="000717D2" w:rsidP="00E3645C">
      <w:pPr>
        <w:pStyle w:val="paragraph"/>
        <w:spacing w:line="276" w:lineRule="auto"/>
        <w:textAlignment w:val="baseline"/>
        <w:rPr>
          <w:rStyle w:val="eop"/>
          <w:rFonts w:asciiTheme="minorHAnsi" w:hAnsiTheme="minorHAnsi" w:cstheme="minorHAnsi"/>
          <w:sz w:val="22"/>
          <w:szCs w:val="22"/>
        </w:rPr>
      </w:pPr>
      <w:r w:rsidRPr="00C63860">
        <w:rPr>
          <w:rStyle w:val="normaltextrun"/>
          <w:rFonts w:asciiTheme="minorHAnsi" w:hAnsiTheme="minorHAnsi" w:cstheme="minorHAnsi"/>
          <w:sz w:val="22"/>
          <w:szCs w:val="22"/>
        </w:rPr>
        <w:t>This observational study evaluates the relative effectiveness and costs of</w:t>
      </w:r>
      <w:r w:rsidR="00C63860" w:rsidRPr="00C63860">
        <w:rPr>
          <w:rStyle w:val="eop"/>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ES versus NES strategies for common acute conditions,</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to provide evidence to inform future service provision.</w:t>
      </w:r>
    </w:p>
    <w:p w14:paraId="0054B8D2" w14:textId="77777777" w:rsidR="00C63860" w:rsidRPr="00C63860" w:rsidRDefault="000717D2" w:rsidP="00E3645C">
      <w:pPr>
        <w:pStyle w:val="paragraph"/>
        <w:spacing w:line="276" w:lineRule="auto"/>
        <w:textAlignment w:val="baseline"/>
        <w:rPr>
          <w:rStyle w:val="normaltextrun"/>
          <w:rFonts w:asciiTheme="minorHAnsi" w:hAnsiTheme="minorHAnsi" w:cstheme="minorHAnsi"/>
          <w:b/>
          <w:bCs/>
          <w:sz w:val="28"/>
          <w:szCs w:val="28"/>
        </w:rPr>
      </w:pPr>
      <w:r w:rsidRPr="00C63860">
        <w:rPr>
          <w:rStyle w:val="normaltextrun"/>
          <w:rFonts w:asciiTheme="minorHAnsi" w:hAnsiTheme="minorHAnsi" w:cstheme="minorHAnsi"/>
          <w:b/>
          <w:bCs/>
          <w:sz w:val="28"/>
          <w:szCs w:val="28"/>
        </w:rPr>
        <w:t>Aims and Objectives</w:t>
      </w:r>
    </w:p>
    <w:p w14:paraId="2128367B" w14:textId="0AC2ADB8" w:rsidR="000717D2" w:rsidRPr="00C63860" w:rsidRDefault="000717D2" w:rsidP="0008791A">
      <w:pPr>
        <w:spacing w:before="100" w:beforeAutospacing="1" w:after="100" w:afterAutospacing="1" w:line="276" w:lineRule="auto"/>
        <w:rPr>
          <w:rFonts w:asciiTheme="minorHAnsi" w:hAnsiTheme="minorHAnsi" w:cstheme="minorHAnsi"/>
        </w:rPr>
      </w:pPr>
      <w:bookmarkStart w:id="18" w:name="_Hlk85625331"/>
      <w:bookmarkStart w:id="19" w:name="_Hlk86249613"/>
      <w:r w:rsidRPr="00C63860">
        <w:rPr>
          <w:rFonts w:asciiTheme="minorHAnsi" w:hAnsiTheme="minorHAnsi" w:cstheme="minorHAnsi"/>
        </w:rPr>
        <w:t>The study</w:t>
      </w:r>
      <w:r w:rsidR="00C63860" w:rsidRPr="00C63860">
        <w:rPr>
          <w:rFonts w:asciiTheme="minorHAnsi" w:hAnsiTheme="minorHAnsi" w:cstheme="minorHAnsi"/>
          <w:color w:val="00B0F0"/>
        </w:rPr>
        <w:t>’</w:t>
      </w:r>
      <w:r w:rsidRPr="00C63860">
        <w:rPr>
          <w:rFonts w:asciiTheme="minorHAnsi" w:hAnsiTheme="minorHAnsi" w:cstheme="minorHAnsi"/>
        </w:rPr>
        <w:t>s aim was to evaluate the effectiveness and cost-effectiveness of ES versus NES strategies for adults admitted as emergencies for five common gastrointestinal conditions</w:t>
      </w:r>
      <w:r w:rsidR="0008791A" w:rsidRPr="00C63860">
        <w:rPr>
          <w:rFonts w:asciiTheme="minorHAnsi" w:hAnsiTheme="minorHAnsi" w:cstheme="minorHAnsi"/>
        </w:rPr>
        <w:t xml:space="preserve">. Its </w:t>
      </w:r>
      <w:bookmarkEnd w:id="18"/>
      <w:r w:rsidRPr="00C63860">
        <w:rPr>
          <w:rFonts w:asciiTheme="minorHAnsi" w:hAnsiTheme="minorHAnsi" w:cstheme="minorHAnsi"/>
        </w:rPr>
        <w:t>objectives were to evaluate the:</w:t>
      </w:r>
    </w:p>
    <w:p w14:paraId="1EBED9A3" w14:textId="77777777" w:rsidR="000717D2" w:rsidRPr="00C63860" w:rsidRDefault="000717D2" w:rsidP="00E3645C">
      <w:pPr>
        <w:pStyle w:val="ListParagraph"/>
        <w:numPr>
          <w:ilvl w:val="0"/>
          <w:numId w:val="43"/>
        </w:numPr>
        <w:spacing w:before="100" w:beforeAutospacing="1" w:after="100" w:afterAutospacing="1" w:line="276" w:lineRule="auto"/>
        <w:rPr>
          <w:rFonts w:asciiTheme="minorHAnsi" w:hAnsiTheme="minorHAnsi" w:cstheme="minorHAnsi"/>
        </w:rPr>
      </w:pPr>
      <w:r w:rsidRPr="00C63860">
        <w:rPr>
          <w:rFonts w:asciiTheme="minorHAnsi" w:hAnsiTheme="minorHAnsi" w:cstheme="minorHAnsi"/>
        </w:rPr>
        <w:t>effectiveness of ES versus NES strategies for the five selected acute gastrointestinal conditions.</w:t>
      </w:r>
    </w:p>
    <w:p w14:paraId="1AB00A99" w14:textId="77777777" w:rsidR="000717D2" w:rsidRPr="00C63860" w:rsidRDefault="000717D2" w:rsidP="00E3645C">
      <w:pPr>
        <w:pStyle w:val="ListParagraph"/>
        <w:numPr>
          <w:ilvl w:val="0"/>
          <w:numId w:val="43"/>
        </w:numPr>
        <w:spacing w:before="100" w:beforeAutospacing="1" w:after="100" w:afterAutospacing="1" w:line="276" w:lineRule="auto"/>
        <w:rPr>
          <w:rFonts w:asciiTheme="minorHAnsi" w:hAnsiTheme="minorHAnsi" w:cstheme="minorHAnsi"/>
        </w:rPr>
      </w:pPr>
      <w:r w:rsidRPr="00C63860">
        <w:rPr>
          <w:rFonts w:asciiTheme="minorHAnsi" w:hAnsiTheme="minorHAnsi" w:cstheme="minorHAnsi"/>
        </w:rPr>
        <w:t>relative cost-effectiveness of ES versus NES strategies for the five conditions.</w:t>
      </w:r>
    </w:p>
    <w:p w14:paraId="6E9354E3" w14:textId="77777777" w:rsidR="000717D2" w:rsidRPr="00C63860" w:rsidRDefault="000717D2" w:rsidP="00E3645C">
      <w:pPr>
        <w:pStyle w:val="ListParagraph"/>
        <w:numPr>
          <w:ilvl w:val="0"/>
          <w:numId w:val="43"/>
        </w:numPr>
        <w:spacing w:before="100" w:beforeAutospacing="1" w:after="100" w:afterAutospacing="1" w:line="276" w:lineRule="auto"/>
        <w:rPr>
          <w:rFonts w:asciiTheme="minorHAnsi" w:hAnsiTheme="minorHAnsi" w:cstheme="minorHAnsi"/>
        </w:rPr>
      </w:pPr>
      <w:r w:rsidRPr="00C63860">
        <w:rPr>
          <w:rFonts w:asciiTheme="minorHAnsi" w:hAnsiTheme="minorHAnsi" w:cstheme="minorHAnsi"/>
        </w:rPr>
        <w:t>clinical and cost-effectiveness of ES versus NES strategies for specific patient subgroups.</w:t>
      </w:r>
    </w:p>
    <w:bookmarkEnd w:id="19"/>
    <w:p w14:paraId="15C0D328" w14:textId="77777777" w:rsidR="000717D2" w:rsidRPr="00C63860" w:rsidRDefault="000717D2" w:rsidP="00E3645C">
      <w:pPr>
        <w:spacing w:before="100" w:beforeAutospacing="1" w:after="100" w:afterAutospacing="1" w:line="276" w:lineRule="auto"/>
        <w:rPr>
          <w:rFonts w:asciiTheme="minorHAnsi" w:hAnsiTheme="minorHAnsi" w:cstheme="minorHAnsi"/>
          <w:b/>
          <w:bCs/>
          <w:sz w:val="28"/>
          <w:szCs w:val="28"/>
        </w:rPr>
      </w:pPr>
      <w:r w:rsidRPr="00C63860">
        <w:rPr>
          <w:rFonts w:asciiTheme="minorHAnsi" w:hAnsiTheme="minorHAnsi" w:cstheme="minorHAnsi"/>
          <w:b/>
          <w:bCs/>
          <w:sz w:val="28"/>
          <w:szCs w:val="28"/>
        </w:rPr>
        <w:t>Methods</w:t>
      </w:r>
    </w:p>
    <w:p w14:paraId="217150C4" w14:textId="77777777" w:rsidR="000717D2" w:rsidRPr="00C63860" w:rsidRDefault="000717D2" w:rsidP="00E3645C">
      <w:pPr>
        <w:spacing w:before="100" w:beforeAutospacing="1" w:after="100" w:afterAutospacing="1" w:line="276" w:lineRule="auto"/>
        <w:rPr>
          <w:rFonts w:asciiTheme="minorHAnsi" w:hAnsiTheme="minorHAnsi" w:cstheme="minorHAnsi"/>
          <w:b/>
          <w:bCs/>
        </w:rPr>
      </w:pPr>
      <w:r w:rsidRPr="00C63860">
        <w:rPr>
          <w:rFonts w:asciiTheme="minorHAnsi" w:hAnsiTheme="minorHAnsi" w:cstheme="minorHAnsi"/>
          <w:b/>
          <w:bCs/>
        </w:rPr>
        <w:t>Overview</w:t>
      </w:r>
    </w:p>
    <w:p w14:paraId="7782CDAD" w14:textId="73554A04" w:rsidR="00C63860" w:rsidRPr="00C63860" w:rsidRDefault="000717D2" w:rsidP="00E3645C">
      <w:pPr>
        <w:spacing w:before="100" w:beforeAutospacing="1" w:after="100" w:afterAutospacing="1" w:line="276" w:lineRule="auto"/>
        <w:rPr>
          <w:rFonts w:asciiTheme="minorHAnsi" w:hAnsiTheme="minorHAnsi" w:cstheme="minorHAnsi"/>
        </w:rPr>
      </w:pPr>
      <w:bookmarkStart w:id="20" w:name="_Hlk85625761"/>
      <w:r w:rsidRPr="00C63860">
        <w:rPr>
          <w:rFonts w:asciiTheme="minorHAnsi" w:hAnsiTheme="minorHAnsi" w:cstheme="minorHAnsi"/>
        </w:rPr>
        <w:t xml:space="preserve">The ESORT study assessed the effectiveness and cost-effectiveness of ES versus NES strategies for common acute gastrointestinal conditions that presented as emergency admissions to </w:t>
      </w:r>
      <w:r w:rsidR="005A20A1" w:rsidRPr="00C63860">
        <w:rPr>
          <w:rFonts w:asciiTheme="minorHAnsi" w:hAnsiTheme="minorHAnsi" w:cstheme="minorHAnsi"/>
        </w:rPr>
        <w:t>National Health Service (</w:t>
      </w:r>
      <w:r w:rsidRPr="00C63860">
        <w:rPr>
          <w:rFonts w:asciiTheme="minorHAnsi" w:hAnsiTheme="minorHAnsi" w:cstheme="minorHAnsi"/>
        </w:rPr>
        <w:t>NHS</w:t>
      </w:r>
      <w:r w:rsidR="005A20A1" w:rsidRPr="00C63860">
        <w:rPr>
          <w:rFonts w:asciiTheme="minorHAnsi" w:hAnsiTheme="minorHAnsi" w:cstheme="minorHAnsi"/>
        </w:rPr>
        <w:t>)</w:t>
      </w:r>
      <w:r w:rsidRPr="00C63860">
        <w:rPr>
          <w:rFonts w:asciiTheme="minorHAnsi" w:hAnsiTheme="minorHAnsi" w:cstheme="minorHAnsi"/>
        </w:rPr>
        <w:t xml:space="preserve"> hospitals in England. The target population included emergency admissions with acute appendicitis, cholelithiasis, diverticular disease, abdominal wall hernia or intestinal obstruction. </w:t>
      </w:r>
      <w:r w:rsidRPr="00C63860">
        <w:rPr>
          <w:rStyle w:val="normaltextrun"/>
          <w:rFonts w:asciiTheme="minorHAnsi" w:hAnsiTheme="minorHAnsi" w:cstheme="minorHAnsi"/>
        </w:rPr>
        <w:t>We included</w:t>
      </w:r>
      <w:r w:rsidR="00C63860" w:rsidRPr="00C63860">
        <w:rPr>
          <w:rStyle w:val="normaltextrun"/>
          <w:rFonts w:asciiTheme="minorHAnsi" w:hAnsiTheme="minorHAnsi" w:cstheme="minorHAnsi"/>
        </w:rPr>
        <w:t xml:space="preserve"> </w:t>
      </w:r>
      <w:r w:rsidRPr="00C63860">
        <w:rPr>
          <w:rStyle w:val="normaltextrun"/>
          <w:rFonts w:asciiTheme="minorHAnsi" w:hAnsiTheme="minorHAnsi" w:cstheme="minorHAnsi"/>
        </w:rPr>
        <w:t>these five</w:t>
      </w:r>
      <w:r w:rsidR="00C63860" w:rsidRPr="00C63860">
        <w:rPr>
          <w:rStyle w:val="normaltextrun"/>
          <w:rFonts w:asciiTheme="minorHAnsi" w:hAnsiTheme="minorHAnsi" w:cstheme="minorHAnsi"/>
        </w:rPr>
        <w:t xml:space="preserve"> </w:t>
      </w:r>
      <w:r w:rsidRPr="00C63860">
        <w:rPr>
          <w:rStyle w:val="normaltextrun"/>
          <w:rFonts w:asciiTheme="minorHAnsi" w:hAnsiTheme="minorHAnsi" w:cstheme="minorHAnsi"/>
        </w:rPr>
        <w:t>acute conditions because there is clinical uncertainty about the relative benefits of ES versus NES strategies, and wide variation in ES rates across NHS</w:t>
      </w:r>
      <w:r w:rsidRPr="00C63860">
        <w:rPr>
          <w:rFonts w:asciiTheme="minorHAnsi" w:hAnsiTheme="minorHAnsi" w:cstheme="minorHAnsi"/>
        </w:rPr>
        <w:t xml:space="preserve"> hospitals. We defined the target population and comparator strategies from emergency admissions within a single </w:t>
      </w:r>
      <w:r w:rsidRPr="00C63860">
        <w:rPr>
          <w:rFonts w:asciiTheme="minorHAnsi" w:hAnsiTheme="minorHAnsi" w:cstheme="minorHAnsi"/>
          <w:highlight w:val="magenta"/>
        </w:rPr>
        <w:t>data</w:t>
      </w:r>
      <w:r w:rsidRPr="00C63860">
        <w:rPr>
          <w:rFonts w:asciiTheme="minorHAnsi" w:hAnsiTheme="minorHAnsi" w:cstheme="minorHAnsi"/>
        </w:rPr>
        <w:t xml:space="preserve"> source, hospital episode statistics (HES), to ensure consistent definitions across the patient cohort.</w:t>
      </w:r>
      <w:r w:rsidR="00C63860" w:rsidRPr="00C63860">
        <w:rPr>
          <w:rFonts w:asciiTheme="minorHAnsi" w:hAnsiTheme="minorHAnsi" w:cstheme="minorHAnsi"/>
        </w:rPr>
        <w:t xml:space="preserve"> </w:t>
      </w:r>
      <w:r w:rsidRPr="00C63860">
        <w:rPr>
          <w:rFonts w:asciiTheme="minorHAnsi" w:hAnsiTheme="minorHAnsi" w:cstheme="minorHAnsi"/>
        </w:rPr>
        <w:t xml:space="preserve">Eligibility was determined using </w:t>
      </w:r>
      <w:r w:rsidRPr="00C63860">
        <w:rPr>
          <w:rFonts w:asciiTheme="minorHAnsi" w:hAnsiTheme="minorHAnsi" w:cstheme="minorHAnsi"/>
          <w:i/>
          <w:color w:val="00B0F0"/>
        </w:rPr>
        <w:t>International Classification of Diseases,</w:t>
      </w:r>
      <w:r w:rsidRPr="00C63860">
        <w:rPr>
          <w:rFonts w:asciiTheme="minorHAnsi" w:hAnsiTheme="minorHAnsi" w:cstheme="minorHAnsi"/>
        </w:rPr>
        <w:t xml:space="preserve"> tenth revision (IC</w:t>
      </w:r>
      <w:r w:rsidR="00C63860" w:rsidRPr="00C63860">
        <w:rPr>
          <w:rFonts w:asciiTheme="minorHAnsi" w:hAnsiTheme="minorHAnsi" w:cstheme="minorHAnsi"/>
          <w:color w:val="00B0F0"/>
        </w:rPr>
        <w:t>D-1</w:t>
      </w:r>
      <w:r w:rsidRPr="00C63860">
        <w:rPr>
          <w:rFonts w:asciiTheme="minorHAnsi" w:hAnsiTheme="minorHAnsi" w:cstheme="minorHAnsi"/>
        </w:rPr>
        <w:t xml:space="preserve">0) diagnosis codes agreed by clinical panel consensus. We applied </w:t>
      </w:r>
      <w:r w:rsidR="00C63860" w:rsidRPr="00C63860">
        <w:rPr>
          <w:rFonts w:asciiTheme="minorHAnsi" w:hAnsiTheme="minorHAnsi" w:cstheme="minorHAnsi"/>
          <w:color w:val="00B0F0"/>
        </w:rPr>
        <w:t>‘</w:t>
      </w:r>
      <w:r w:rsidR="006F6056" w:rsidRPr="00C63860">
        <w:rPr>
          <w:rFonts w:asciiTheme="minorHAnsi" w:hAnsiTheme="minorHAnsi" w:cstheme="minorHAnsi"/>
        </w:rPr>
        <w:t>target trial</w:t>
      </w:r>
      <w:r w:rsidR="00C63860" w:rsidRPr="00C63860">
        <w:rPr>
          <w:rFonts w:asciiTheme="minorHAnsi" w:hAnsiTheme="minorHAnsi" w:cstheme="minorHAnsi"/>
          <w:color w:val="00B0F0"/>
        </w:rPr>
        <w:t>’</w:t>
      </w:r>
      <w:r w:rsidRPr="00C63860">
        <w:rPr>
          <w:rFonts w:asciiTheme="minorHAnsi" w:hAnsiTheme="minorHAnsi" w:cstheme="minorHAnsi"/>
        </w:rPr>
        <w:t xml:space="preserve"> principles to define explicit eligibility criteria for each cohort, and comparator strategies from within the HES </w:t>
      </w:r>
      <w:r w:rsidRPr="00C63860">
        <w:rPr>
          <w:rFonts w:asciiTheme="minorHAnsi" w:hAnsiTheme="minorHAnsi" w:cstheme="minorHAnsi"/>
          <w:highlight w:val="magenta"/>
        </w:rPr>
        <w:t>data</w:t>
      </w:r>
      <w:r w:rsidRPr="00C63860">
        <w:rPr>
          <w:rFonts w:asciiTheme="minorHAnsi" w:hAnsiTheme="minorHAnsi" w:cstheme="minorHAnsi"/>
        </w:rPr>
        <w:t>.</w:t>
      </w:r>
    </w:p>
    <w:p w14:paraId="56C66978" w14:textId="4785EA85" w:rsidR="000717D2" w:rsidRPr="00C63860" w:rsidRDefault="000717D2" w:rsidP="00E3645C">
      <w:pPr>
        <w:spacing w:before="100" w:beforeAutospacing="1" w:after="100" w:afterAutospacing="1" w:line="276" w:lineRule="auto"/>
        <w:rPr>
          <w:rFonts w:asciiTheme="minorHAnsi" w:hAnsiTheme="minorHAnsi" w:cstheme="minorHAnsi"/>
          <w:b/>
        </w:rPr>
      </w:pPr>
      <w:r w:rsidRPr="00C63860">
        <w:rPr>
          <w:rFonts w:asciiTheme="minorHAnsi" w:hAnsiTheme="minorHAnsi" w:cstheme="minorHAnsi"/>
          <w:b/>
        </w:rPr>
        <w:t>Ethics</w:t>
      </w:r>
    </w:p>
    <w:p w14:paraId="14C91256" w14:textId="0535FEF2" w:rsidR="000717D2" w:rsidRPr="00C63860" w:rsidRDefault="000717D2" w:rsidP="00E3645C">
      <w:pPr>
        <w:spacing w:before="100" w:beforeAutospacing="1" w:after="100" w:afterAutospacing="1" w:line="276" w:lineRule="auto"/>
        <w:rPr>
          <w:rFonts w:asciiTheme="minorHAnsi" w:hAnsiTheme="minorHAnsi" w:cstheme="minorHAnsi"/>
        </w:rPr>
      </w:pPr>
      <w:r w:rsidRPr="00C63860">
        <w:rPr>
          <w:rFonts w:asciiTheme="minorHAnsi" w:hAnsiTheme="minorHAnsi" w:cstheme="minorHAnsi"/>
        </w:rPr>
        <w:t xml:space="preserve">The research was approved by the </w:t>
      </w:r>
      <w:r w:rsidR="00260B74" w:rsidRPr="00C63860">
        <w:rPr>
          <w:rFonts w:asciiTheme="minorHAnsi" w:hAnsiTheme="minorHAnsi" w:cstheme="minorHAnsi"/>
        </w:rPr>
        <w:t xml:space="preserve">LHSTM </w:t>
      </w:r>
      <w:r w:rsidRPr="00C63860">
        <w:rPr>
          <w:rFonts w:asciiTheme="minorHAnsi" w:hAnsiTheme="minorHAnsi" w:cstheme="minorHAnsi"/>
        </w:rPr>
        <w:t>ethics committee</w:t>
      </w:r>
      <w:r w:rsidRPr="00C63860">
        <w:rPr>
          <w:rStyle w:val="Strong"/>
          <w:rFonts w:asciiTheme="minorHAnsi" w:hAnsiTheme="minorHAnsi" w:cstheme="minorHAnsi"/>
        </w:rPr>
        <w:t xml:space="preserve"> (Ethics Reference no:</w:t>
      </w:r>
      <w:r w:rsidR="00C63860" w:rsidRPr="00C63860">
        <w:rPr>
          <w:rStyle w:val="Strong"/>
          <w:rFonts w:asciiTheme="minorHAnsi" w:hAnsiTheme="minorHAnsi" w:cstheme="minorHAnsi"/>
        </w:rPr>
        <w:t xml:space="preserve"> </w:t>
      </w:r>
      <w:r w:rsidRPr="00C63860">
        <w:rPr>
          <w:rFonts w:asciiTheme="minorHAnsi" w:hAnsiTheme="minorHAnsi" w:cstheme="minorHAnsi"/>
          <w:b/>
          <w:bCs/>
        </w:rPr>
        <w:t>21687)</w:t>
      </w:r>
      <w:r w:rsidRPr="00C63860">
        <w:rPr>
          <w:rFonts w:asciiTheme="minorHAnsi" w:hAnsiTheme="minorHAnsi" w:cstheme="minorHAnsi"/>
        </w:rPr>
        <w:t>. The study involved the secondary analyses of existing pseudo</w:t>
      </w:r>
      <w:r w:rsidR="0083719F" w:rsidRPr="00C63860">
        <w:rPr>
          <w:rFonts w:asciiTheme="minorHAnsi" w:hAnsiTheme="minorHAnsi" w:cstheme="minorHAnsi"/>
        </w:rPr>
        <w:t>-</w:t>
      </w:r>
      <w:r w:rsidRPr="00C63860">
        <w:rPr>
          <w:rFonts w:asciiTheme="minorHAnsi" w:hAnsiTheme="minorHAnsi" w:cstheme="minorHAnsi"/>
        </w:rPr>
        <w:t xml:space="preserve">anonymised </w:t>
      </w:r>
      <w:r w:rsidRPr="00C63860">
        <w:rPr>
          <w:rFonts w:asciiTheme="minorHAnsi" w:hAnsiTheme="minorHAnsi" w:cstheme="minorHAnsi"/>
          <w:highlight w:val="magenta"/>
        </w:rPr>
        <w:t>data</w:t>
      </w:r>
      <w:r w:rsidRPr="00C63860">
        <w:rPr>
          <w:rFonts w:asciiTheme="minorHAnsi" w:hAnsiTheme="minorHAnsi" w:cstheme="minorHAnsi"/>
        </w:rPr>
        <w:t xml:space="preserve"> and did not require UK National Ethics Committee</w:t>
      </w:r>
      <w:r w:rsidR="00884BDC" w:rsidRPr="00C63860">
        <w:rPr>
          <w:rFonts w:asciiTheme="minorHAnsi" w:hAnsiTheme="minorHAnsi" w:cstheme="minorHAnsi"/>
        </w:rPr>
        <w:t xml:space="preserve"> (NEC)</w:t>
      </w:r>
      <w:r w:rsidRPr="00C63860">
        <w:rPr>
          <w:rFonts w:asciiTheme="minorHAnsi" w:hAnsiTheme="minorHAnsi" w:cstheme="minorHAnsi"/>
        </w:rPr>
        <w:t xml:space="preserve"> approval.</w:t>
      </w:r>
    </w:p>
    <w:p w14:paraId="00D13CBF" w14:textId="77777777" w:rsidR="000717D2" w:rsidRPr="00C63860" w:rsidRDefault="000717D2" w:rsidP="00E3645C">
      <w:pPr>
        <w:pStyle w:val="paragraph"/>
        <w:spacing w:line="276" w:lineRule="auto"/>
        <w:textAlignment w:val="baseline"/>
        <w:rPr>
          <w:rStyle w:val="normaltextrun"/>
          <w:rFonts w:asciiTheme="minorHAnsi" w:hAnsiTheme="minorHAnsi" w:cstheme="minorHAnsi"/>
          <w:b/>
          <w:sz w:val="22"/>
          <w:szCs w:val="22"/>
        </w:rPr>
      </w:pPr>
      <w:r w:rsidRPr="00C63860">
        <w:rPr>
          <w:rStyle w:val="normaltextrun"/>
          <w:rFonts w:asciiTheme="minorHAnsi" w:hAnsiTheme="minorHAnsi" w:cstheme="minorHAnsi"/>
          <w:b/>
          <w:sz w:val="22"/>
          <w:szCs w:val="22"/>
          <w:highlight w:val="magenta"/>
        </w:rPr>
        <w:t>Data</w:t>
      </w:r>
      <w:r w:rsidRPr="00C63860">
        <w:rPr>
          <w:rStyle w:val="normaltextrun"/>
          <w:rFonts w:asciiTheme="minorHAnsi" w:hAnsiTheme="minorHAnsi" w:cstheme="minorHAnsi"/>
          <w:b/>
          <w:sz w:val="22"/>
          <w:szCs w:val="22"/>
        </w:rPr>
        <w:t xml:space="preserve"> and Study design</w:t>
      </w:r>
    </w:p>
    <w:p w14:paraId="76141425" w14:textId="794749E5" w:rsidR="000717D2" w:rsidRPr="00C63860" w:rsidRDefault="000717D2" w:rsidP="00E3645C">
      <w:pPr>
        <w:pStyle w:val="paragraph"/>
        <w:spacing w:line="276" w:lineRule="auto"/>
        <w:textAlignment w:val="baseline"/>
        <w:rPr>
          <w:rStyle w:val="eop"/>
          <w:rFonts w:asciiTheme="minorHAnsi" w:hAnsiTheme="minorHAnsi" w:cstheme="minorHAnsi"/>
        </w:rPr>
      </w:pPr>
      <w:r w:rsidRPr="00C63860">
        <w:rPr>
          <w:rStyle w:val="normaltextrun"/>
          <w:rFonts w:asciiTheme="minorHAnsi" w:hAnsiTheme="minorHAnsi" w:cstheme="minorHAnsi"/>
          <w:sz w:val="22"/>
          <w:szCs w:val="22"/>
        </w:rPr>
        <w:t>We collated</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information on diagnosis (IC</w:t>
      </w:r>
      <w:r w:rsidR="00C63860" w:rsidRPr="00C63860">
        <w:rPr>
          <w:rStyle w:val="normaltextrun"/>
          <w:rFonts w:asciiTheme="minorHAnsi" w:hAnsiTheme="minorHAnsi" w:cstheme="minorHAnsi"/>
          <w:color w:val="00B0F0"/>
          <w:sz w:val="22"/>
          <w:szCs w:val="22"/>
        </w:rPr>
        <w:t>D-1</w:t>
      </w:r>
      <w:r w:rsidRPr="00C63860">
        <w:rPr>
          <w:rStyle w:val="normaltextrun"/>
          <w:rFonts w:asciiTheme="minorHAnsi" w:hAnsiTheme="minorHAnsi" w:cstheme="minorHAnsi"/>
          <w:sz w:val="22"/>
          <w:szCs w:val="22"/>
        </w:rPr>
        <w:t>0), case-mix, surgical procedures received, resource</w:t>
      </w:r>
      <w:r w:rsidR="0083719F" w:rsidRPr="00C63860">
        <w:rPr>
          <w:rStyle w:val="normaltextrun"/>
          <w:rFonts w:asciiTheme="minorHAnsi" w:hAnsiTheme="minorHAnsi" w:cstheme="minorHAnsi"/>
          <w:sz w:val="22"/>
          <w:szCs w:val="22"/>
        </w:rPr>
        <w:t>-</w:t>
      </w:r>
      <w:r w:rsidRPr="00C63860">
        <w:rPr>
          <w:rStyle w:val="normaltextrun"/>
          <w:rFonts w:asciiTheme="minorHAnsi" w:hAnsiTheme="minorHAnsi" w:cstheme="minorHAnsi"/>
          <w:sz w:val="22"/>
          <w:szCs w:val="22"/>
        </w:rPr>
        <w:t>use</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and outcomes, including all-cause mortality from HES linked to Office for</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 xml:space="preserve">National Statistics (ONS) mortality </w:t>
      </w:r>
      <w:r w:rsidRPr="00C63860">
        <w:rPr>
          <w:rStyle w:val="normaltextrun"/>
          <w:rFonts w:asciiTheme="minorHAnsi" w:hAnsiTheme="minorHAnsi" w:cstheme="minorHAnsi"/>
          <w:sz w:val="22"/>
          <w:szCs w:val="22"/>
          <w:highlight w:val="magenta"/>
        </w:rPr>
        <w:t>data</w:t>
      </w:r>
      <w:r w:rsidRPr="00C63860">
        <w:rPr>
          <w:rStyle w:val="normaltextrun"/>
          <w:rFonts w:asciiTheme="minorHAnsi" w:hAnsiTheme="minorHAnsi" w:cstheme="minorHAnsi"/>
          <w:sz w:val="22"/>
          <w:szCs w:val="22"/>
        </w:rPr>
        <w:t>.</w:t>
      </w:r>
      <w:r w:rsidR="00C63860" w:rsidRPr="00C63860">
        <w:rPr>
          <w:rStyle w:val="normaltextrun"/>
          <w:rFonts w:asciiTheme="minorHAnsi" w:hAnsiTheme="minorHAnsi" w:cstheme="minorHAnsi"/>
          <w:sz w:val="22"/>
          <w:szCs w:val="22"/>
        </w:rPr>
        <w:t xml:space="preserve"> </w:t>
      </w:r>
      <w:r w:rsidRPr="00C63860">
        <w:rPr>
          <w:rStyle w:val="eop"/>
          <w:rFonts w:asciiTheme="minorHAnsi" w:hAnsiTheme="minorHAnsi" w:cstheme="minorHAnsi"/>
          <w:sz w:val="22"/>
          <w:szCs w:val="22"/>
        </w:rPr>
        <w:t xml:space="preserve">The study addressed confounding by indication with an instrumental variable (IV) design, as this </w:t>
      </w:r>
      <w:r w:rsidRPr="00C63860">
        <w:rPr>
          <w:rFonts w:asciiTheme="minorHAnsi" w:hAnsiTheme="minorHAnsi" w:cstheme="minorHAnsi"/>
          <w:sz w:val="22"/>
          <w:szCs w:val="22"/>
        </w:rPr>
        <w:t xml:space="preserve">can provide accurate estimates of treatment effectiveness and cost-effectiveness even when there are unmeasured differences between the groups being compared. </w:t>
      </w:r>
      <w:r w:rsidR="006F6056" w:rsidRPr="00C63860">
        <w:rPr>
          <w:rFonts w:asciiTheme="minorHAnsi" w:hAnsiTheme="minorHAnsi" w:cstheme="minorHAnsi"/>
          <w:color w:val="00B0F0"/>
          <w:sz w:val="22"/>
          <w:szCs w:val="22"/>
          <w:highlight w:val="green"/>
        </w:rPr>
        <w:t>‘</w:t>
      </w:r>
      <w:r w:rsidR="006F6056" w:rsidRPr="00C63860">
        <w:rPr>
          <w:rFonts w:asciiTheme="minorHAnsi" w:hAnsiTheme="minorHAnsi" w:cstheme="minorHAnsi"/>
          <w:sz w:val="22"/>
          <w:szCs w:val="22"/>
          <w:highlight w:val="green"/>
        </w:rPr>
        <w:t>Tendency to operate</w:t>
      </w:r>
      <w:r w:rsidR="006F6056" w:rsidRPr="00C63860">
        <w:rPr>
          <w:rFonts w:asciiTheme="minorHAnsi" w:hAnsiTheme="minorHAnsi" w:cstheme="minorHAnsi"/>
          <w:color w:val="00B0F0"/>
          <w:sz w:val="22"/>
          <w:szCs w:val="22"/>
          <w:highlight w:val="green"/>
        </w:rPr>
        <w:t>’</w:t>
      </w:r>
      <w:r w:rsidRPr="00C63860">
        <w:rPr>
          <w:rFonts w:asciiTheme="minorHAnsi" w:hAnsiTheme="minorHAnsi" w:cstheme="minorHAnsi"/>
          <w:sz w:val="22"/>
          <w:szCs w:val="22"/>
        </w:rPr>
        <w:t xml:space="preserve"> (TTO) </w:t>
      </w:r>
      <w:r w:rsidR="00E36C28" w:rsidRPr="00C63860">
        <w:rPr>
          <w:rFonts w:asciiTheme="minorHAnsi" w:hAnsiTheme="minorHAnsi" w:cstheme="minorHAnsi"/>
          <w:sz w:val="22"/>
          <w:szCs w:val="22"/>
        </w:rPr>
        <w:t xml:space="preserve">was used </w:t>
      </w:r>
      <w:r w:rsidRPr="00C63860">
        <w:rPr>
          <w:rFonts w:asciiTheme="minorHAnsi" w:hAnsiTheme="minorHAnsi" w:cstheme="minorHAnsi"/>
          <w:sz w:val="22"/>
          <w:szCs w:val="22"/>
        </w:rPr>
        <w:t>as the IV, which was previously validated for evaluating the effectiveness of ES in the USA.</w:t>
      </w:r>
      <w:r w:rsidR="00C63860" w:rsidRPr="00C63860">
        <w:rPr>
          <w:rFonts w:asciiTheme="minorHAnsi" w:hAnsiTheme="minorHAnsi" w:cstheme="minorHAnsi"/>
          <w:sz w:val="22"/>
          <w:szCs w:val="22"/>
        </w:rPr>
        <w:t xml:space="preserve"> </w:t>
      </w:r>
      <w:r w:rsidR="00D94903" w:rsidRPr="00C63860">
        <w:rPr>
          <w:rFonts w:asciiTheme="minorHAnsi" w:hAnsiTheme="minorHAnsi" w:cstheme="minorHAnsi"/>
          <w:sz w:val="22"/>
          <w:szCs w:val="22"/>
        </w:rPr>
        <w:t>T</w:t>
      </w:r>
      <w:r w:rsidR="001F5C7E" w:rsidRPr="00C63860">
        <w:rPr>
          <w:rFonts w:asciiTheme="minorHAnsi" w:hAnsiTheme="minorHAnsi" w:cstheme="minorHAnsi"/>
          <w:sz w:val="22"/>
          <w:szCs w:val="22"/>
        </w:rPr>
        <w:t xml:space="preserve">he </w:t>
      </w:r>
      <w:r w:rsidRPr="00C63860">
        <w:rPr>
          <w:rFonts w:asciiTheme="minorHAnsi" w:hAnsiTheme="minorHAnsi" w:cstheme="minorHAnsi"/>
          <w:sz w:val="22"/>
          <w:szCs w:val="22"/>
        </w:rPr>
        <w:t xml:space="preserve">IV </w:t>
      </w:r>
      <w:r w:rsidR="00D94903" w:rsidRPr="00C63860">
        <w:rPr>
          <w:rFonts w:asciiTheme="minorHAnsi" w:hAnsiTheme="minorHAnsi" w:cstheme="minorHAnsi"/>
          <w:sz w:val="22"/>
          <w:szCs w:val="22"/>
        </w:rPr>
        <w:t xml:space="preserve">in the ESORT study </w:t>
      </w:r>
      <w:r w:rsidRPr="00C63860">
        <w:rPr>
          <w:rFonts w:asciiTheme="minorHAnsi" w:hAnsiTheme="minorHAnsi" w:cstheme="minorHAnsi"/>
          <w:sz w:val="22"/>
          <w:szCs w:val="22"/>
        </w:rPr>
        <w:t>was defined as each hospital</w:t>
      </w:r>
      <w:r w:rsidR="00C63860" w:rsidRPr="00C63860">
        <w:rPr>
          <w:rFonts w:asciiTheme="minorHAnsi" w:hAnsiTheme="minorHAnsi" w:cstheme="minorHAnsi"/>
          <w:color w:val="00B0F0"/>
          <w:sz w:val="22"/>
          <w:szCs w:val="22"/>
        </w:rPr>
        <w:t>’</w:t>
      </w:r>
      <w:r w:rsidRPr="00C63860">
        <w:rPr>
          <w:rFonts w:asciiTheme="minorHAnsi" w:hAnsiTheme="minorHAnsi" w:cstheme="minorHAnsi"/>
          <w:sz w:val="22"/>
          <w:szCs w:val="22"/>
        </w:rPr>
        <w:t>s propensity to use ES versus NES strategies for each of the acute conditions. The rationale for the IV was that patients of similar prognosis were more likely to receive ES in some hospitals, and NES strategies in other</w:t>
      </w:r>
      <w:bookmarkEnd w:id="20"/>
      <w:r w:rsidRPr="00C63860">
        <w:rPr>
          <w:rFonts w:asciiTheme="minorHAnsi" w:hAnsiTheme="minorHAnsi" w:cstheme="minorHAnsi"/>
          <w:sz w:val="22"/>
          <w:szCs w:val="22"/>
        </w:rPr>
        <w:t>s. The ESORT study assessed whether th</w:t>
      </w:r>
      <w:r w:rsidR="00D94903" w:rsidRPr="00C63860">
        <w:rPr>
          <w:rFonts w:asciiTheme="minorHAnsi" w:hAnsiTheme="minorHAnsi" w:cstheme="minorHAnsi"/>
          <w:sz w:val="22"/>
          <w:szCs w:val="22"/>
        </w:rPr>
        <w:t>e TTO</w:t>
      </w:r>
      <w:r w:rsidRPr="00C63860">
        <w:rPr>
          <w:rFonts w:asciiTheme="minorHAnsi" w:hAnsiTheme="minorHAnsi" w:cstheme="minorHAnsi"/>
          <w:sz w:val="22"/>
          <w:szCs w:val="22"/>
        </w:rPr>
        <w:t xml:space="preserve"> met the two requisite conditions</w:t>
      </w:r>
      <w:r w:rsidR="00D94903" w:rsidRPr="00C63860">
        <w:rPr>
          <w:rFonts w:asciiTheme="minorHAnsi" w:hAnsiTheme="minorHAnsi" w:cstheme="minorHAnsi"/>
          <w:sz w:val="22"/>
          <w:szCs w:val="22"/>
        </w:rPr>
        <w:t xml:space="preserve"> for an IV</w:t>
      </w:r>
      <w:r w:rsidRPr="00C63860">
        <w:rPr>
          <w:rFonts w:asciiTheme="minorHAnsi" w:hAnsiTheme="minorHAnsi" w:cstheme="minorHAnsi"/>
          <w:sz w:val="22"/>
          <w:szCs w:val="22"/>
        </w:rPr>
        <w:t xml:space="preserve">, first, that the </w:t>
      </w:r>
      <w:r w:rsidR="00D94903" w:rsidRPr="00C63860">
        <w:rPr>
          <w:rFonts w:asciiTheme="minorHAnsi" w:hAnsiTheme="minorHAnsi" w:cstheme="minorHAnsi"/>
          <w:sz w:val="22"/>
          <w:szCs w:val="22"/>
        </w:rPr>
        <w:t>hospital</w:t>
      </w:r>
      <w:r w:rsidR="00C63860" w:rsidRPr="00C63860">
        <w:rPr>
          <w:rFonts w:asciiTheme="minorHAnsi" w:hAnsiTheme="minorHAnsi" w:cstheme="minorHAnsi"/>
          <w:color w:val="00B0F0"/>
          <w:sz w:val="22"/>
          <w:szCs w:val="22"/>
        </w:rPr>
        <w:t>’</w:t>
      </w:r>
      <w:r w:rsidR="00D94903" w:rsidRPr="00C63860">
        <w:rPr>
          <w:rFonts w:asciiTheme="minorHAnsi" w:hAnsiTheme="minorHAnsi" w:cstheme="minorHAnsi"/>
          <w:sz w:val="22"/>
          <w:szCs w:val="22"/>
        </w:rPr>
        <w:t>s TTO</w:t>
      </w:r>
      <w:r w:rsidRPr="00C63860">
        <w:rPr>
          <w:rFonts w:asciiTheme="minorHAnsi" w:hAnsiTheme="minorHAnsi" w:cstheme="minorHAnsi"/>
          <w:sz w:val="22"/>
          <w:szCs w:val="22"/>
        </w:rPr>
        <w:t xml:space="preserve"> was associated with having ES and second, that the </w:t>
      </w:r>
      <w:r w:rsidR="00D94903" w:rsidRPr="00C63860">
        <w:rPr>
          <w:rFonts w:asciiTheme="minorHAnsi" w:hAnsiTheme="minorHAnsi" w:cstheme="minorHAnsi"/>
          <w:sz w:val="22"/>
          <w:szCs w:val="22"/>
        </w:rPr>
        <w:t>TTO</w:t>
      </w:r>
      <w:r w:rsidRPr="00C63860">
        <w:rPr>
          <w:rFonts w:asciiTheme="minorHAnsi" w:hAnsiTheme="minorHAnsi" w:cstheme="minorHAnsi"/>
          <w:sz w:val="22"/>
          <w:szCs w:val="22"/>
        </w:rPr>
        <w:t xml:space="preserve"> was not related to outcomes, except through the receipt of ES.</w:t>
      </w:r>
    </w:p>
    <w:p w14:paraId="7B55C873" w14:textId="77777777" w:rsidR="000717D2" w:rsidRPr="00C63860" w:rsidRDefault="000717D2" w:rsidP="00E3645C">
      <w:pPr>
        <w:pStyle w:val="paragraph"/>
        <w:spacing w:line="276" w:lineRule="auto"/>
        <w:textAlignment w:val="baseline"/>
        <w:rPr>
          <w:rStyle w:val="normaltextrun"/>
          <w:rFonts w:asciiTheme="minorHAnsi" w:hAnsiTheme="minorHAnsi" w:cstheme="minorHAnsi"/>
        </w:rPr>
      </w:pPr>
      <w:r w:rsidRPr="00C63860">
        <w:rPr>
          <w:rStyle w:val="normaltextrun"/>
          <w:rFonts w:asciiTheme="minorHAnsi" w:hAnsiTheme="minorHAnsi" w:cstheme="minorHAnsi"/>
          <w:b/>
          <w:bCs/>
          <w:sz w:val="22"/>
          <w:szCs w:val="22"/>
        </w:rPr>
        <w:t>Definitions of cohorts, ES and NES strategies</w:t>
      </w:r>
    </w:p>
    <w:p w14:paraId="24F7D6A5" w14:textId="0BD12009" w:rsidR="000717D2" w:rsidRPr="00C63860" w:rsidRDefault="000717D2" w:rsidP="00E3645C">
      <w:pPr>
        <w:spacing w:before="100" w:beforeAutospacing="1" w:after="100" w:afterAutospacing="1" w:line="276" w:lineRule="auto"/>
        <w:rPr>
          <w:rFonts w:asciiTheme="minorHAnsi" w:hAnsiTheme="minorHAnsi" w:cstheme="minorHAnsi"/>
        </w:rPr>
      </w:pPr>
      <w:r w:rsidRPr="00C63860">
        <w:rPr>
          <w:rFonts w:asciiTheme="minorHAnsi" w:hAnsiTheme="minorHAnsi" w:cstheme="minorHAnsi"/>
        </w:rPr>
        <w:t>The target populations included hospital admissions for patients aged 18 years old or over that: (i) occurred between 1/4/2010 and 31/12/2019; (ii) included a main diagnosis with a relevant IC</w:t>
      </w:r>
      <w:r w:rsidR="00C63860" w:rsidRPr="00C63860">
        <w:rPr>
          <w:rFonts w:asciiTheme="minorHAnsi" w:hAnsiTheme="minorHAnsi" w:cstheme="minorHAnsi"/>
          <w:color w:val="00B0F0"/>
        </w:rPr>
        <w:t>D-1</w:t>
      </w:r>
      <w:r w:rsidRPr="00C63860">
        <w:rPr>
          <w:rFonts w:asciiTheme="minorHAnsi" w:hAnsiTheme="minorHAnsi" w:cstheme="minorHAnsi"/>
        </w:rPr>
        <w:t>0 diagnosis code, or for the intestinal obstruction cohort, a relevant diagnosis in the second diagnosis field if the main diagnosis was colorectal cancer, (iii) was within an emergency admission through the Emergency Department, or from a primary care referral; (iv) was under a consultant general surgeon, sub-</w:t>
      </w:r>
      <w:r w:rsidRPr="00C63860">
        <w:rPr>
          <w:rFonts w:asciiTheme="minorHAnsi" w:hAnsiTheme="minorHAnsi" w:cstheme="minorHAnsi"/>
          <w:highlight w:val="magenta"/>
        </w:rPr>
        <w:t>speciality</w:t>
      </w:r>
      <w:r w:rsidRPr="00C63860">
        <w:rPr>
          <w:rFonts w:asciiTheme="minorHAnsi" w:hAnsiTheme="minorHAnsi" w:cstheme="minorHAnsi"/>
        </w:rPr>
        <w:t xml:space="preserve"> general surgeon, or any other surgeon working in the general surgery specialty; and (v) was the first or second episode within the admission. Admissions for which there was a prior emergency admission with a relevant diagnosis in the previous 12 months were excluded.</w:t>
      </w:r>
    </w:p>
    <w:p w14:paraId="16F4F45A" w14:textId="77777777" w:rsidR="00C63860" w:rsidRPr="00C63860" w:rsidRDefault="000717D2" w:rsidP="00E3645C">
      <w:pPr>
        <w:pStyle w:val="paragraph"/>
        <w:spacing w:line="276" w:lineRule="auto"/>
        <w:textAlignment w:val="baseline"/>
        <w:rPr>
          <w:rStyle w:val="eop"/>
          <w:rFonts w:asciiTheme="minorHAnsi" w:hAnsiTheme="minorHAnsi" w:cstheme="minorHAnsi"/>
          <w:sz w:val="22"/>
          <w:szCs w:val="22"/>
        </w:rPr>
      </w:pPr>
      <w:r w:rsidRPr="00C63860">
        <w:rPr>
          <w:rFonts w:asciiTheme="minorHAnsi" w:hAnsiTheme="minorHAnsi" w:cstheme="minorHAnsi"/>
          <w:sz w:val="22"/>
          <w:szCs w:val="22"/>
        </w:rPr>
        <w:t xml:space="preserve">ES was defined from a list of </w:t>
      </w:r>
      <w:bookmarkStart w:id="21" w:name="_Hlk85627694"/>
      <w:r w:rsidRPr="00C63860">
        <w:rPr>
          <w:rFonts w:asciiTheme="minorHAnsi" w:hAnsiTheme="minorHAnsi" w:cstheme="minorHAnsi"/>
          <w:sz w:val="22"/>
          <w:szCs w:val="22"/>
        </w:rPr>
        <w:t xml:space="preserve">Office of Population Censuses and Surveys (OPCS) </w:t>
      </w:r>
      <w:bookmarkEnd w:id="21"/>
      <w:r w:rsidRPr="00C63860">
        <w:rPr>
          <w:rFonts w:asciiTheme="minorHAnsi" w:hAnsiTheme="minorHAnsi" w:cstheme="minorHAnsi"/>
          <w:sz w:val="22"/>
          <w:szCs w:val="22"/>
        </w:rPr>
        <w:t>codes and had to be within a maximum time window defined by the consensus of the clinical panel. These were within three days (hernia), seven days (appendicitis, cholelithiasis, intestinal obstruction), or any time within the emergency admission (diverticular disease). The NES strategy included antibiotic therapy, non-operative procedures including interventional radiology, and operative procedures that did not meet the ES criteria.</w:t>
      </w:r>
    </w:p>
    <w:p w14:paraId="32191B48" w14:textId="29851C1C" w:rsidR="000717D2" w:rsidRPr="00C63860" w:rsidRDefault="000717D2" w:rsidP="00E3645C">
      <w:pPr>
        <w:pStyle w:val="paragraph"/>
        <w:spacing w:line="276" w:lineRule="auto"/>
        <w:textAlignment w:val="baseline"/>
        <w:rPr>
          <w:rFonts w:asciiTheme="minorHAnsi" w:hAnsiTheme="minorHAnsi" w:cstheme="minorHAnsi"/>
          <w:sz w:val="22"/>
          <w:szCs w:val="22"/>
        </w:rPr>
      </w:pPr>
      <w:r w:rsidRPr="00C63860">
        <w:rPr>
          <w:rFonts w:asciiTheme="minorHAnsi" w:hAnsiTheme="minorHAnsi" w:cstheme="minorHAnsi"/>
          <w:sz w:val="22"/>
          <w:szCs w:val="22"/>
        </w:rPr>
        <w:t>Information on patient characteristics were extracted from HES and used to define pre-specified subgroups including: age (years), number of comorbidities (Charlson comorbidity index), and frailty according to the secondary care administrative records frailty (SCARF) index. The SCARF index is based on the concept of frailty as an accumulation of deficits.</w:t>
      </w:r>
      <w:r w:rsidR="00C63860" w:rsidRPr="00C63860">
        <w:rPr>
          <w:rFonts w:asciiTheme="minorHAnsi" w:hAnsiTheme="minorHAnsi" w:cstheme="minorHAnsi"/>
          <w:sz w:val="22"/>
          <w:szCs w:val="22"/>
        </w:rPr>
        <w:t xml:space="preserve"> </w:t>
      </w:r>
      <w:r w:rsidRPr="00C63860">
        <w:rPr>
          <w:rFonts w:asciiTheme="minorHAnsi" w:hAnsiTheme="minorHAnsi" w:cstheme="minorHAnsi"/>
          <w:sz w:val="22"/>
          <w:szCs w:val="22"/>
        </w:rPr>
        <w:t>The SCARF index uses 32 deficits, each one defined from IC</w:t>
      </w:r>
      <w:r w:rsidR="00C63860" w:rsidRPr="00C63860">
        <w:rPr>
          <w:rFonts w:asciiTheme="minorHAnsi" w:hAnsiTheme="minorHAnsi" w:cstheme="minorHAnsi"/>
          <w:color w:val="00B0F0"/>
          <w:sz w:val="22"/>
          <w:szCs w:val="22"/>
        </w:rPr>
        <w:t>D-1</w:t>
      </w:r>
      <w:r w:rsidRPr="00C63860">
        <w:rPr>
          <w:rFonts w:asciiTheme="minorHAnsi" w:hAnsiTheme="minorHAnsi" w:cstheme="minorHAnsi"/>
          <w:sz w:val="22"/>
          <w:szCs w:val="22"/>
        </w:rPr>
        <w:t>0 codes.</w:t>
      </w:r>
    </w:p>
    <w:p w14:paraId="08386D4E" w14:textId="77777777" w:rsidR="000717D2" w:rsidRPr="00C63860" w:rsidRDefault="000717D2" w:rsidP="00E3645C">
      <w:pPr>
        <w:spacing w:before="100" w:beforeAutospacing="1" w:after="100" w:afterAutospacing="1" w:line="276" w:lineRule="auto"/>
        <w:rPr>
          <w:rFonts w:asciiTheme="minorHAnsi" w:hAnsiTheme="minorHAnsi" w:cstheme="minorHAnsi"/>
          <w:b/>
        </w:rPr>
      </w:pPr>
      <w:bookmarkStart w:id="22" w:name="_Hlk85627800"/>
      <w:r w:rsidRPr="00C63860">
        <w:rPr>
          <w:rFonts w:asciiTheme="minorHAnsi" w:hAnsiTheme="minorHAnsi" w:cstheme="minorHAnsi"/>
          <w:b/>
        </w:rPr>
        <w:t>Outcomes</w:t>
      </w:r>
    </w:p>
    <w:p w14:paraId="77C5FC22" w14:textId="4066DA18" w:rsidR="000717D2" w:rsidRPr="00C63860" w:rsidRDefault="000717D2" w:rsidP="00E3645C">
      <w:pPr>
        <w:spacing w:before="100" w:beforeAutospacing="1" w:after="100" w:afterAutospacing="1" w:line="276" w:lineRule="auto"/>
        <w:rPr>
          <w:rFonts w:asciiTheme="minorHAnsi" w:hAnsiTheme="minorHAnsi" w:cstheme="minorHAnsi"/>
        </w:rPr>
      </w:pPr>
      <w:r w:rsidRPr="00C63860">
        <w:rPr>
          <w:rFonts w:asciiTheme="minorHAnsi" w:hAnsiTheme="minorHAnsi" w:cstheme="minorHAnsi"/>
        </w:rPr>
        <w:t xml:space="preserve">The primary outcome measure was the </w:t>
      </w:r>
      <w:r w:rsidR="006F6056" w:rsidRPr="00C63860">
        <w:rPr>
          <w:rFonts w:asciiTheme="minorHAnsi" w:hAnsiTheme="minorHAnsi" w:cstheme="minorHAnsi"/>
          <w:color w:val="00B0F0"/>
          <w:highlight w:val="green"/>
        </w:rPr>
        <w:t>‘</w:t>
      </w:r>
      <w:r w:rsidR="006F6056" w:rsidRPr="00C63860">
        <w:rPr>
          <w:rFonts w:asciiTheme="minorHAnsi" w:hAnsiTheme="minorHAnsi" w:cstheme="minorHAnsi"/>
          <w:highlight w:val="green"/>
        </w:rPr>
        <w:t>number of days alive and out of hospital</w:t>
      </w:r>
      <w:r w:rsidR="006F6056" w:rsidRPr="00C63860">
        <w:rPr>
          <w:rFonts w:asciiTheme="minorHAnsi" w:hAnsiTheme="minorHAnsi" w:cstheme="minorHAnsi"/>
          <w:color w:val="00B0F0"/>
          <w:highlight w:val="green"/>
        </w:rPr>
        <w:t>’</w:t>
      </w:r>
      <w:r w:rsidRPr="00C63860">
        <w:rPr>
          <w:rFonts w:asciiTheme="minorHAnsi" w:hAnsiTheme="minorHAnsi" w:cstheme="minorHAnsi"/>
        </w:rPr>
        <w:t xml:space="preserve"> (DAOH) at 90 days. DAOH is a composite measure, which encompasses mortality and total length of hospital stay (LOS) including readmissions. DAOH has been previously validated as an outcome following surgery, and its choice was supported by the study</w:t>
      </w:r>
      <w:r w:rsidR="00C63860" w:rsidRPr="00C63860">
        <w:rPr>
          <w:rFonts w:asciiTheme="minorHAnsi" w:hAnsiTheme="minorHAnsi" w:cstheme="minorHAnsi"/>
          <w:color w:val="00B0F0"/>
        </w:rPr>
        <w:t>’</w:t>
      </w:r>
      <w:r w:rsidRPr="00C63860">
        <w:rPr>
          <w:rFonts w:asciiTheme="minorHAnsi" w:hAnsiTheme="minorHAnsi" w:cstheme="minorHAnsi"/>
        </w:rPr>
        <w:t xml:space="preserve">s panel of ex-patients and public contributors. The calculation of DAOH used HES </w:t>
      </w:r>
      <w:r w:rsidRPr="00C63860">
        <w:rPr>
          <w:rFonts w:asciiTheme="minorHAnsi" w:hAnsiTheme="minorHAnsi" w:cstheme="minorHAnsi"/>
          <w:highlight w:val="magenta"/>
        </w:rPr>
        <w:t>data</w:t>
      </w:r>
      <w:r w:rsidRPr="00C63860">
        <w:rPr>
          <w:rFonts w:asciiTheme="minorHAnsi" w:hAnsiTheme="minorHAnsi" w:cstheme="minorHAnsi"/>
        </w:rPr>
        <w:t xml:space="preserve"> on the total duration of hospitalisation over the 90-day period, and the date of death from linkage to the Office for National Statistics (ONS) death record. The sample size for each condition was projected to be sufficient to assess overall differences between the comparison groups in the mean DAOH of at least one day, with 80% power, and 95% levels of statistical significance. The secondary outcomes were the two aspects of DAOH: 90-day mortality and LOS, and any emergency readmission within 30 days.</w:t>
      </w:r>
    </w:p>
    <w:p w14:paraId="0166AA67" w14:textId="77777777" w:rsidR="000717D2" w:rsidRPr="00C63860" w:rsidRDefault="000717D2" w:rsidP="00E3645C">
      <w:pPr>
        <w:spacing w:before="100" w:beforeAutospacing="1" w:after="100" w:afterAutospacing="1" w:line="276" w:lineRule="auto"/>
        <w:rPr>
          <w:rFonts w:asciiTheme="minorHAnsi" w:hAnsiTheme="minorHAnsi" w:cstheme="minorHAnsi"/>
          <w:b/>
        </w:rPr>
      </w:pPr>
      <w:r w:rsidRPr="00C63860">
        <w:rPr>
          <w:rFonts w:asciiTheme="minorHAnsi" w:hAnsiTheme="minorHAnsi" w:cstheme="minorHAnsi"/>
          <w:b/>
        </w:rPr>
        <w:t>Analysis</w:t>
      </w:r>
    </w:p>
    <w:bookmarkEnd w:id="22"/>
    <w:p w14:paraId="5AA3E33E" w14:textId="37D3AB51" w:rsidR="000717D2" w:rsidRPr="00C63860" w:rsidRDefault="000717D2" w:rsidP="00E3645C">
      <w:pPr>
        <w:pStyle w:val="paragraph"/>
        <w:spacing w:line="276" w:lineRule="auto"/>
        <w:textAlignment w:val="baseline"/>
        <w:rPr>
          <w:rFonts w:asciiTheme="minorHAnsi" w:eastAsia="Helvetica" w:hAnsiTheme="minorHAnsi" w:cstheme="minorHAnsi"/>
          <w:sz w:val="22"/>
          <w:szCs w:val="22"/>
          <w:lang w:bidi="en-GB"/>
          <w14:ligatures w14:val="standardContextual"/>
        </w:rPr>
      </w:pPr>
      <w:r w:rsidRPr="00C63860">
        <w:rPr>
          <w:rFonts w:asciiTheme="minorHAnsi" w:hAnsiTheme="minorHAnsi" w:cstheme="minorHAnsi"/>
          <w:sz w:val="22"/>
          <w:szCs w:val="22"/>
        </w:rPr>
        <w:t>For each qualifying emergency admission, the TTO was calculated as the proportion of eligible emergency admissions in that specific hospital who received ES in the previous 12 months, thus suggesting that the hospital</w:t>
      </w:r>
      <w:r w:rsidR="00C63860" w:rsidRPr="00C63860">
        <w:rPr>
          <w:rFonts w:asciiTheme="minorHAnsi" w:hAnsiTheme="minorHAnsi" w:cstheme="minorHAnsi"/>
          <w:color w:val="00B0F0"/>
          <w:sz w:val="22"/>
          <w:szCs w:val="22"/>
        </w:rPr>
        <w:t>’</w:t>
      </w:r>
      <w:r w:rsidRPr="00C63860">
        <w:rPr>
          <w:rFonts w:asciiTheme="minorHAnsi" w:hAnsiTheme="minorHAnsi" w:cstheme="minorHAnsi"/>
          <w:sz w:val="22"/>
          <w:szCs w:val="22"/>
        </w:rPr>
        <w:t xml:space="preserve">s past preference for ES strongly predicts treatment choice for the current patient. The IV was used to address confounding in estimating the relative effectiveness of ES versus NES strategies for the overall cohort, and for the above pre-specified subgroup variables. </w:t>
      </w:r>
      <w:r w:rsidRPr="00C63860">
        <w:rPr>
          <w:rFonts w:asciiTheme="minorHAnsi" w:eastAsia="Helvetica" w:hAnsiTheme="minorHAnsi" w:cstheme="minorHAnsi"/>
          <w:sz w:val="22"/>
          <w:szCs w:val="22"/>
          <w:lang w:bidi="en-GB"/>
          <w14:ligatures w14:val="standardContextual"/>
        </w:rPr>
        <w:t xml:space="preserve">To further support the conditions underlying the IV, the analysis </w:t>
      </w:r>
      <w:r w:rsidRPr="00C63860">
        <w:rPr>
          <w:rFonts w:asciiTheme="minorHAnsi" w:hAnsiTheme="minorHAnsi" w:cstheme="minorHAnsi"/>
          <w:sz w:val="22"/>
          <w:szCs w:val="22"/>
        </w:rPr>
        <w:t>adjusted for the covariates described above, together with the time period, and proxies for the quality of acute care in each hospital.</w:t>
      </w:r>
    </w:p>
    <w:p w14:paraId="4239C1A1" w14:textId="77777777" w:rsidR="00C63860" w:rsidRPr="00C63860" w:rsidRDefault="000717D2" w:rsidP="00E3645C">
      <w:pPr>
        <w:pStyle w:val="paragraph"/>
        <w:spacing w:line="276" w:lineRule="auto"/>
        <w:textAlignment w:val="baseline"/>
        <w:rPr>
          <w:rFonts w:asciiTheme="minorHAnsi" w:eastAsia="Helvetica" w:hAnsiTheme="minorHAnsi" w:cstheme="minorHAnsi"/>
          <w:sz w:val="22"/>
          <w:szCs w:val="22"/>
          <w:lang w:bidi="en-GB"/>
          <w14:ligatures w14:val="standardContextual"/>
        </w:rPr>
      </w:pPr>
      <w:r w:rsidRPr="00C63860">
        <w:rPr>
          <w:rFonts w:asciiTheme="minorHAnsi" w:eastAsia="Helvetica" w:hAnsiTheme="minorHAnsi" w:cstheme="minorHAnsi"/>
          <w:sz w:val="22"/>
          <w:szCs w:val="22"/>
          <w:lang w:bidi="en-GB"/>
          <w14:ligatures w14:val="standardContextual"/>
        </w:rPr>
        <w:t xml:space="preserve">The sensitivity analyses assessed whether the results were robust to alternative assumptions including: </w:t>
      </w:r>
      <w:r w:rsidR="00D94903" w:rsidRPr="00C63860">
        <w:rPr>
          <w:rFonts w:asciiTheme="minorHAnsi" w:eastAsia="Helvetica" w:hAnsiTheme="minorHAnsi" w:cstheme="minorHAnsi"/>
          <w:sz w:val="22"/>
          <w:szCs w:val="22"/>
          <w:lang w:bidi="en-GB"/>
          <w14:ligatures w14:val="standardContextual"/>
        </w:rPr>
        <w:t>different</w:t>
      </w:r>
      <w:r w:rsidRPr="00C63860">
        <w:rPr>
          <w:rFonts w:asciiTheme="minorHAnsi" w:eastAsia="Helvetica" w:hAnsiTheme="minorHAnsi" w:cstheme="minorHAnsi"/>
          <w:sz w:val="22"/>
          <w:szCs w:val="22"/>
          <w:lang w:bidi="en-GB"/>
          <w14:ligatures w14:val="standardContextual"/>
        </w:rPr>
        <w:t xml:space="preserve"> definitions of ES and the quality of acute care, and the use of regression adjustment, which assumed that there were no unmeasured confounders, rather than the IV approach.</w:t>
      </w:r>
    </w:p>
    <w:p w14:paraId="1676E352" w14:textId="77777777" w:rsidR="00C63860" w:rsidRPr="00C63860" w:rsidRDefault="000717D2" w:rsidP="00E3645C">
      <w:pPr>
        <w:pStyle w:val="paragraph"/>
        <w:spacing w:line="276" w:lineRule="auto"/>
        <w:textAlignment w:val="baseline"/>
        <w:rPr>
          <w:rStyle w:val="normaltextrun"/>
          <w:rFonts w:asciiTheme="minorHAnsi" w:hAnsiTheme="minorHAnsi" w:cstheme="minorHAnsi"/>
          <w:b/>
          <w:bCs/>
          <w:sz w:val="22"/>
          <w:szCs w:val="22"/>
        </w:rPr>
      </w:pPr>
      <w:r w:rsidRPr="00C63860">
        <w:rPr>
          <w:rStyle w:val="normaltextrun"/>
          <w:rFonts w:asciiTheme="minorHAnsi" w:hAnsiTheme="minorHAnsi" w:cstheme="minorHAnsi"/>
          <w:b/>
          <w:bCs/>
          <w:sz w:val="22"/>
          <w:szCs w:val="22"/>
        </w:rPr>
        <w:t>Cost-effectiveness analysis</w:t>
      </w:r>
    </w:p>
    <w:p w14:paraId="6F350009" w14:textId="326767B8" w:rsidR="00C63860" w:rsidRPr="00C63860" w:rsidRDefault="000717D2" w:rsidP="00E3645C">
      <w:pPr>
        <w:pStyle w:val="paragraph"/>
        <w:spacing w:line="276" w:lineRule="auto"/>
        <w:textAlignment w:val="baseline"/>
        <w:rPr>
          <w:rStyle w:val="normaltextrun"/>
          <w:rFonts w:asciiTheme="minorHAnsi" w:hAnsiTheme="minorHAnsi" w:cstheme="minorHAnsi"/>
          <w:sz w:val="22"/>
          <w:szCs w:val="22"/>
        </w:rPr>
      </w:pPr>
      <w:r w:rsidRPr="00C63860">
        <w:rPr>
          <w:rStyle w:val="normaltextrun"/>
          <w:rFonts w:asciiTheme="minorHAnsi" w:hAnsiTheme="minorHAnsi" w:cstheme="minorHAnsi"/>
          <w:sz w:val="22"/>
          <w:szCs w:val="22"/>
        </w:rPr>
        <w:t>The cost-effectiveness analysis (CEA)</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 xml:space="preserve">took an acute hospital perspective and included all inpatient costs up to one year. Information on individual-level resource use was extracted from the HES </w:t>
      </w:r>
      <w:r w:rsidRPr="00C63860">
        <w:rPr>
          <w:rStyle w:val="normaltextrun"/>
          <w:rFonts w:asciiTheme="minorHAnsi" w:hAnsiTheme="minorHAnsi" w:cstheme="minorHAnsi"/>
          <w:sz w:val="22"/>
          <w:szCs w:val="22"/>
          <w:highlight w:val="magenta"/>
        </w:rPr>
        <w:t>data</w:t>
      </w:r>
      <w:r w:rsidRPr="00C63860">
        <w:rPr>
          <w:rStyle w:val="normaltextrun"/>
          <w:rFonts w:asciiTheme="minorHAnsi" w:hAnsiTheme="minorHAnsi" w:cstheme="minorHAnsi"/>
          <w:sz w:val="22"/>
          <w:szCs w:val="22"/>
        </w:rPr>
        <w:t xml:space="preserve"> and included: the procedures</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received, the</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total hospital LOS, including critical care, and readmissions. Unit costs</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were</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taken from a</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literature review and the NHS payment by results database, and</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 xml:space="preserve">combined with resource use to report total costs per patient up to one year. We reported Quality-Adjusted </w:t>
      </w:r>
      <w:r w:rsidR="00C63860" w:rsidRPr="00C63860">
        <w:rPr>
          <w:rStyle w:val="normaltextrun"/>
          <w:rFonts w:asciiTheme="minorHAnsi" w:hAnsiTheme="minorHAnsi" w:cstheme="minorHAnsi"/>
          <w:color w:val="00B0F0"/>
          <w:sz w:val="22"/>
          <w:szCs w:val="22"/>
        </w:rPr>
        <w:t>Life-year</w:t>
      </w:r>
      <w:r w:rsidRPr="00C63860">
        <w:rPr>
          <w:rStyle w:val="normaltextrun"/>
          <w:rFonts w:asciiTheme="minorHAnsi" w:hAnsiTheme="minorHAnsi" w:cstheme="minorHAnsi"/>
          <w:sz w:val="22"/>
          <w:szCs w:val="22"/>
        </w:rPr>
        <w:t>s (QALYs) up to one year by combining survival time</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with health-related quality of life (HRQoL) estimates from the literature.</w:t>
      </w:r>
    </w:p>
    <w:p w14:paraId="6E9D17CE" w14:textId="69FB77EF" w:rsidR="000717D2" w:rsidRPr="00C63860" w:rsidRDefault="000717D2" w:rsidP="00E3645C">
      <w:pPr>
        <w:pStyle w:val="paragraph"/>
        <w:spacing w:line="276" w:lineRule="auto"/>
        <w:textAlignment w:val="baseline"/>
        <w:rPr>
          <w:rStyle w:val="normaltextrun"/>
          <w:rFonts w:asciiTheme="minorHAnsi" w:hAnsiTheme="minorHAnsi" w:cstheme="minorHAnsi"/>
          <w:sz w:val="22"/>
          <w:szCs w:val="22"/>
        </w:rPr>
      </w:pPr>
      <w:r w:rsidRPr="00C63860">
        <w:rPr>
          <w:rStyle w:val="normaltextrun"/>
          <w:rFonts w:asciiTheme="minorHAnsi" w:hAnsiTheme="minorHAnsi" w:cstheme="minorHAnsi"/>
          <w:sz w:val="22"/>
          <w:szCs w:val="22"/>
        </w:rPr>
        <w:t>We estimated the relative cost-effectiveness of ES versus NES strategies for</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each of the five acute conditions for the overall cohort and each of the pre-specified subgroups, adjusting for confounding with the IV approach. The cost-effectiveness</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metric was the incremental net monetary benefit (INB), with incremental QALYs, defined as the difference in QALYs between ES and NES strategies, which were then valued at £20,000 per QALY. We tested whether the results were robust to alternative sources for the HRQoL estimates, to different time horizons (five</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vs one</w:t>
      </w:r>
      <w:r w:rsidR="00C63860" w:rsidRPr="00C63860">
        <w:rPr>
          <w:rStyle w:val="normaltextrun"/>
          <w:rFonts w:asciiTheme="minorHAnsi" w:hAnsiTheme="minorHAnsi" w:cstheme="minorHAnsi"/>
          <w:sz w:val="22"/>
          <w:szCs w:val="22"/>
        </w:rPr>
        <w:t xml:space="preserve"> </w:t>
      </w:r>
      <w:r w:rsidRPr="00C63860">
        <w:rPr>
          <w:rStyle w:val="normaltextrun"/>
          <w:rFonts w:asciiTheme="minorHAnsi" w:hAnsiTheme="minorHAnsi" w:cstheme="minorHAnsi"/>
          <w:sz w:val="22"/>
          <w:szCs w:val="22"/>
        </w:rPr>
        <w:t>year), and to adjustment for confounding with regression instead of the IV approach.</w:t>
      </w:r>
    </w:p>
    <w:p w14:paraId="1BA73818" w14:textId="77777777" w:rsidR="000717D2" w:rsidRPr="00C63860" w:rsidRDefault="000717D2" w:rsidP="00E3645C">
      <w:pPr>
        <w:pStyle w:val="paragraph"/>
        <w:spacing w:line="276" w:lineRule="auto"/>
        <w:textAlignment w:val="baseline"/>
        <w:rPr>
          <w:rStyle w:val="eop"/>
          <w:rFonts w:asciiTheme="minorHAnsi" w:hAnsiTheme="minorHAnsi" w:cstheme="minorHAnsi"/>
          <w:b/>
          <w:bCs/>
        </w:rPr>
      </w:pPr>
      <w:r w:rsidRPr="00C63860">
        <w:rPr>
          <w:rStyle w:val="normaltextrun"/>
          <w:rFonts w:asciiTheme="minorHAnsi" w:hAnsiTheme="minorHAnsi" w:cstheme="minorHAnsi"/>
          <w:b/>
          <w:bCs/>
          <w:sz w:val="28"/>
          <w:szCs w:val="28"/>
        </w:rPr>
        <w:t>Results</w:t>
      </w:r>
    </w:p>
    <w:p w14:paraId="3CFE036A" w14:textId="77777777" w:rsidR="00C63860" w:rsidRPr="00C63860" w:rsidRDefault="000717D2" w:rsidP="00E3645C">
      <w:pPr>
        <w:spacing w:line="276" w:lineRule="auto"/>
        <w:rPr>
          <w:rFonts w:asciiTheme="minorHAnsi" w:hAnsiTheme="minorHAnsi" w:cstheme="minorHAnsi"/>
          <w:b/>
          <w:bCs/>
        </w:rPr>
      </w:pPr>
      <w:r w:rsidRPr="00C63860">
        <w:rPr>
          <w:rFonts w:asciiTheme="minorHAnsi" w:hAnsiTheme="minorHAnsi" w:cstheme="minorHAnsi"/>
          <w:b/>
          <w:bCs/>
        </w:rPr>
        <w:t>Cohorts and IV validity</w:t>
      </w:r>
    </w:p>
    <w:p w14:paraId="7F1C9DB2" w14:textId="77777777" w:rsidR="00C63860" w:rsidRPr="00C63860" w:rsidRDefault="000717D2" w:rsidP="00E3645C">
      <w:pPr>
        <w:spacing w:line="276" w:lineRule="auto"/>
        <w:rPr>
          <w:rFonts w:asciiTheme="minorHAnsi" w:hAnsiTheme="minorHAnsi" w:cstheme="minorHAnsi"/>
          <w:bCs/>
        </w:rPr>
      </w:pPr>
      <w:bookmarkStart w:id="23" w:name="_Hlk85639734"/>
      <w:r w:rsidRPr="00C63860">
        <w:rPr>
          <w:rFonts w:asciiTheme="minorHAnsi" w:hAnsiTheme="minorHAnsi" w:cstheme="minorHAnsi"/>
        </w:rPr>
        <w:t xml:space="preserve">Cohort sizes were: 268,144 (appendicitis), 240,977 (cholelithiasis), 138,869 (diverticular disease), 106,432 (hernia), and 133,073 (intestinal obstruction). The proportions of patients who had ES were 92.3% (acute appendicitis), 21.6% (cholelithiasis), 11.4% (diverticular disease), 58.8% (abdominal wall hernia) and 30.5% (intestinal obstruction). </w:t>
      </w:r>
      <w:bookmarkEnd w:id="23"/>
      <w:r w:rsidRPr="00C63860">
        <w:rPr>
          <w:rFonts w:asciiTheme="minorHAnsi" w:hAnsiTheme="minorHAnsi" w:cstheme="minorHAnsi"/>
        </w:rPr>
        <w:t xml:space="preserve">There was wide variation in ES rates across NHS hospitals. The greatest variation was for cholelithiasis with a median ES rate across hospitals of 8.4% with </w:t>
      </w:r>
      <w:r w:rsidR="00A865BE" w:rsidRPr="00C63860">
        <w:rPr>
          <w:rFonts w:asciiTheme="minorHAnsi" w:hAnsiTheme="minorHAnsi" w:cstheme="minorHAnsi"/>
        </w:rPr>
        <w:t>minimum</w:t>
      </w:r>
      <w:r w:rsidRPr="00C63860">
        <w:rPr>
          <w:rFonts w:asciiTheme="minorHAnsi" w:hAnsiTheme="minorHAnsi" w:cstheme="minorHAnsi"/>
        </w:rPr>
        <w:t xml:space="preserve"> </w:t>
      </w:r>
      <w:r w:rsidR="00A865BE" w:rsidRPr="00C63860">
        <w:rPr>
          <w:rFonts w:asciiTheme="minorHAnsi" w:hAnsiTheme="minorHAnsi" w:cstheme="minorHAnsi"/>
        </w:rPr>
        <w:t xml:space="preserve">and maximum </w:t>
      </w:r>
      <w:r w:rsidRPr="00C63860">
        <w:rPr>
          <w:rFonts w:asciiTheme="minorHAnsi" w:hAnsiTheme="minorHAnsi" w:cstheme="minorHAnsi"/>
        </w:rPr>
        <w:t xml:space="preserve">of </w:t>
      </w:r>
      <w:r w:rsidR="00A865BE" w:rsidRPr="00C63860">
        <w:rPr>
          <w:rFonts w:asciiTheme="minorHAnsi" w:hAnsiTheme="minorHAnsi" w:cstheme="minorHAnsi"/>
        </w:rPr>
        <w:t>2.3</w:t>
      </w:r>
      <w:r w:rsidRPr="00C63860">
        <w:rPr>
          <w:rFonts w:asciiTheme="minorHAnsi" w:hAnsiTheme="minorHAnsi" w:cstheme="minorHAnsi"/>
        </w:rPr>
        <w:t xml:space="preserve">% </w:t>
      </w:r>
      <w:r w:rsidR="00A865BE" w:rsidRPr="00C63860">
        <w:rPr>
          <w:rFonts w:asciiTheme="minorHAnsi" w:hAnsiTheme="minorHAnsi" w:cstheme="minorHAnsi"/>
        </w:rPr>
        <w:t>and</w:t>
      </w:r>
      <w:r w:rsidRPr="00C63860">
        <w:rPr>
          <w:rFonts w:asciiTheme="minorHAnsi" w:hAnsiTheme="minorHAnsi" w:cstheme="minorHAnsi"/>
        </w:rPr>
        <w:t xml:space="preserve"> </w:t>
      </w:r>
      <w:r w:rsidR="00A865BE" w:rsidRPr="00C63860">
        <w:rPr>
          <w:rFonts w:asciiTheme="minorHAnsi" w:hAnsiTheme="minorHAnsi" w:cstheme="minorHAnsi"/>
        </w:rPr>
        <w:t>66</w:t>
      </w:r>
      <w:r w:rsidRPr="00C63860">
        <w:rPr>
          <w:rFonts w:asciiTheme="minorHAnsi" w:hAnsiTheme="minorHAnsi" w:cstheme="minorHAnsi"/>
        </w:rPr>
        <w:t>.</w:t>
      </w:r>
      <w:r w:rsidR="00A865BE" w:rsidRPr="00C63860">
        <w:rPr>
          <w:rFonts w:asciiTheme="minorHAnsi" w:hAnsiTheme="minorHAnsi" w:cstheme="minorHAnsi"/>
        </w:rPr>
        <w:t>4</w:t>
      </w:r>
      <w:r w:rsidRPr="00C63860">
        <w:rPr>
          <w:rFonts w:asciiTheme="minorHAnsi" w:hAnsiTheme="minorHAnsi" w:cstheme="minorHAnsi"/>
        </w:rPr>
        <w:t>%, following by hernia, median, 59.8% (</w:t>
      </w:r>
      <w:r w:rsidR="00A865BE" w:rsidRPr="00C63860">
        <w:rPr>
          <w:rFonts w:asciiTheme="minorHAnsi" w:hAnsiTheme="minorHAnsi" w:cstheme="minorHAnsi"/>
        </w:rPr>
        <w:t>minimum 30.8</w:t>
      </w:r>
      <w:r w:rsidRPr="00C63860">
        <w:rPr>
          <w:rFonts w:asciiTheme="minorHAnsi" w:hAnsiTheme="minorHAnsi" w:cstheme="minorHAnsi"/>
        </w:rPr>
        <w:t>%</w:t>
      </w:r>
      <w:r w:rsidR="00A865BE" w:rsidRPr="00C63860">
        <w:rPr>
          <w:rFonts w:asciiTheme="minorHAnsi" w:hAnsiTheme="minorHAnsi" w:cstheme="minorHAnsi"/>
        </w:rPr>
        <w:t>, maximum</w:t>
      </w:r>
      <w:r w:rsidRPr="00C63860">
        <w:rPr>
          <w:rFonts w:asciiTheme="minorHAnsi" w:hAnsiTheme="minorHAnsi" w:cstheme="minorHAnsi"/>
        </w:rPr>
        <w:t xml:space="preserve"> </w:t>
      </w:r>
      <w:r w:rsidR="00A865BE" w:rsidRPr="00C63860">
        <w:rPr>
          <w:rFonts w:asciiTheme="minorHAnsi" w:hAnsiTheme="minorHAnsi" w:cstheme="minorHAnsi"/>
        </w:rPr>
        <w:t>79.2</w:t>
      </w:r>
      <w:r w:rsidRPr="00C63860">
        <w:rPr>
          <w:rFonts w:asciiTheme="minorHAnsi" w:hAnsiTheme="minorHAnsi" w:cstheme="minorHAnsi"/>
        </w:rPr>
        <w:t>%) appendicitis, 93.0% (</w:t>
      </w:r>
      <w:r w:rsidR="00A865BE" w:rsidRPr="00C63860">
        <w:rPr>
          <w:rFonts w:asciiTheme="minorHAnsi" w:hAnsiTheme="minorHAnsi" w:cstheme="minorHAnsi"/>
        </w:rPr>
        <w:t>67.5</w:t>
      </w:r>
      <w:r w:rsidRPr="00C63860">
        <w:rPr>
          <w:rFonts w:asciiTheme="minorHAnsi" w:hAnsiTheme="minorHAnsi" w:cstheme="minorHAnsi"/>
        </w:rPr>
        <w:t>%</w:t>
      </w:r>
      <w:r w:rsidR="00A865BE" w:rsidRPr="00C63860">
        <w:rPr>
          <w:rFonts w:asciiTheme="minorHAnsi" w:hAnsiTheme="minorHAnsi" w:cstheme="minorHAnsi"/>
        </w:rPr>
        <w:t xml:space="preserve">, </w:t>
      </w:r>
      <w:r w:rsidRPr="00C63860">
        <w:rPr>
          <w:rFonts w:asciiTheme="minorHAnsi" w:hAnsiTheme="minorHAnsi" w:cstheme="minorHAnsi"/>
        </w:rPr>
        <w:t>9</w:t>
      </w:r>
      <w:r w:rsidR="00A865BE" w:rsidRPr="00C63860">
        <w:rPr>
          <w:rFonts w:asciiTheme="minorHAnsi" w:hAnsiTheme="minorHAnsi" w:cstheme="minorHAnsi"/>
        </w:rPr>
        <w:t>8</w:t>
      </w:r>
      <w:r w:rsidRPr="00C63860">
        <w:rPr>
          <w:rFonts w:asciiTheme="minorHAnsi" w:hAnsiTheme="minorHAnsi" w:cstheme="minorHAnsi"/>
        </w:rPr>
        <w:t>.</w:t>
      </w:r>
      <w:r w:rsidR="00A865BE" w:rsidRPr="00C63860">
        <w:rPr>
          <w:rFonts w:asciiTheme="minorHAnsi" w:hAnsiTheme="minorHAnsi" w:cstheme="minorHAnsi"/>
        </w:rPr>
        <w:t>6</w:t>
      </w:r>
      <w:r w:rsidRPr="00C63860">
        <w:rPr>
          <w:rFonts w:asciiTheme="minorHAnsi" w:hAnsiTheme="minorHAnsi" w:cstheme="minorHAnsi"/>
        </w:rPr>
        <w:t>%), intestinal obstruction, 30.0% (2</w:t>
      </w:r>
      <w:r w:rsidR="00A865BE" w:rsidRPr="00C63860">
        <w:rPr>
          <w:rFonts w:asciiTheme="minorHAnsi" w:hAnsiTheme="minorHAnsi" w:cstheme="minorHAnsi"/>
        </w:rPr>
        <w:t>0.4</w:t>
      </w:r>
      <w:r w:rsidRPr="00C63860">
        <w:rPr>
          <w:rFonts w:asciiTheme="minorHAnsi" w:hAnsiTheme="minorHAnsi" w:cstheme="minorHAnsi"/>
        </w:rPr>
        <w:t>%</w:t>
      </w:r>
      <w:r w:rsidR="00A865BE" w:rsidRPr="00C63860">
        <w:rPr>
          <w:rFonts w:asciiTheme="minorHAnsi" w:hAnsiTheme="minorHAnsi" w:cstheme="minorHAnsi"/>
        </w:rPr>
        <w:t>,</w:t>
      </w:r>
      <w:r w:rsidRPr="00C63860">
        <w:rPr>
          <w:rFonts w:asciiTheme="minorHAnsi" w:hAnsiTheme="minorHAnsi" w:cstheme="minorHAnsi"/>
        </w:rPr>
        <w:t xml:space="preserve"> </w:t>
      </w:r>
      <w:r w:rsidR="00A865BE" w:rsidRPr="00C63860">
        <w:rPr>
          <w:rFonts w:asciiTheme="minorHAnsi" w:hAnsiTheme="minorHAnsi" w:cstheme="minorHAnsi"/>
        </w:rPr>
        <w:t>51.4</w:t>
      </w:r>
      <w:r w:rsidRPr="00C63860">
        <w:rPr>
          <w:rFonts w:asciiTheme="minorHAnsi" w:hAnsiTheme="minorHAnsi" w:cstheme="minorHAnsi"/>
        </w:rPr>
        <w:t>%) and diverticular disease, 11.2% (</w:t>
      </w:r>
      <w:r w:rsidR="00A865BE" w:rsidRPr="00C63860">
        <w:rPr>
          <w:rFonts w:asciiTheme="minorHAnsi" w:hAnsiTheme="minorHAnsi" w:cstheme="minorHAnsi"/>
        </w:rPr>
        <w:t>3.5</w:t>
      </w:r>
      <w:r w:rsidRPr="00C63860">
        <w:rPr>
          <w:rFonts w:asciiTheme="minorHAnsi" w:hAnsiTheme="minorHAnsi" w:cstheme="minorHAnsi"/>
        </w:rPr>
        <w:t>%</w:t>
      </w:r>
      <w:r w:rsidR="00A865BE" w:rsidRPr="00C63860">
        <w:rPr>
          <w:rFonts w:asciiTheme="minorHAnsi" w:hAnsiTheme="minorHAnsi" w:cstheme="minorHAnsi"/>
        </w:rPr>
        <w:t>, 21.0</w:t>
      </w:r>
      <w:r w:rsidRPr="00C63860">
        <w:rPr>
          <w:rFonts w:asciiTheme="minorHAnsi" w:hAnsiTheme="minorHAnsi" w:cstheme="minorHAnsi"/>
        </w:rPr>
        <w:t>%). For each acute condition, the hospital-level TTO was strongly correlated with ES receipt (IV condition 1). T</w:t>
      </w:r>
      <w:r w:rsidRPr="00C63860">
        <w:rPr>
          <w:rFonts w:asciiTheme="minorHAnsi" w:hAnsiTheme="minorHAnsi" w:cstheme="minorHAnsi"/>
          <w:bCs/>
        </w:rPr>
        <w:t>he TTO balanced the observed baseline covariates, which increased confidence that the IV also balanced unmeasured confounders (IV condition 2).</w:t>
      </w:r>
    </w:p>
    <w:p w14:paraId="6E76E0D6" w14:textId="77777777" w:rsidR="00C63860" w:rsidRPr="00C63860" w:rsidRDefault="000717D2" w:rsidP="00E3645C">
      <w:pPr>
        <w:spacing w:line="276" w:lineRule="auto"/>
        <w:rPr>
          <w:rFonts w:asciiTheme="minorHAnsi" w:hAnsiTheme="minorHAnsi" w:cstheme="minorHAnsi"/>
          <w:b/>
          <w:bCs/>
        </w:rPr>
      </w:pPr>
      <w:r w:rsidRPr="00C63860">
        <w:rPr>
          <w:rFonts w:asciiTheme="minorHAnsi" w:hAnsiTheme="minorHAnsi" w:cstheme="minorHAnsi"/>
          <w:b/>
          <w:bCs/>
        </w:rPr>
        <w:t>Overall effectiveness and cost-effectiveness results</w:t>
      </w:r>
    </w:p>
    <w:p w14:paraId="4739E05A" w14:textId="58CD25DF" w:rsidR="00C63860" w:rsidRPr="00C63860" w:rsidRDefault="000717D2" w:rsidP="00E3645C">
      <w:pPr>
        <w:spacing w:line="276" w:lineRule="auto"/>
        <w:rPr>
          <w:rFonts w:asciiTheme="minorHAnsi" w:hAnsiTheme="minorHAnsi" w:cstheme="minorHAnsi"/>
        </w:rPr>
      </w:pPr>
      <w:r w:rsidRPr="00C63860">
        <w:rPr>
          <w:rFonts w:asciiTheme="minorHAnsi" w:hAnsiTheme="minorHAnsi" w:cstheme="minorHAnsi"/>
        </w:rPr>
        <w:t xml:space="preserve">Overall, average DAOHs were similar following ES or NES strategies, with mean differences of </w:t>
      </w:r>
      <w:r w:rsidR="00C63860" w:rsidRPr="00C63860">
        <w:rPr>
          <w:rFonts w:asciiTheme="minorHAnsi" w:hAnsiTheme="minorHAnsi" w:cstheme="minorHAnsi"/>
          <w:color w:val="00B0F0"/>
        </w:rPr>
        <w:t>–0</w:t>
      </w:r>
      <w:r w:rsidRPr="00C63860">
        <w:rPr>
          <w:rFonts w:asciiTheme="minorHAnsi" w:hAnsiTheme="minorHAnsi" w:cstheme="minorHAnsi"/>
        </w:rPr>
        <w:t xml:space="preserve">.73 days (95% confidence interval, </w:t>
      </w:r>
      <w:r w:rsidR="00C63860" w:rsidRPr="00C63860">
        <w:rPr>
          <w:rFonts w:asciiTheme="minorHAnsi" w:hAnsiTheme="minorHAnsi" w:cstheme="minorHAnsi"/>
          <w:color w:val="00B0F0"/>
        </w:rPr>
        <w:t>–2</w:t>
      </w:r>
      <w:r w:rsidRPr="00C63860">
        <w:rPr>
          <w:rFonts w:asciiTheme="minorHAnsi" w:hAnsiTheme="minorHAnsi" w:cstheme="minorHAnsi"/>
        </w:rPr>
        <w:t>.10 to 0.64) (appendicitis), 0.60 (</w:t>
      </w:r>
      <w:r w:rsidR="00C63860" w:rsidRPr="00C63860">
        <w:rPr>
          <w:rFonts w:asciiTheme="minorHAnsi" w:hAnsiTheme="minorHAnsi" w:cstheme="minorHAnsi"/>
          <w:color w:val="00B0F0"/>
        </w:rPr>
        <w:t>–0</w:t>
      </w:r>
      <w:r w:rsidRPr="00C63860">
        <w:rPr>
          <w:rFonts w:asciiTheme="minorHAnsi" w:hAnsiTheme="minorHAnsi" w:cstheme="minorHAnsi"/>
        </w:rPr>
        <w:t xml:space="preserve">.10 to 1.30) (cholelithiasis), </w:t>
      </w:r>
      <w:r w:rsidR="00C63860" w:rsidRPr="00C63860">
        <w:rPr>
          <w:rFonts w:asciiTheme="minorHAnsi" w:hAnsiTheme="minorHAnsi" w:cstheme="minorHAnsi"/>
          <w:color w:val="00B0F0"/>
        </w:rPr>
        <w:t>–2</w:t>
      </w:r>
      <w:r w:rsidRPr="00C63860">
        <w:rPr>
          <w:rFonts w:asciiTheme="minorHAnsi" w:hAnsiTheme="minorHAnsi" w:cstheme="minorHAnsi"/>
        </w:rPr>
        <w:t>.66 (</w:t>
      </w:r>
      <w:r w:rsidR="00C63860" w:rsidRPr="00C63860">
        <w:rPr>
          <w:rFonts w:asciiTheme="minorHAnsi" w:hAnsiTheme="minorHAnsi" w:cstheme="minorHAnsi"/>
          <w:color w:val="00B0F0"/>
        </w:rPr>
        <w:t>–1</w:t>
      </w:r>
      <w:r w:rsidRPr="00C63860">
        <w:rPr>
          <w:rFonts w:asciiTheme="minorHAnsi" w:hAnsiTheme="minorHAnsi" w:cstheme="minorHAnsi"/>
        </w:rPr>
        <w:t xml:space="preserve">5.7 to 10.4) (diverticular disease), </w:t>
      </w:r>
      <w:r w:rsidR="00C63860" w:rsidRPr="00C63860">
        <w:rPr>
          <w:rFonts w:asciiTheme="minorHAnsi" w:hAnsiTheme="minorHAnsi" w:cstheme="minorHAnsi"/>
          <w:color w:val="00B0F0"/>
        </w:rPr>
        <w:t>–0</w:t>
      </w:r>
      <w:r w:rsidRPr="00C63860">
        <w:rPr>
          <w:rFonts w:asciiTheme="minorHAnsi" w:hAnsiTheme="minorHAnsi" w:cstheme="minorHAnsi"/>
        </w:rPr>
        <w:t>.07 (</w:t>
      </w:r>
      <w:r w:rsidR="00C63860" w:rsidRPr="00C63860">
        <w:rPr>
          <w:rFonts w:asciiTheme="minorHAnsi" w:hAnsiTheme="minorHAnsi" w:cstheme="minorHAnsi"/>
          <w:color w:val="00B0F0"/>
        </w:rPr>
        <w:t>–2</w:t>
      </w:r>
      <w:r w:rsidRPr="00C63860">
        <w:rPr>
          <w:rFonts w:asciiTheme="minorHAnsi" w:hAnsiTheme="minorHAnsi" w:cstheme="minorHAnsi"/>
        </w:rPr>
        <w:t>.40 to 2.25) (hernia) and 3.32 (</w:t>
      </w:r>
      <w:r w:rsidR="00C63860" w:rsidRPr="00C63860">
        <w:rPr>
          <w:rFonts w:asciiTheme="minorHAnsi" w:hAnsiTheme="minorHAnsi" w:cstheme="minorHAnsi"/>
          <w:color w:val="00B0F0"/>
        </w:rPr>
        <w:t>–3</w:t>
      </w:r>
      <w:r w:rsidRPr="00C63860">
        <w:rPr>
          <w:rFonts w:asciiTheme="minorHAnsi" w:hAnsiTheme="minorHAnsi" w:cstheme="minorHAnsi"/>
        </w:rPr>
        <w:t>.13 to 9.76) (intestinal obstruction), after adjusting for confounding.</w:t>
      </w:r>
      <w:r w:rsidR="00C63860" w:rsidRPr="00C63860">
        <w:rPr>
          <w:rFonts w:asciiTheme="minorHAnsi" w:hAnsiTheme="minorHAnsi" w:cstheme="minorHAnsi"/>
        </w:rPr>
        <w:t xml:space="preserve"> </w:t>
      </w:r>
      <w:r w:rsidRPr="00C63860">
        <w:rPr>
          <w:rFonts w:asciiTheme="minorHAnsi" w:hAnsiTheme="minorHAnsi" w:cstheme="minorHAnsi"/>
        </w:rPr>
        <w:t>Overall all-cause mortality, and LOS at 90 days, and average costs and QALYs at one year were all similar following ES or NES strategies for each of the five acute conditions.</w:t>
      </w:r>
      <w:r w:rsidR="00C63860" w:rsidRPr="00C63860">
        <w:rPr>
          <w:rFonts w:asciiTheme="minorHAnsi" w:hAnsiTheme="minorHAnsi" w:cstheme="minorHAnsi"/>
        </w:rPr>
        <w:t xml:space="preserve"> </w:t>
      </w:r>
      <w:r w:rsidRPr="00C63860">
        <w:rPr>
          <w:rFonts w:asciiTheme="minorHAnsi" w:hAnsiTheme="minorHAnsi" w:cstheme="minorHAnsi"/>
        </w:rPr>
        <w:t>The sensitivity analyses generally reported similar results to the base case analyses, aside from the regression analyses, the results of which highlighted the importance of adjusting for unmeasured confounding with the IV approach.</w:t>
      </w:r>
    </w:p>
    <w:p w14:paraId="22FF9AAD" w14:textId="77777777" w:rsidR="00C63860" w:rsidRPr="00C63860" w:rsidRDefault="000717D2" w:rsidP="00E3645C">
      <w:pPr>
        <w:spacing w:line="276" w:lineRule="auto"/>
        <w:rPr>
          <w:rFonts w:asciiTheme="minorHAnsi" w:hAnsiTheme="minorHAnsi" w:cstheme="minorHAnsi"/>
          <w:b/>
        </w:rPr>
      </w:pPr>
      <w:r w:rsidRPr="00C63860">
        <w:rPr>
          <w:rFonts w:asciiTheme="minorHAnsi" w:hAnsiTheme="minorHAnsi" w:cstheme="minorHAnsi"/>
          <w:b/>
        </w:rPr>
        <w:t>Effectiveness and cost-effectiveness, by patient subgroup</w:t>
      </w:r>
    </w:p>
    <w:p w14:paraId="4D22FF35" w14:textId="1B9253F4" w:rsidR="00C63860" w:rsidRPr="00C63860" w:rsidRDefault="000717D2" w:rsidP="00E3645C">
      <w:pPr>
        <w:spacing w:line="276" w:lineRule="auto"/>
        <w:rPr>
          <w:rFonts w:asciiTheme="minorHAnsi" w:hAnsiTheme="minorHAnsi" w:cstheme="minorHAnsi"/>
        </w:rPr>
      </w:pPr>
      <w:r w:rsidRPr="00C63860">
        <w:rPr>
          <w:rFonts w:asciiTheme="minorHAnsi" w:hAnsiTheme="minorHAnsi" w:cstheme="minorHAnsi"/>
        </w:rPr>
        <w:t xml:space="preserve">The relative effectiveness and cost-effectiveness of ES versus NES strategies differed by subgroup according to levels of frailty, </w:t>
      </w:r>
      <w:r w:rsidR="00A865BE" w:rsidRPr="00C63860">
        <w:rPr>
          <w:rFonts w:asciiTheme="minorHAnsi" w:hAnsiTheme="minorHAnsi" w:cstheme="minorHAnsi"/>
        </w:rPr>
        <w:t xml:space="preserve">and </w:t>
      </w:r>
      <w:r w:rsidRPr="00C63860">
        <w:rPr>
          <w:rFonts w:asciiTheme="minorHAnsi" w:hAnsiTheme="minorHAnsi" w:cstheme="minorHAnsi"/>
        </w:rPr>
        <w:t xml:space="preserve">number of co-morbidities. For patients with severe frailty, the mean DAOHs at 90 days were lower following ES versus NES strategies, with mean differences for appendicitis of </w:t>
      </w:r>
      <w:r w:rsidR="00C63860" w:rsidRPr="00C63860">
        <w:rPr>
          <w:rFonts w:asciiTheme="minorHAnsi" w:hAnsiTheme="minorHAnsi" w:cstheme="minorHAnsi"/>
          <w:color w:val="00B0F0"/>
        </w:rPr>
        <w:t>–2</w:t>
      </w:r>
      <w:r w:rsidRPr="00C63860">
        <w:rPr>
          <w:rFonts w:asciiTheme="minorHAnsi" w:hAnsiTheme="minorHAnsi" w:cstheme="minorHAnsi"/>
        </w:rPr>
        <w:t xml:space="preserve">1.0 (95% confidence interval </w:t>
      </w:r>
      <w:r w:rsidR="00C63860" w:rsidRPr="00C63860">
        <w:rPr>
          <w:rFonts w:asciiTheme="minorHAnsi" w:hAnsiTheme="minorHAnsi" w:cstheme="minorHAnsi"/>
          <w:color w:val="00B0F0"/>
        </w:rPr>
        <w:t>–2</w:t>
      </w:r>
      <w:r w:rsidRPr="00C63860">
        <w:rPr>
          <w:rFonts w:asciiTheme="minorHAnsi" w:hAnsiTheme="minorHAnsi" w:cstheme="minorHAnsi"/>
        </w:rPr>
        <w:t xml:space="preserve">7.4 to </w:t>
      </w:r>
      <w:r w:rsidR="00C63860" w:rsidRPr="00C63860">
        <w:rPr>
          <w:rFonts w:asciiTheme="minorHAnsi" w:hAnsiTheme="minorHAnsi" w:cstheme="minorHAnsi"/>
          <w:color w:val="00B0F0"/>
        </w:rPr>
        <w:t>–1</w:t>
      </w:r>
      <w:r w:rsidRPr="00C63860">
        <w:rPr>
          <w:rFonts w:asciiTheme="minorHAnsi" w:hAnsiTheme="minorHAnsi" w:cstheme="minorHAnsi"/>
        </w:rPr>
        <w:t xml:space="preserve">4.6), cholelithiasis </w:t>
      </w:r>
      <w:r w:rsidR="00C63860" w:rsidRPr="00C63860">
        <w:rPr>
          <w:rFonts w:asciiTheme="minorHAnsi" w:hAnsiTheme="minorHAnsi" w:cstheme="minorHAnsi"/>
          <w:color w:val="00B0F0"/>
        </w:rPr>
        <w:t>–5</w:t>
      </w:r>
      <w:r w:rsidRPr="00C63860">
        <w:rPr>
          <w:rFonts w:asciiTheme="minorHAnsi" w:hAnsiTheme="minorHAnsi" w:cstheme="minorHAnsi"/>
        </w:rPr>
        <w:t>.72 (</w:t>
      </w:r>
      <w:r w:rsidR="00C63860" w:rsidRPr="00C63860">
        <w:rPr>
          <w:rFonts w:asciiTheme="minorHAnsi" w:hAnsiTheme="minorHAnsi" w:cstheme="minorHAnsi"/>
          <w:color w:val="00B0F0"/>
        </w:rPr>
        <w:t>–1</w:t>
      </w:r>
      <w:r w:rsidRPr="00C63860">
        <w:rPr>
          <w:rFonts w:asciiTheme="minorHAnsi" w:hAnsiTheme="minorHAnsi" w:cstheme="minorHAnsi"/>
        </w:rPr>
        <w:t xml:space="preserve">1.3 to </w:t>
      </w:r>
      <w:r w:rsidR="00C63860" w:rsidRPr="00C63860">
        <w:rPr>
          <w:rFonts w:asciiTheme="minorHAnsi" w:hAnsiTheme="minorHAnsi" w:cstheme="minorHAnsi"/>
          <w:color w:val="00B0F0"/>
        </w:rPr>
        <w:t>–0</w:t>
      </w:r>
      <w:r w:rsidRPr="00C63860">
        <w:rPr>
          <w:rFonts w:asciiTheme="minorHAnsi" w:hAnsiTheme="minorHAnsi" w:cstheme="minorHAnsi"/>
        </w:rPr>
        <w:t xml:space="preserve">.2), diverticular disease </w:t>
      </w:r>
      <w:r w:rsidR="00C63860" w:rsidRPr="00C63860">
        <w:rPr>
          <w:rFonts w:asciiTheme="minorHAnsi" w:hAnsiTheme="minorHAnsi" w:cstheme="minorHAnsi"/>
          <w:color w:val="00B0F0"/>
        </w:rPr>
        <w:t>–3</w:t>
      </w:r>
      <w:r w:rsidRPr="00C63860">
        <w:rPr>
          <w:rFonts w:asciiTheme="minorHAnsi" w:hAnsiTheme="minorHAnsi" w:cstheme="minorHAnsi"/>
        </w:rPr>
        <w:t>8.9 (</w:t>
      </w:r>
      <w:r w:rsidR="00C63860" w:rsidRPr="00C63860">
        <w:rPr>
          <w:rFonts w:asciiTheme="minorHAnsi" w:hAnsiTheme="minorHAnsi" w:cstheme="minorHAnsi"/>
          <w:color w:val="00B0F0"/>
        </w:rPr>
        <w:t>–6</w:t>
      </w:r>
      <w:r w:rsidRPr="00C63860">
        <w:rPr>
          <w:rFonts w:asciiTheme="minorHAnsi" w:hAnsiTheme="minorHAnsi" w:cstheme="minorHAnsi"/>
        </w:rPr>
        <w:t xml:space="preserve">3.3 to </w:t>
      </w:r>
      <w:r w:rsidR="00C63860" w:rsidRPr="00C63860">
        <w:rPr>
          <w:rFonts w:asciiTheme="minorHAnsi" w:hAnsiTheme="minorHAnsi" w:cstheme="minorHAnsi"/>
          <w:color w:val="00B0F0"/>
        </w:rPr>
        <w:t>–1</w:t>
      </w:r>
      <w:r w:rsidRPr="00C63860">
        <w:rPr>
          <w:rFonts w:asciiTheme="minorHAnsi" w:hAnsiTheme="minorHAnsi" w:cstheme="minorHAnsi"/>
        </w:rPr>
        <w:t xml:space="preserve">4.6), hernia </w:t>
      </w:r>
      <w:r w:rsidR="00C63860" w:rsidRPr="00C63860">
        <w:rPr>
          <w:rFonts w:asciiTheme="minorHAnsi" w:hAnsiTheme="minorHAnsi" w:cstheme="minorHAnsi"/>
          <w:color w:val="00B0F0"/>
        </w:rPr>
        <w:t>–1</w:t>
      </w:r>
      <w:r w:rsidRPr="00C63860">
        <w:rPr>
          <w:rFonts w:asciiTheme="minorHAnsi" w:hAnsiTheme="minorHAnsi" w:cstheme="minorHAnsi"/>
        </w:rPr>
        <w:t>9.5 (</w:t>
      </w:r>
      <w:r w:rsidR="00C63860" w:rsidRPr="00C63860">
        <w:rPr>
          <w:rFonts w:asciiTheme="minorHAnsi" w:hAnsiTheme="minorHAnsi" w:cstheme="minorHAnsi"/>
          <w:color w:val="00B0F0"/>
        </w:rPr>
        <w:t>–2</w:t>
      </w:r>
      <w:r w:rsidRPr="00C63860">
        <w:rPr>
          <w:rFonts w:asciiTheme="minorHAnsi" w:hAnsiTheme="minorHAnsi" w:cstheme="minorHAnsi"/>
        </w:rPr>
        <w:t xml:space="preserve">6.6 to </w:t>
      </w:r>
      <w:r w:rsidR="00C63860" w:rsidRPr="00C63860">
        <w:rPr>
          <w:rFonts w:asciiTheme="minorHAnsi" w:hAnsiTheme="minorHAnsi" w:cstheme="minorHAnsi"/>
          <w:color w:val="00B0F0"/>
        </w:rPr>
        <w:t>–1</w:t>
      </w:r>
      <w:r w:rsidRPr="00C63860">
        <w:rPr>
          <w:rFonts w:asciiTheme="minorHAnsi" w:hAnsiTheme="minorHAnsi" w:cstheme="minorHAnsi"/>
        </w:rPr>
        <w:t xml:space="preserve">2.3), and intestinal obstruction </w:t>
      </w:r>
      <w:r w:rsidR="00C63860" w:rsidRPr="00C63860">
        <w:rPr>
          <w:rFonts w:asciiTheme="minorHAnsi" w:hAnsiTheme="minorHAnsi" w:cstheme="minorHAnsi"/>
          <w:color w:val="00B0F0"/>
        </w:rPr>
        <w:t>–3</w:t>
      </w:r>
      <w:r w:rsidRPr="00C63860">
        <w:rPr>
          <w:rFonts w:asciiTheme="minorHAnsi" w:hAnsiTheme="minorHAnsi" w:cstheme="minorHAnsi"/>
        </w:rPr>
        <w:t>4.5 (</w:t>
      </w:r>
      <w:r w:rsidR="00C63860" w:rsidRPr="00C63860">
        <w:rPr>
          <w:rFonts w:asciiTheme="minorHAnsi" w:hAnsiTheme="minorHAnsi" w:cstheme="minorHAnsi"/>
          <w:color w:val="00B0F0"/>
        </w:rPr>
        <w:t>–4</w:t>
      </w:r>
      <w:r w:rsidRPr="00C63860">
        <w:rPr>
          <w:rFonts w:asciiTheme="minorHAnsi" w:hAnsiTheme="minorHAnsi" w:cstheme="minorHAnsi"/>
        </w:rPr>
        <w:t xml:space="preserve">6.7 to </w:t>
      </w:r>
      <w:r w:rsidR="00C63860" w:rsidRPr="00C63860">
        <w:rPr>
          <w:rFonts w:asciiTheme="minorHAnsi" w:hAnsiTheme="minorHAnsi" w:cstheme="minorHAnsi"/>
          <w:color w:val="00B0F0"/>
        </w:rPr>
        <w:t>–2</w:t>
      </w:r>
      <w:r w:rsidRPr="00C63860">
        <w:rPr>
          <w:rFonts w:asciiTheme="minorHAnsi" w:hAnsiTheme="minorHAnsi" w:cstheme="minorHAnsi"/>
        </w:rPr>
        <w:t>2.4)</w:t>
      </w:r>
      <w:bookmarkStart w:id="24" w:name="_Hlk85635295"/>
      <w:r w:rsidRPr="00C63860">
        <w:rPr>
          <w:rFonts w:asciiTheme="minorHAnsi" w:hAnsiTheme="minorHAnsi" w:cstheme="minorHAnsi"/>
        </w:rPr>
        <w:t>. For patients with severe frailty</w:t>
      </w:r>
      <w:r w:rsidR="00D94903" w:rsidRPr="00C63860">
        <w:rPr>
          <w:rFonts w:asciiTheme="minorHAnsi" w:hAnsiTheme="minorHAnsi" w:cstheme="minorHAnsi"/>
        </w:rPr>
        <w:t>,</w:t>
      </w:r>
      <w:r w:rsidRPr="00C63860">
        <w:rPr>
          <w:rFonts w:asciiTheme="minorHAnsi" w:hAnsiTheme="minorHAnsi" w:cstheme="minorHAnsi"/>
        </w:rPr>
        <w:t xml:space="preserve"> ES was less cost-effective than NES strategies with INB estimates for appendicitis of -£18,727 (-£23,900 to -£13,600), cholelithiasis -£7,700 (-£13,000 to -£2,370), diverticular disease -£9,230 (-£24,300 to £5,860), hernia -£16,600 (-£21,100 to -£12,000), and intestinal obstruction -£19,300 (-£25,600 to -£13,000).</w:t>
      </w:r>
    </w:p>
    <w:p w14:paraId="2FE682E0" w14:textId="09E69617" w:rsidR="00C63860" w:rsidRPr="00C63860" w:rsidRDefault="000717D2" w:rsidP="00E3645C">
      <w:pPr>
        <w:spacing w:line="276" w:lineRule="auto"/>
        <w:rPr>
          <w:rFonts w:asciiTheme="minorHAnsi" w:hAnsiTheme="minorHAnsi" w:cstheme="minorHAnsi"/>
        </w:rPr>
      </w:pPr>
      <w:r w:rsidRPr="00C63860">
        <w:rPr>
          <w:rFonts w:asciiTheme="minorHAnsi" w:hAnsiTheme="minorHAnsi" w:cstheme="minorHAnsi"/>
        </w:rPr>
        <w:t xml:space="preserve">For patients who were categorised as </w:t>
      </w:r>
      <w:r w:rsidR="00C63860" w:rsidRPr="00C63860">
        <w:rPr>
          <w:rFonts w:asciiTheme="minorHAnsi" w:hAnsiTheme="minorHAnsi" w:cstheme="minorHAnsi"/>
          <w:color w:val="00B0F0"/>
        </w:rPr>
        <w:t>‘</w:t>
      </w:r>
      <w:r w:rsidR="006F6056" w:rsidRPr="00C63860">
        <w:rPr>
          <w:rFonts w:asciiTheme="minorHAnsi" w:hAnsiTheme="minorHAnsi" w:cstheme="minorHAnsi"/>
        </w:rPr>
        <w:t>fit</w:t>
      </w:r>
      <w:r w:rsidR="00C63860" w:rsidRPr="00C63860">
        <w:rPr>
          <w:rFonts w:asciiTheme="minorHAnsi" w:hAnsiTheme="minorHAnsi" w:cstheme="minorHAnsi"/>
          <w:color w:val="00B0F0"/>
        </w:rPr>
        <w:t>’</w:t>
      </w:r>
      <w:r w:rsidRPr="00C63860">
        <w:rPr>
          <w:rFonts w:asciiTheme="minorHAnsi" w:hAnsiTheme="minorHAnsi" w:cstheme="minorHAnsi"/>
        </w:rPr>
        <w:t xml:space="preserve"> (without frailty) at presentation, mean DAOH were higher for ES rather than NES strategies for </w:t>
      </w:r>
      <w:bookmarkStart w:id="25" w:name="_Hlk85722376"/>
      <w:r w:rsidRPr="00C63860">
        <w:rPr>
          <w:rFonts w:asciiTheme="minorHAnsi" w:hAnsiTheme="minorHAnsi" w:cstheme="minorHAnsi"/>
        </w:rPr>
        <w:t>diverticular disease, 5.35 (</w:t>
      </w:r>
      <w:r w:rsidR="00C63860" w:rsidRPr="00C63860">
        <w:rPr>
          <w:rFonts w:asciiTheme="minorHAnsi" w:hAnsiTheme="minorHAnsi" w:cstheme="minorHAnsi"/>
          <w:color w:val="00B0F0"/>
        </w:rPr>
        <w:t>–2</w:t>
      </w:r>
      <w:r w:rsidRPr="00C63860">
        <w:rPr>
          <w:rFonts w:asciiTheme="minorHAnsi" w:hAnsiTheme="minorHAnsi" w:cstheme="minorHAnsi"/>
        </w:rPr>
        <w:t>.56 to 13.28), hernia 2.26 (0.37 to 4.15) and intestinal obstruction, 18.2 (14.8 to 22.47),</w:t>
      </w:r>
      <w:bookmarkEnd w:id="25"/>
      <w:r w:rsidRPr="00C63860">
        <w:rPr>
          <w:rFonts w:asciiTheme="minorHAnsi" w:hAnsiTheme="minorHAnsi" w:cstheme="minorHAnsi"/>
        </w:rPr>
        <w:t xml:space="preserve"> and were similar for appendicitis </w:t>
      </w:r>
      <w:r w:rsidR="00C63860" w:rsidRPr="00C63860">
        <w:rPr>
          <w:rFonts w:asciiTheme="minorHAnsi" w:hAnsiTheme="minorHAnsi" w:cstheme="minorHAnsi"/>
          <w:color w:val="00B0F0"/>
        </w:rPr>
        <w:t>–0</w:t>
      </w:r>
      <w:r w:rsidRPr="00C63860">
        <w:rPr>
          <w:rFonts w:asciiTheme="minorHAnsi" w:hAnsiTheme="minorHAnsi" w:cstheme="minorHAnsi"/>
        </w:rPr>
        <w:t>.18 (</w:t>
      </w:r>
      <w:r w:rsidR="00C63860" w:rsidRPr="00C63860">
        <w:rPr>
          <w:rFonts w:asciiTheme="minorHAnsi" w:hAnsiTheme="minorHAnsi" w:cstheme="minorHAnsi"/>
          <w:color w:val="00B0F0"/>
        </w:rPr>
        <w:t>–1</w:t>
      </w:r>
      <w:r w:rsidRPr="00C63860">
        <w:rPr>
          <w:rFonts w:asciiTheme="minorHAnsi" w:hAnsiTheme="minorHAnsi" w:cstheme="minorHAnsi"/>
        </w:rPr>
        <w:t>.56 to 1.20) and cholelithiasis 0.93 (0.48 to 1.39). ES was relatively cost-effective for patients who were fit with estimated INBs of £5,180 (£684 to £9,680) for diverticular disease, £2,040 (£996 to £3,090) for hernia, £7,850 (£5,020 to £10,700) for intestinal obstruction, £369 (-£728 to £1,460) for appendicitis, and £718 (£294 to £1,140) for cholelithiasis.</w:t>
      </w:r>
      <w:bookmarkEnd w:id="24"/>
    </w:p>
    <w:p w14:paraId="05B4FAB5" w14:textId="52E4D5AF" w:rsidR="00C63860" w:rsidRPr="00C63860" w:rsidRDefault="000717D2" w:rsidP="00E3645C">
      <w:pPr>
        <w:spacing w:line="276" w:lineRule="auto"/>
        <w:rPr>
          <w:rFonts w:asciiTheme="minorHAnsi" w:hAnsiTheme="minorHAnsi" w:cstheme="minorHAnsi"/>
        </w:rPr>
      </w:pPr>
      <w:bookmarkStart w:id="26" w:name="_Hlk86260501"/>
      <w:r w:rsidRPr="00C63860">
        <w:rPr>
          <w:rFonts w:asciiTheme="minorHAnsi" w:hAnsiTheme="minorHAnsi" w:cstheme="minorHAnsi"/>
        </w:rPr>
        <w:t xml:space="preserve">For patients with two or more comorbidities, </w:t>
      </w:r>
      <w:r w:rsidR="00AE4FD0" w:rsidRPr="00C63860">
        <w:rPr>
          <w:rFonts w:asciiTheme="minorHAnsi" w:hAnsiTheme="minorHAnsi" w:cstheme="minorHAnsi"/>
        </w:rPr>
        <w:t xml:space="preserve">on average </w:t>
      </w:r>
      <w:r w:rsidRPr="00C63860">
        <w:rPr>
          <w:rFonts w:asciiTheme="minorHAnsi" w:hAnsiTheme="minorHAnsi" w:cstheme="minorHAnsi"/>
        </w:rPr>
        <w:t>NES strategies were more cost-effective than ES, for patients with acute appendicitis, cholelithiasis or hernia, but ES was more cost-effective for patients with multiple comorbidities who had diverticular disease or intestinal obstruction</w:t>
      </w:r>
      <w:bookmarkEnd w:id="26"/>
      <w:r w:rsidRPr="00C63860">
        <w:rPr>
          <w:rFonts w:asciiTheme="minorHAnsi" w:hAnsiTheme="minorHAnsi" w:cstheme="minorHAnsi"/>
        </w:rPr>
        <w:t>.</w:t>
      </w:r>
    </w:p>
    <w:p w14:paraId="71845DAF" w14:textId="1A45E027" w:rsidR="00E3645C" w:rsidRPr="00C63860" w:rsidRDefault="000717D2" w:rsidP="00E3645C">
      <w:pPr>
        <w:pStyle w:val="paragraph"/>
        <w:spacing w:line="276" w:lineRule="auto"/>
        <w:textAlignment w:val="baseline"/>
        <w:rPr>
          <w:rStyle w:val="normaltextrun"/>
          <w:rFonts w:asciiTheme="minorHAnsi" w:hAnsiTheme="minorHAnsi" w:cstheme="minorHAnsi"/>
          <w:b/>
          <w:bCs/>
          <w:sz w:val="22"/>
          <w:szCs w:val="22"/>
        </w:rPr>
      </w:pPr>
      <w:r w:rsidRPr="00C63860">
        <w:rPr>
          <w:rStyle w:val="normaltextrun"/>
          <w:rFonts w:asciiTheme="minorHAnsi" w:hAnsiTheme="minorHAnsi" w:cstheme="minorHAnsi"/>
          <w:b/>
          <w:bCs/>
          <w:sz w:val="28"/>
          <w:szCs w:val="28"/>
        </w:rPr>
        <w:t>Limitations</w:t>
      </w:r>
    </w:p>
    <w:p w14:paraId="17023F85" w14:textId="082AA3C7" w:rsidR="000717D2" w:rsidRPr="00C63860" w:rsidRDefault="000717D2" w:rsidP="00E3645C">
      <w:pPr>
        <w:pStyle w:val="paragraph"/>
        <w:spacing w:line="276" w:lineRule="auto"/>
        <w:textAlignment w:val="baseline"/>
        <w:rPr>
          <w:rFonts w:asciiTheme="minorHAnsi" w:hAnsiTheme="minorHAnsi" w:cstheme="minorHAnsi"/>
          <w:sz w:val="22"/>
          <w:szCs w:val="22"/>
        </w:rPr>
      </w:pPr>
      <w:r w:rsidRPr="00C63860">
        <w:rPr>
          <w:rStyle w:val="normaltextrun"/>
          <w:rFonts w:asciiTheme="minorHAnsi" w:hAnsiTheme="minorHAnsi" w:cstheme="minorHAnsi"/>
          <w:sz w:val="22"/>
          <w:szCs w:val="22"/>
        </w:rPr>
        <w:t>The IV approach reduced</w:t>
      </w:r>
      <w:r w:rsidR="00D94903" w:rsidRPr="00C63860">
        <w:rPr>
          <w:rStyle w:val="normaltextrun"/>
          <w:rFonts w:asciiTheme="minorHAnsi" w:hAnsiTheme="minorHAnsi" w:cstheme="minorHAnsi"/>
          <w:sz w:val="22"/>
          <w:szCs w:val="22"/>
        </w:rPr>
        <w:t>,</w:t>
      </w:r>
      <w:r w:rsidRPr="00C63860">
        <w:rPr>
          <w:rStyle w:val="normaltextrun"/>
          <w:rFonts w:asciiTheme="minorHAnsi" w:hAnsiTheme="minorHAnsi" w:cstheme="minorHAnsi"/>
          <w:sz w:val="22"/>
          <w:szCs w:val="22"/>
        </w:rPr>
        <w:t xml:space="preserve"> but could not eliminate the risk of confounding. HRQoL measures were not available from routine </w:t>
      </w:r>
      <w:r w:rsidRPr="00C63860">
        <w:rPr>
          <w:rStyle w:val="normaltextrun"/>
          <w:rFonts w:asciiTheme="minorHAnsi" w:hAnsiTheme="minorHAnsi" w:cstheme="minorHAnsi"/>
          <w:sz w:val="22"/>
          <w:szCs w:val="22"/>
          <w:highlight w:val="magenta"/>
        </w:rPr>
        <w:t>data</w:t>
      </w:r>
      <w:r w:rsidRPr="00C63860">
        <w:rPr>
          <w:rStyle w:val="normaltextrun"/>
          <w:rFonts w:asciiTheme="minorHAnsi" w:hAnsiTheme="minorHAnsi" w:cstheme="minorHAnsi"/>
          <w:sz w:val="22"/>
          <w:szCs w:val="22"/>
        </w:rPr>
        <w:t xml:space="preserve"> sources.</w:t>
      </w:r>
      <w:r w:rsidR="00C63860" w:rsidRPr="00C63860">
        <w:rPr>
          <w:rStyle w:val="normaltextrun"/>
          <w:rFonts w:asciiTheme="minorHAnsi" w:hAnsiTheme="minorHAnsi" w:cstheme="minorHAnsi"/>
          <w:sz w:val="22"/>
          <w:szCs w:val="22"/>
        </w:rPr>
        <w:t xml:space="preserve"> </w:t>
      </w:r>
      <w:r w:rsidR="00721BFB" w:rsidRPr="00C63860">
        <w:rPr>
          <w:rStyle w:val="normaltextrun"/>
          <w:rFonts w:asciiTheme="minorHAnsi" w:hAnsiTheme="minorHAnsi" w:cstheme="minorHAnsi"/>
          <w:sz w:val="22"/>
          <w:szCs w:val="22"/>
        </w:rPr>
        <w:t xml:space="preserve">The costs of </w:t>
      </w:r>
      <w:r w:rsidR="00532606" w:rsidRPr="00C63860">
        <w:rPr>
          <w:rStyle w:val="normaltextrun"/>
          <w:rFonts w:asciiTheme="minorHAnsi" w:hAnsiTheme="minorHAnsi" w:cstheme="minorHAnsi"/>
          <w:sz w:val="22"/>
          <w:szCs w:val="22"/>
        </w:rPr>
        <w:t xml:space="preserve">outpatient visits or </w:t>
      </w:r>
      <w:r w:rsidR="008C2156" w:rsidRPr="00C63860">
        <w:rPr>
          <w:rStyle w:val="normaltextrun"/>
          <w:rFonts w:asciiTheme="minorHAnsi" w:hAnsiTheme="minorHAnsi" w:cstheme="minorHAnsi"/>
          <w:sz w:val="22"/>
          <w:szCs w:val="22"/>
        </w:rPr>
        <w:t xml:space="preserve">of </w:t>
      </w:r>
      <w:r w:rsidR="00532606" w:rsidRPr="00C63860">
        <w:rPr>
          <w:rStyle w:val="normaltextrun"/>
          <w:rFonts w:asciiTheme="minorHAnsi" w:hAnsiTheme="minorHAnsi" w:cstheme="minorHAnsi"/>
          <w:sz w:val="22"/>
          <w:szCs w:val="22"/>
        </w:rPr>
        <w:t>care home</w:t>
      </w:r>
      <w:r w:rsidR="008C2156" w:rsidRPr="00C63860">
        <w:rPr>
          <w:rStyle w:val="normaltextrun"/>
          <w:rFonts w:asciiTheme="minorHAnsi" w:hAnsiTheme="minorHAnsi" w:cstheme="minorHAnsi"/>
          <w:sz w:val="22"/>
          <w:szCs w:val="22"/>
        </w:rPr>
        <w:t xml:space="preserve"> stays,</w:t>
      </w:r>
      <w:r w:rsidR="00532606" w:rsidRPr="00C63860">
        <w:rPr>
          <w:rStyle w:val="normaltextrun"/>
          <w:rFonts w:asciiTheme="minorHAnsi" w:hAnsiTheme="minorHAnsi" w:cstheme="minorHAnsi"/>
          <w:sz w:val="22"/>
          <w:szCs w:val="22"/>
        </w:rPr>
        <w:t xml:space="preserve"> were not considered</w:t>
      </w:r>
      <w:r w:rsidR="0041517A" w:rsidRPr="00C63860">
        <w:rPr>
          <w:rStyle w:val="normaltextrun"/>
          <w:rFonts w:asciiTheme="minorHAnsi" w:hAnsiTheme="minorHAnsi" w:cstheme="minorHAnsi"/>
          <w:sz w:val="22"/>
          <w:szCs w:val="22"/>
        </w:rPr>
        <w:t>.</w:t>
      </w:r>
    </w:p>
    <w:p w14:paraId="4C4B7F79" w14:textId="58A48CEE" w:rsidR="000717D2" w:rsidRPr="00C63860" w:rsidRDefault="000717D2" w:rsidP="00E3645C">
      <w:pPr>
        <w:pStyle w:val="paragraph"/>
        <w:spacing w:line="276" w:lineRule="auto"/>
        <w:textAlignment w:val="baseline"/>
        <w:rPr>
          <w:rFonts w:asciiTheme="minorHAnsi" w:hAnsiTheme="minorHAnsi" w:cstheme="minorHAnsi"/>
          <w:b/>
          <w:bCs/>
          <w:sz w:val="22"/>
          <w:szCs w:val="22"/>
        </w:rPr>
      </w:pPr>
      <w:r w:rsidRPr="00C63860">
        <w:rPr>
          <w:rFonts w:asciiTheme="minorHAnsi" w:hAnsiTheme="minorHAnsi" w:cstheme="minorHAnsi"/>
          <w:b/>
          <w:bCs/>
          <w:sz w:val="28"/>
          <w:szCs w:val="28"/>
        </w:rPr>
        <w:t>Conclusions</w:t>
      </w:r>
    </w:p>
    <w:p w14:paraId="07661A9B" w14:textId="77777777" w:rsidR="000717D2" w:rsidRPr="00C63860" w:rsidRDefault="000717D2" w:rsidP="00E3645C">
      <w:pPr>
        <w:pStyle w:val="paragraph"/>
        <w:spacing w:line="276" w:lineRule="auto"/>
        <w:textAlignment w:val="baseline"/>
        <w:rPr>
          <w:rFonts w:asciiTheme="minorHAnsi" w:hAnsiTheme="minorHAnsi" w:cstheme="minorHAnsi"/>
          <w:b/>
          <w:sz w:val="22"/>
          <w:szCs w:val="22"/>
        </w:rPr>
      </w:pPr>
      <w:r w:rsidRPr="00C63860">
        <w:rPr>
          <w:rFonts w:asciiTheme="minorHAnsi" w:hAnsiTheme="minorHAnsi" w:cstheme="minorHAnsi"/>
          <w:b/>
          <w:sz w:val="22"/>
          <w:szCs w:val="22"/>
        </w:rPr>
        <w:t>Implications for health care</w:t>
      </w:r>
    </w:p>
    <w:p w14:paraId="2B95CE43" w14:textId="77777777" w:rsidR="00C63860" w:rsidRPr="00C63860" w:rsidRDefault="000717D2" w:rsidP="008A04B0">
      <w:pPr>
        <w:pStyle w:val="paragraph"/>
        <w:numPr>
          <w:ilvl w:val="0"/>
          <w:numId w:val="44"/>
        </w:numPr>
        <w:spacing w:before="0" w:beforeAutospacing="0" w:after="0" w:afterAutospacing="0" w:line="276" w:lineRule="auto"/>
        <w:ind w:left="426" w:hanging="426"/>
        <w:textAlignment w:val="baseline"/>
        <w:rPr>
          <w:rFonts w:asciiTheme="minorHAnsi" w:hAnsiTheme="minorHAnsi" w:cstheme="minorHAnsi"/>
          <w:sz w:val="22"/>
          <w:szCs w:val="22"/>
        </w:rPr>
      </w:pPr>
      <w:r w:rsidRPr="00C63860">
        <w:rPr>
          <w:rFonts w:asciiTheme="minorHAnsi" w:hAnsiTheme="minorHAnsi" w:cstheme="minorHAnsi"/>
          <w:sz w:val="22"/>
          <w:szCs w:val="22"/>
        </w:rPr>
        <w:t>For patients presenting as emergency hospital admissions with common acute gastrointestinal conditions, the ES and NES strategies for the overall cohort led to similar average DAOH at 90 days, and similar average hospitalisation costs, and QALYs at one year, after addressing confounding with the IV approach.</w:t>
      </w:r>
      <w:r w:rsidR="00C63860" w:rsidRPr="00C63860">
        <w:rPr>
          <w:rFonts w:asciiTheme="minorHAnsi" w:hAnsiTheme="minorHAnsi" w:cstheme="minorHAnsi"/>
          <w:sz w:val="22"/>
          <w:szCs w:val="22"/>
        </w:rPr>
        <w:t xml:space="preserve"> </w:t>
      </w:r>
      <w:r w:rsidRPr="00C63860">
        <w:rPr>
          <w:rFonts w:asciiTheme="minorHAnsi" w:hAnsiTheme="minorHAnsi" w:cstheme="minorHAnsi"/>
          <w:sz w:val="22"/>
          <w:szCs w:val="22"/>
        </w:rPr>
        <w:t>The CEA did not provide strong evidence that either strategy was more cost-effective in the overall populations of patients with each of the five acute conditions.</w:t>
      </w:r>
    </w:p>
    <w:p w14:paraId="59874430" w14:textId="77777777" w:rsidR="00C63860" w:rsidRPr="00C63860" w:rsidRDefault="000717D2" w:rsidP="008A04B0">
      <w:pPr>
        <w:pStyle w:val="paragraph"/>
        <w:numPr>
          <w:ilvl w:val="0"/>
          <w:numId w:val="44"/>
        </w:numPr>
        <w:spacing w:before="0" w:beforeAutospacing="0" w:after="0" w:afterAutospacing="0" w:line="276" w:lineRule="auto"/>
        <w:ind w:left="426" w:hanging="426"/>
        <w:textAlignment w:val="baseline"/>
        <w:rPr>
          <w:rFonts w:asciiTheme="minorHAnsi" w:hAnsiTheme="minorHAnsi" w:cstheme="minorHAnsi"/>
          <w:sz w:val="22"/>
          <w:szCs w:val="22"/>
        </w:rPr>
      </w:pPr>
      <w:r w:rsidRPr="00C63860">
        <w:rPr>
          <w:rFonts w:asciiTheme="minorHAnsi" w:hAnsiTheme="minorHAnsi" w:cstheme="minorHAnsi"/>
          <w:sz w:val="22"/>
          <w:szCs w:val="22"/>
        </w:rPr>
        <w:t>For patients with severe levels of frailty, NES strategies were relatively cost-effective for each of the five acute conditions. For patients who were fit, ES wa</w:t>
      </w:r>
      <w:r w:rsidR="00192874" w:rsidRPr="00C63860">
        <w:rPr>
          <w:rFonts w:asciiTheme="minorHAnsi" w:hAnsiTheme="minorHAnsi" w:cstheme="minorHAnsi"/>
          <w:sz w:val="22"/>
          <w:szCs w:val="22"/>
        </w:rPr>
        <w:t>s on average more</w:t>
      </w:r>
      <w:r w:rsidRPr="00C63860">
        <w:rPr>
          <w:rFonts w:asciiTheme="minorHAnsi" w:hAnsiTheme="minorHAnsi" w:cstheme="minorHAnsi"/>
          <w:sz w:val="22"/>
          <w:szCs w:val="22"/>
        </w:rPr>
        <w:t xml:space="preserve"> cost-effective</w:t>
      </w:r>
      <w:r w:rsidR="00192874" w:rsidRPr="00C63860">
        <w:rPr>
          <w:rFonts w:asciiTheme="minorHAnsi" w:hAnsiTheme="minorHAnsi" w:cstheme="minorHAnsi"/>
          <w:sz w:val="22"/>
          <w:szCs w:val="22"/>
        </w:rPr>
        <w:t xml:space="preserve"> for each condition.</w:t>
      </w:r>
    </w:p>
    <w:p w14:paraId="4FE572E7" w14:textId="77777777" w:rsidR="00C63860" w:rsidRPr="00C63860" w:rsidRDefault="000717D2" w:rsidP="008A04B0">
      <w:pPr>
        <w:pStyle w:val="paragraph"/>
        <w:numPr>
          <w:ilvl w:val="0"/>
          <w:numId w:val="44"/>
        </w:numPr>
        <w:spacing w:before="0" w:beforeAutospacing="0" w:after="0" w:afterAutospacing="0" w:line="276" w:lineRule="auto"/>
        <w:ind w:left="426" w:hanging="426"/>
        <w:textAlignment w:val="baseline"/>
        <w:rPr>
          <w:rFonts w:asciiTheme="minorHAnsi" w:hAnsiTheme="minorHAnsi" w:cstheme="minorHAnsi"/>
          <w:sz w:val="22"/>
          <w:szCs w:val="22"/>
        </w:rPr>
      </w:pPr>
      <w:r w:rsidRPr="00C63860">
        <w:rPr>
          <w:rFonts w:asciiTheme="minorHAnsi" w:hAnsiTheme="minorHAnsi" w:cstheme="minorHAnsi"/>
          <w:sz w:val="22"/>
          <w:szCs w:val="22"/>
        </w:rPr>
        <w:t>The evidence from the ESORT study supports ongoing national initiatives to encourage frailty assessment for patients with acute conditions as part of any preoperative assessment following emergency admission. Frailty assessment can help identify those patients who would benefit more from a NES strategy</w:t>
      </w:r>
      <w:r w:rsidR="00D94903" w:rsidRPr="00C63860">
        <w:rPr>
          <w:rFonts w:asciiTheme="minorHAnsi" w:hAnsiTheme="minorHAnsi" w:cstheme="minorHAnsi"/>
          <w:sz w:val="22"/>
          <w:szCs w:val="22"/>
        </w:rPr>
        <w:t xml:space="preserve">. For </w:t>
      </w:r>
      <w:r w:rsidRPr="00C63860">
        <w:rPr>
          <w:rFonts w:asciiTheme="minorHAnsi" w:hAnsiTheme="minorHAnsi" w:cstheme="minorHAnsi"/>
          <w:sz w:val="22"/>
          <w:szCs w:val="22"/>
        </w:rPr>
        <w:t>some</w:t>
      </w:r>
      <w:r w:rsidR="00D94903" w:rsidRPr="00C63860">
        <w:rPr>
          <w:rFonts w:asciiTheme="minorHAnsi" w:hAnsiTheme="minorHAnsi" w:cstheme="minorHAnsi"/>
          <w:sz w:val="22"/>
          <w:szCs w:val="22"/>
        </w:rPr>
        <w:t xml:space="preserve"> patients a NES strategy may include, </w:t>
      </w:r>
      <w:r w:rsidRPr="00C63860">
        <w:rPr>
          <w:rFonts w:asciiTheme="minorHAnsi" w:hAnsiTheme="minorHAnsi" w:cstheme="minorHAnsi"/>
          <w:sz w:val="22"/>
          <w:szCs w:val="22"/>
        </w:rPr>
        <w:t>later</w:t>
      </w:r>
      <w:r w:rsidR="00D94903" w:rsidRPr="00C63860">
        <w:rPr>
          <w:rFonts w:asciiTheme="minorHAnsi" w:hAnsiTheme="minorHAnsi" w:cstheme="minorHAnsi"/>
          <w:sz w:val="22"/>
          <w:szCs w:val="22"/>
        </w:rPr>
        <w:t>,</w:t>
      </w:r>
      <w:r w:rsidRPr="00C63860">
        <w:rPr>
          <w:rFonts w:asciiTheme="minorHAnsi" w:hAnsiTheme="minorHAnsi" w:cstheme="minorHAnsi"/>
          <w:sz w:val="22"/>
          <w:szCs w:val="22"/>
        </w:rPr>
        <w:t xml:space="preserve"> planned surgery, which can enable their long-term conditions to be optimised.</w:t>
      </w:r>
    </w:p>
    <w:p w14:paraId="3781E8B5" w14:textId="77777777" w:rsidR="00C63860" w:rsidRPr="00C63860" w:rsidRDefault="000717D2" w:rsidP="004A2B6C">
      <w:pPr>
        <w:pStyle w:val="ListParagraph"/>
        <w:numPr>
          <w:ilvl w:val="0"/>
          <w:numId w:val="45"/>
        </w:numPr>
        <w:spacing w:line="276" w:lineRule="auto"/>
        <w:ind w:left="426" w:hanging="426"/>
        <w:rPr>
          <w:rFonts w:asciiTheme="minorHAnsi" w:hAnsiTheme="minorHAnsi" w:cstheme="minorHAnsi"/>
        </w:rPr>
      </w:pPr>
      <w:r w:rsidRPr="00C63860">
        <w:rPr>
          <w:rFonts w:asciiTheme="minorHAnsi" w:hAnsiTheme="minorHAnsi" w:cstheme="minorHAnsi"/>
        </w:rPr>
        <w:t>The evidence from the ESORT study can help inform service providers, patient and carers about the relative benefits and risks of ES versus NES strategies, recognising that these differ according to factors beyond the patients chronological age, including their frailty level and number of comorbidities.</w:t>
      </w:r>
    </w:p>
    <w:p w14:paraId="47AFC69E" w14:textId="3075EFEB" w:rsidR="00C63860" w:rsidRPr="00C63860" w:rsidRDefault="000717D2" w:rsidP="00E3645C">
      <w:pPr>
        <w:spacing w:line="276" w:lineRule="auto"/>
        <w:rPr>
          <w:rFonts w:asciiTheme="minorHAnsi" w:hAnsiTheme="minorHAnsi" w:cstheme="minorHAnsi"/>
          <w:b/>
          <w:bCs/>
          <w:sz w:val="28"/>
          <w:szCs w:val="28"/>
        </w:rPr>
      </w:pPr>
      <w:r w:rsidRPr="00C63860">
        <w:rPr>
          <w:rFonts w:asciiTheme="minorHAnsi" w:hAnsiTheme="minorHAnsi" w:cstheme="minorHAnsi"/>
          <w:b/>
          <w:bCs/>
          <w:sz w:val="28"/>
          <w:szCs w:val="28"/>
        </w:rPr>
        <w:t>Recommendations for further research</w:t>
      </w:r>
    </w:p>
    <w:p w14:paraId="08140EFF" w14:textId="6A57DC6A" w:rsidR="000717D2" w:rsidRPr="00C63860" w:rsidRDefault="008A04B0" w:rsidP="008A04B0">
      <w:pPr>
        <w:pStyle w:val="paragraph"/>
        <w:spacing w:line="276" w:lineRule="auto"/>
        <w:textAlignment w:val="baseline"/>
        <w:rPr>
          <w:rStyle w:val="normaltextrun"/>
          <w:rFonts w:asciiTheme="minorHAnsi" w:hAnsiTheme="minorHAnsi" w:cstheme="minorHAnsi"/>
          <w:sz w:val="22"/>
          <w:szCs w:val="22"/>
        </w:rPr>
      </w:pPr>
      <w:r w:rsidRPr="00C63860">
        <w:rPr>
          <w:rStyle w:val="normaltextrun"/>
          <w:rFonts w:asciiTheme="minorHAnsi" w:hAnsiTheme="minorHAnsi" w:cstheme="minorHAnsi"/>
          <w:sz w:val="22"/>
          <w:szCs w:val="22"/>
        </w:rPr>
        <w:t xml:space="preserve">The following recommendations are </w:t>
      </w:r>
      <w:r w:rsidR="000717D2" w:rsidRPr="00C63860">
        <w:rPr>
          <w:rStyle w:val="normaltextrun"/>
          <w:rFonts w:asciiTheme="minorHAnsi" w:hAnsiTheme="minorHAnsi" w:cstheme="minorHAnsi"/>
          <w:sz w:val="22"/>
          <w:szCs w:val="22"/>
        </w:rPr>
        <w:t>numbered in priority order</w:t>
      </w:r>
      <w:r w:rsidRPr="00C63860">
        <w:rPr>
          <w:rStyle w:val="normaltextrun"/>
          <w:rFonts w:asciiTheme="minorHAnsi" w:hAnsiTheme="minorHAnsi" w:cstheme="minorHAnsi"/>
          <w:sz w:val="22"/>
          <w:szCs w:val="22"/>
        </w:rPr>
        <w:t>:</w:t>
      </w:r>
    </w:p>
    <w:p w14:paraId="7B176AB5" w14:textId="4FB7C48E" w:rsidR="00C63860" w:rsidRPr="00C63860" w:rsidRDefault="000717D2" w:rsidP="008A04B0">
      <w:pPr>
        <w:pStyle w:val="ListParagraph"/>
        <w:numPr>
          <w:ilvl w:val="0"/>
          <w:numId w:val="46"/>
        </w:numPr>
        <w:spacing w:before="100" w:beforeAutospacing="1" w:after="100" w:afterAutospacing="1" w:line="276" w:lineRule="auto"/>
        <w:ind w:left="567" w:hanging="425"/>
        <w:rPr>
          <w:rFonts w:asciiTheme="minorHAnsi" w:hAnsiTheme="minorHAnsi" w:cstheme="minorHAnsi"/>
        </w:rPr>
      </w:pPr>
      <w:r w:rsidRPr="00C63860">
        <w:rPr>
          <w:rFonts w:asciiTheme="minorHAnsi" w:hAnsiTheme="minorHAnsi" w:cstheme="minorHAnsi"/>
        </w:rPr>
        <w:t>The ESORT study highlighted the importance of the appropriate choice of ES versus NES strategy for patients with comorbidities, which includes patients with multiple long-term conditions.</w:t>
      </w:r>
      <w:r w:rsidR="00C63860" w:rsidRPr="00C63860">
        <w:rPr>
          <w:rFonts w:asciiTheme="minorHAnsi" w:hAnsiTheme="minorHAnsi" w:cstheme="minorHAnsi"/>
        </w:rPr>
        <w:t xml:space="preserve"> </w:t>
      </w:r>
      <w:bookmarkStart w:id="27" w:name="_Hlk86260375"/>
      <w:r w:rsidRPr="00C63860">
        <w:rPr>
          <w:rFonts w:asciiTheme="minorHAnsi" w:hAnsiTheme="minorHAnsi" w:cstheme="minorHAnsi"/>
        </w:rPr>
        <w:t xml:space="preserve">For patients with multiple long-term conditions, further research is required to assess the benefits and costs of prompt intervention with ES, versus later surgery. Delaying surgery could help to </w:t>
      </w:r>
      <w:r w:rsidR="00C63860" w:rsidRPr="00C63860">
        <w:rPr>
          <w:rFonts w:asciiTheme="minorHAnsi" w:hAnsiTheme="minorHAnsi" w:cstheme="minorHAnsi"/>
          <w:color w:val="00B0F0"/>
        </w:rPr>
        <w:t>‘</w:t>
      </w:r>
      <w:r w:rsidR="006F6056" w:rsidRPr="00C63860">
        <w:rPr>
          <w:rFonts w:asciiTheme="minorHAnsi" w:hAnsiTheme="minorHAnsi" w:cstheme="minorHAnsi"/>
        </w:rPr>
        <w:t>optimise</w:t>
      </w:r>
      <w:r w:rsidR="00C63860" w:rsidRPr="00C63860">
        <w:rPr>
          <w:rFonts w:asciiTheme="minorHAnsi" w:hAnsiTheme="minorHAnsi" w:cstheme="minorHAnsi"/>
          <w:color w:val="00B0F0"/>
        </w:rPr>
        <w:t>’</w:t>
      </w:r>
      <w:r w:rsidRPr="00C63860">
        <w:rPr>
          <w:rFonts w:asciiTheme="minorHAnsi" w:hAnsiTheme="minorHAnsi" w:cstheme="minorHAnsi"/>
        </w:rPr>
        <w:t xml:space="preserve"> the management of these patients, by for example modifying concomitant medications.</w:t>
      </w:r>
    </w:p>
    <w:bookmarkEnd w:id="27"/>
    <w:p w14:paraId="626469E8" w14:textId="77777777" w:rsidR="00C63860" w:rsidRPr="00C63860" w:rsidRDefault="000717D2" w:rsidP="008A04B0">
      <w:pPr>
        <w:pStyle w:val="ListParagraph"/>
        <w:numPr>
          <w:ilvl w:val="0"/>
          <w:numId w:val="46"/>
        </w:numPr>
        <w:spacing w:before="100" w:beforeAutospacing="1" w:after="100" w:afterAutospacing="1" w:line="276" w:lineRule="auto"/>
        <w:ind w:left="567" w:hanging="425"/>
        <w:rPr>
          <w:rStyle w:val="normaltextrun"/>
          <w:rFonts w:asciiTheme="minorHAnsi" w:hAnsiTheme="minorHAnsi" w:cstheme="minorHAnsi"/>
          <w:bCs/>
        </w:rPr>
      </w:pPr>
      <w:r w:rsidRPr="00C63860">
        <w:rPr>
          <w:rStyle w:val="normaltextrun"/>
          <w:rFonts w:asciiTheme="minorHAnsi" w:hAnsiTheme="minorHAnsi" w:cstheme="minorHAnsi"/>
        </w:rPr>
        <w:t>Future RCTs of ES versus NES strategies are warranted, and may be most feasible and useful for some patients with abdominal wall hernia, as this is the population for which there appears clear equipoise between ES and NES strategies.</w:t>
      </w:r>
    </w:p>
    <w:p w14:paraId="4730024B" w14:textId="262F654A" w:rsidR="00C63860" w:rsidRPr="00C63860" w:rsidRDefault="000717D2" w:rsidP="008A04B0">
      <w:pPr>
        <w:pStyle w:val="ListParagraph"/>
        <w:numPr>
          <w:ilvl w:val="0"/>
          <w:numId w:val="46"/>
        </w:numPr>
        <w:spacing w:before="100" w:beforeAutospacing="1" w:after="100" w:afterAutospacing="1" w:line="276" w:lineRule="auto"/>
        <w:ind w:left="567" w:hanging="425"/>
        <w:rPr>
          <w:rFonts w:asciiTheme="minorHAnsi" w:hAnsiTheme="minorHAnsi" w:cstheme="minorHAnsi"/>
        </w:rPr>
      </w:pPr>
      <w:r w:rsidRPr="00C63860">
        <w:rPr>
          <w:rFonts w:asciiTheme="minorHAnsi" w:hAnsiTheme="minorHAnsi" w:cstheme="minorHAnsi"/>
        </w:rPr>
        <w:t>Further research is required on patients</w:t>
      </w:r>
      <w:r w:rsidR="00C63860" w:rsidRPr="00C63860">
        <w:rPr>
          <w:rFonts w:asciiTheme="minorHAnsi" w:hAnsiTheme="minorHAnsi" w:cstheme="minorHAnsi"/>
          <w:color w:val="00B0F0"/>
        </w:rPr>
        <w:t>’</w:t>
      </w:r>
      <w:r w:rsidRPr="00C63860">
        <w:rPr>
          <w:rFonts w:asciiTheme="minorHAnsi" w:hAnsiTheme="minorHAnsi" w:cstheme="minorHAnsi"/>
        </w:rPr>
        <w:t xml:space="preserve"> HRQoL following ES versus NES strategies.</w:t>
      </w:r>
    </w:p>
    <w:p w14:paraId="5C3D7574" w14:textId="6252EAF3" w:rsidR="00C63860" w:rsidRPr="00C63860" w:rsidRDefault="000717D2" w:rsidP="008A04B0">
      <w:pPr>
        <w:pStyle w:val="ListParagraph"/>
        <w:numPr>
          <w:ilvl w:val="0"/>
          <w:numId w:val="46"/>
        </w:numPr>
        <w:spacing w:line="276" w:lineRule="auto"/>
        <w:ind w:left="567" w:hanging="425"/>
        <w:rPr>
          <w:rFonts w:asciiTheme="minorHAnsi" w:hAnsiTheme="minorHAnsi" w:cstheme="minorHAnsi"/>
        </w:rPr>
      </w:pPr>
      <w:r w:rsidRPr="00C63860">
        <w:rPr>
          <w:rFonts w:asciiTheme="minorHAnsi" w:hAnsiTheme="minorHAnsi" w:cstheme="minorHAnsi"/>
        </w:rPr>
        <w:t>Following the COVI</w:t>
      </w:r>
      <w:r w:rsidR="00C63860" w:rsidRPr="00C63860">
        <w:rPr>
          <w:rFonts w:asciiTheme="minorHAnsi" w:hAnsiTheme="minorHAnsi" w:cstheme="minorHAnsi"/>
          <w:color w:val="00B0F0"/>
        </w:rPr>
        <w:t>D-1</w:t>
      </w:r>
      <w:r w:rsidRPr="00C63860">
        <w:rPr>
          <w:rFonts w:asciiTheme="minorHAnsi" w:hAnsiTheme="minorHAnsi" w:cstheme="minorHAnsi"/>
        </w:rPr>
        <w:t>9 pandemic, in England NHS waiting lists are projected to reach 13 million by 2025, with implications for hospitals</w:t>
      </w:r>
      <w:r w:rsidR="00C63860" w:rsidRPr="00C63860">
        <w:rPr>
          <w:rFonts w:asciiTheme="minorHAnsi" w:hAnsiTheme="minorHAnsi" w:cstheme="minorHAnsi"/>
          <w:color w:val="00B0F0"/>
        </w:rPr>
        <w:t>’</w:t>
      </w:r>
      <w:r w:rsidRPr="00C63860">
        <w:rPr>
          <w:rFonts w:asciiTheme="minorHAnsi" w:hAnsiTheme="minorHAnsi" w:cstheme="minorHAnsi"/>
        </w:rPr>
        <w:t xml:space="preserve"> capacity for elective and emergency surgery</w:t>
      </w:r>
      <w:r w:rsidRPr="00C63860">
        <w:rPr>
          <w:rFonts w:asciiTheme="minorHAnsi" w:hAnsiTheme="minorHAnsi" w:cstheme="minorHAnsi"/>
          <w:highlight w:val="magenta"/>
        </w:rPr>
        <w:t>. Further</w:t>
      </w:r>
      <w:r w:rsidRPr="00C63860">
        <w:rPr>
          <w:rFonts w:asciiTheme="minorHAnsi" w:hAnsiTheme="minorHAnsi" w:cstheme="minorHAnsi"/>
        </w:rPr>
        <w:t xml:space="preserve"> research in other conditions would therefore be useful to identify which patient groups ES or NES strategies are clearly cost-effective. The approach taken in the ESORT study of combining large-scale routine </w:t>
      </w:r>
      <w:r w:rsidRPr="00C63860">
        <w:rPr>
          <w:rFonts w:asciiTheme="minorHAnsi" w:hAnsiTheme="minorHAnsi" w:cstheme="minorHAnsi"/>
          <w:highlight w:val="magenta"/>
        </w:rPr>
        <w:t>data</w:t>
      </w:r>
      <w:r w:rsidRPr="00C63860">
        <w:rPr>
          <w:rFonts w:asciiTheme="minorHAnsi" w:hAnsiTheme="minorHAnsi" w:cstheme="minorHAnsi"/>
        </w:rPr>
        <w:t xml:space="preserve">, with advanced analytical approaches to address confounding could be extended to other acute conditions. This approach could identify patient groups for whom either </w:t>
      </w:r>
      <w:r w:rsidR="00C63860" w:rsidRPr="00C63860">
        <w:rPr>
          <w:rFonts w:asciiTheme="minorHAnsi" w:hAnsiTheme="minorHAnsi" w:cstheme="minorHAnsi"/>
          <w:color w:val="00B0F0"/>
        </w:rPr>
        <w:t>‘</w:t>
      </w:r>
      <w:r w:rsidR="006F6056" w:rsidRPr="00C63860">
        <w:rPr>
          <w:rFonts w:asciiTheme="minorHAnsi" w:hAnsiTheme="minorHAnsi" w:cstheme="minorHAnsi"/>
        </w:rPr>
        <w:t>early</w:t>
      </w:r>
      <w:r w:rsidR="00C63860" w:rsidRPr="00C63860">
        <w:rPr>
          <w:rFonts w:asciiTheme="minorHAnsi" w:hAnsiTheme="minorHAnsi" w:cstheme="minorHAnsi"/>
          <w:color w:val="00B0F0"/>
        </w:rPr>
        <w:t>’</w:t>
      </w:r>
      <w:r w:rsidRPr="00C63860">
        <w:rPr>
          <w:rFonts w:asciiTheme="minorHAnsi" w:hAnsiTheme="minorHAnsi" w:cstheme="minorHAnsi"/>
        </w:rPr>
        <w:t xml:space="preserve"> or </w:t>
      </w:r>
      <w:r w:rsidR="00C63860" w:rsidRPr="00C63860">
        <w:rPr>
          <w:rFonts w:asciiTheme="minorHAnsi" w:hAnsiTheme="minorHAnsi" w:cstheme="minorHAnsi"/>
          <w:color w:val="00B0F0"/>
        </w:rPr>
        <w:t>‘</w:t>
      </w:r>
      <w:r w:rsidR="006F6056" w:rsidRPr="00C63860">
        <w:rPr>
          <w:rFonts w:asciiTheme="minorHAnsi" w:hAnsiTheme="minorHAnsi" w:cstheme="minorHAnsi"/>
        </w:rPr>
        <w:t>later</w:t>
      </w:r>
      <w:r w:rsidR="00C63860" w:rsidRPr="00C63860">
        <w:rPr>
          <w:rFonts w:asciiTheme="minorHAnsi" w:hAnsiTheme="minorHAnsi" w:cstheme="minorHAnsi"/>
          <w:color w:val="00B0F0"/>
        </w:rPr>
        <w:t>’</w:t>
      </w:r>
      <w:r w:rsidRPr="00C63860">
        <w:rPr>
          <w:rFonts w:asciiTheme="minorHAnsi" w:hAnsiTheme="minorHAnsi" w:cstheme="minorHAnsi"/>
        </w:rPr>
        <w:t xml:space="preserve"> intervention is more cost-effective.</w:t>
      </w:r>
    </w:p>
    <w:p w14:paraId="1012434D" w14:textId="17D4DD60" w:rsidR="0044098B" w:rsidRPr="00C63860" w:rsidRDefault="0044098B" w:rsidP="0044098B">
      <w:pPr>
        <w:autoSpaceDE w:val="0"/>
        <w:autoSpaceDN w:val="0"/>
        <w:adjustRightInd w:val="0"/>
        <w:spacing w:after="240" w:line="276" w:lineRule="auto"/>
        <w:rPr>
          <w:rFonts w:asciiTheme="minorHAnsi" w:eastAsiaTheme="majorEastAsia" w:hAnsiTheme="minorHAnsi" w:cstheme="minorHAnsi"/>
        </w:rPr>
      </w:pPr>
      <w:r w:rsidRPr="00C63860">
        <w:rPr>
          <w:rFonts w:asciiTheme="minorHAnsi" w:hAnsiTheme="minorHAnsi" w:cstheme="minorHAnsi"/>
          <w:b/>
          <w:bCs/>
          <w:sz w:val="28"/>
          <w:szCs w:val="28"/>
        </w:rPr>
        <w:t>Funding</w:t>
      </w:r>
    </w:p>
    <w:p w14:paraId="3CFFCD83" w14:textId="77777777" w:rsidR="00C63860" w:rsidRPr="00C63860" w:rsidRDefault="0044098B" w:rsidP="0044098B">
      <w:pPr>
        <w:autoSpaceDE w:val="0"/>
        <w:autoSpaceDN w:val="0"/>
        <w:adjustRightInd w:val="0"/>
        <w:spacing w:after="240" w:line="276" w:lineRule="auto"/>
        <w:rPr>
          <w:rFonts w:asciiTheme="minorHAnsi" w:hAnsiTheme="minorHAnsi" w:cstheme="minorHAnsi"/>
        </w:rPr>
      </w:pPr>
      <w:r w:rsidRPr="00C63860">
        <w:rPr>
          <w:rFonts w:asciiTheme="minorHAnsi" w:hAnsiTheme="minorHAnsi" w:cstheme="minorHAnsi"/>
        </w:rPr>
        <w:t>This project was funded by the National Institute for Health Research (NIHR) HS&amp;DR programme and will be published in full in XXX Journal; Vol. XX, No. XX. See the NIHR Journals Library website for further project information.</w:t>
      </w:r>
    </w:p>
    <w:p w14:paraId="11741C35" w14:textId="70E5DA97" w:rsidR="00FC6BA4" w:rsidRPr="00C63860" w:rsidRDefault="00FC6BA4" w:rsidP="00FC6BA4">
      <w:pPr>
        <w:autoSpaceDE w:val="0"/>
        <w:autoSpaceDN w:val="0"/>
        <w:adjustRightInd w:val="0"/>
        <w:spacing w:after="240" w:line="276" w:lineRule="auto"/>
        <w:rPr>
          <w:rFonts w:asciiTheme="minorHAnsi" w:eastAsiaTheme="majorEastAsia" w:hAnsiTheme="minorHAnsi" w:cstheme="minorHAnsi"/>
        </w:rPr>
      </w:pPr>
      <w:r w:rsidRPr="00C63860">
        <w:rPr>
          <w:rFonts w:asciiTheme="minorHAnsi" w:hAnsiTheme="minorHAnsi" w:cstheme="minorHAnsi"/>
          <w:b/>
          <w:bCs/>
          <w:sz w:val="28"/>
          <w:szCs w:val="28"/>
        </w:rPr>
        <w:t>Study registration</w:t>
      </w:r>
    </w:p>
    <w:p w14:paraId="1EAB0651" w14:textId="77777777" w:rsidR="00C63860" w:rsidRPr="00C63860" w:rsidRDefault="00FC6BA4" w:rsidP="00FC6BA4">
      <w:pPr>
        <w:autoSpaceDE w:val="0"/>
        <w:autoSpaceDN w:val="0"/>
        <w:adjustRightInd w:val="0"/>
        <w:spacing w:after="240" w:line="276" w:lineRule="auto"/>
        <w:rPr>
          <w:rFonts w:asciiTheme="minorHAnsi" w:hAnsiTheme="minorHAnsi" w:cstheme="minorHAnsi"/>
          <w:b/>
          <w:bCs/>
        </w:rPr>
      </w:pPr>
      <w:r w:rsidRPr="00C63860">
        <w:rPr>
          <w:rFonts w:asciiTheme="minorHAnsi" w:hAnsiTheme="minorHAnsi" w:cstheme="minorHAnsi"/>
        </w:rPr>
        <w:t>reviewregistry784</w:t>
      </w:r>
    </w:p>
    <w:p w14:paraId="56B8527A" w14:textId="77777777" w:rsidR="00C63860" w:rsidRPr="00C63860" w:rsidRDefault="00A94063" w:rsidP="00F74390">
      <w:pPr>
        <w:pStyle w:val="Heading1"/>
      </w:pPr>
      <w:bookmarkStart w:id="28" w:name="_Toc86672997"/>
      <w:bookmarkStart w:id="29" w:name="_Hlk85019640"/>
      <w:r w:rsidRPr="00C63860">
        <w:t>Chapter 1: Introduction</w:t>
      </w:r>
      <w:bookmarkEnd w:id="28"/>
      <w:bookmarkEnd w:id="29"/>
    </w:p>
    <w:p w14:paraId="1D10401D" w14:textId="5396AEAF" w:rsidR="00C63860" w:rsidRPr="00C63860" w:rsidRDefault="00A94063" w:rsidP="00F74390">
      <w:pPr>
        <w:pStyle w:val="ListParagraph"/>
        <w:numPr>
          <w:ilvl w:val="1"/>
          <w:numId w:val="9"/>
        </w:numPr>
        <w:spacing w:before="240" w:after="160" w:line="276" w:lineRule="auto"/>
        <w:rPr>
          <w:rFonts w:asciiTheme="minorHAnsi" w:hAnsiTheme="minorHAnsi" w:cstheme="minorHAnsi"/>
          <w:b/>
          <w:sz w:val="28"/>
          <w:szCs w:val="28"/>
        </w:rPr>
      </w:pPr>
      <w:r w:rsidRPr="00C63860">
        <w:rPr>
          <w:rFonts w:asciiTheme="minorHAnsi" w:hAnsiTheme="minorHAnsi" w:cstheme="minorHAnsi"/>
          <w:b/>
          <w:sz w:val="28"/>
          <w:szCs w:val="28"/>
        </w:rPr>
        <w:t>Background and Rationale</w:t>
      </w:r>
    </w:p>
    <w:p w14:paraId="0AE8EB2B" w14:textId="7EF560BA" w:rsidR="00C63860" w:rsidRPr="00C63860" w:rsidRDefault="00A94063" w:rsidP="00F74390">
      <w:pPr>
        <w:spacing w:before="240" w:line="276" w:lineRule="auto"/>
        <w:rPr>
          <w:rFonts w:asciiTheme="minorHAnsi" w:hAnsiTheme="minorHAnsi" w:cstheme="minorHAnsi"/>
        </w:rPr>
      </w:pPr>
      <w:r w:rsidRPr="00C63860">
        <w:rPr>
          <w:rFonts w:asciiTheme="minorHAnsi" w:hAnsiTheme="minorHAnsi" w:cstheme="minorHAnsi"/>
          <w:color w:val="333333"/>
        </w:rPr>
        <w:t>Emergency surgery (ES) poses a considerable global burden to health systems</w:t>
      </w:r>
      <w:r w:rsidRPr="00C63860">
        <w:rPr>
          <w:rFonts w:asciiTheme="minorHAnsi" w:hAnsiTheme="minorHAnsi" w:cstheme="minorHAnsi"/>
        </w:rPr>
        <w:t xml:space="preserve"> and is </w:t>
      </w:r>
      <w:r w:rsidRPr="00C63860">
        <w:rPr>
          <w:rFonts w:asciiTheme="minorHAnsi" w:hAnsiTheme="minorHAnsi" w:cstheme="minorHAnsi"/>
          <w:color w:val="333333"/>
        </w:rPr>
        <w:t>associated with high morbidity, mortality and resource utilisation.</w:t>
      </w:r>
      <w:r w:rsidR="00A766CD" w:rsidRPr="00C63860">
        <w:rPr>
          <w:rFonts w:asciiTheme="minorHAnsi" w:hAnsiTheme="minorHAnsi" w:cstheme="minorHAnsi"/>
          <w:noProof/>
          <w:color w:val="333333"/>
          <w:vertAlign w:val="superscript"/>
        </w:rPr>
        <w:t>1</w:t>
      </w:r>
      <w:r w:rsidRPr="00C63860">
        <w:rPr>
          <w:rFonts w:asciiTheme="minorHAnsi" w:hAnsiTheme="minorHAnsi" w:cstheme="minorHAnsi"/>
          <w:color w:val="333333"/>
        </w:rPr>
        <w:t xml:space="preserve"> It accounts for approximately 750,000 admissions per year in England alone,</w:t>
      </w:r>
      <w:r w:rsidR="00A86F3C" w:rsidRPr="00C63860">
        <w:rPr>
          <w:rFonts w:asciiTheme="minorHAnsi" w:hAnsiTheme="minorHAnsi" w:cstheme="minorHAnsi"/>
          <w:noProof/>
          <w:color w:val="333333"/>
          <w:vertAlign w:val="superscript"/>
        </w:rPr>
        <w:t>2</w:t>
      </w:r>
      <w:r w:rsidRPr="00C63860">
        <w:rPr>
          <w:rFonts w:asciiTheme="minorHAnsi" w:hAnsiTheme="minorHAnsi" w:cstheme="minorHAnsi"/>
          <w:color w:val="333333"/>
        </w:rPr>
        <w:t xml:space="preserve"> with surgical procedures representing approximately 10% of the annual NHS budget.</w:t>
      </w:r>
      <w:r w:rsidR="00A86F3C" w:rsidRPr="00C63860">
        <w:rPr>
          <w:rFonts w:asciiTheme="minorHAnsi" w:hAnsiTheme="minorHAnsi" w:cstheme="minorHAnsi"/>
          <w:noProof/>
          <w:color w:val="333333"/>
          <w:vertAlign w:val="superscript"/>
        </w:rPr>
        <w:t>3</w:t>
      </w:r>
      <w:r w:rsidRPr="00C63860">
        <w:rPr>
          <w:rFonts w:asciiTheme="minorHAnsi" w:hAnsiTheme="minorHAnsi" w:cstheme="minorHAnsi"/>
          <w:color w:val="333333"/>
        </w:rPr>
        <w:t xml:space="preserve"> </w:t>
      </w:r>
      <w:r w:rsidRPr="00C63860">
        <w:rPr>
          <w:rFonts w:asciiTheme="minorHAnsi" w:hAnsiTheme="minorHAnsi" w:cstheme="minorHAnsi"/>
        </w:rPr>
        <w:t>Following the COVI</w:t>
      </w:r>
      <w:r w:rsidR="00C63860" w:rsidRPr="00C63860">
        <w:rPr>
          <w:rFonts w:asciiTheme="minorHAnsi" w:hAnsiTheme="minorHAnsi" w:cstheme="minorHAnsi"/>
          <w:color w:val="00B0F0"/>
        </w:rPr>
        <w:t>D-1</w:t>
      </w:r>
      <w:r w:rsidRPr="00C63860">
        <w:rPr>
          <w:rFonts w:asciiTheme="minorHAnsi" w:hAnsiTheme="minorHAnsi" w:cstheme="minorHAnsi"/>
        </w:rPr>
        <w:t xml:space="preserve">9 pandemic, in England </w:t>
      </w:r>
      <w:r w:rsidR="004E4BC6" w:rsidRPr="00C63860">
        <w:rPr>
          <w:rFonts w:asciiTheme="minorHAnsi" w:hAnsiTheme="minorHAnsi" w:cstheme="minorHAnsi"/>
        </w:rPr>
        <w:t>National Health Service (</w:t>
      </w:r>
      <w:r w:rsidRPr="00C63860">
        <w:rPr>
          <w:rFonts w:asciiTheme="minorHAnsi" w:hAnsiTheme="minorHAnsi" w:cstheme="minorHAnsi"/>
        </w:rPr>
        <w:t>NHS</w:t>
      </w:r>
      <w:r w:rsidR="004E4BC6" w:rsidRPr="00C63860">
        <w:rPr>
          <w:rFonts w:asciiTheme="minorHAnsi" w:hAnsiTheme="minorHAnsi" w:cstheme="minorHAnsi"/>
        </w:rPr>
        <w:t>)</w:t>
      </w:r>
      <w:r w:rsidRPr="00C63860">
        <w:rPr>
          <w:rFonts w:asciiTheme="minorHAnsi" w:hAnsiTheme="minorHAnsi" w:cstheme="minorHAnsi"/>
        </w:rPr>
        <w:t xml:space="preserve"> waiting lists are projected to reach 13 million by 2025, with implications for hospitals</w:t>
      </w:r>
      <w:r w:rsidR="00C63860" w:rsidRPr="00C63860">
        <w:rPr>
          <w:rFonts w:asciiTheme="minorHAnsi" w:hAnsiTheme="minorHAnsi" w:cstheme="minorHAnsi"/>
          <w:color w:val="00B0F0"/>
        </w:rPr>
        <w:t>’</w:t>
      </w:r>
      <w:r w:rsidRPr="00C63860">
        <w:rPr>
          <w:rFonts w:asciiTheme="minorHAnsi" w:hAnsiTheme="minorHAnsi" w:cstheme="minorHAnsi"/>
        </w:rPr>
        <w:t xml:space="preserve"> capacity for elective and </w:t>
      </w:r>
      <w:r w:rsidR="00BB0921" w:rsidRPr="00C63860">
        <w:rPr>
          <w:rFonts w:asciiTheme="minorHAnsi" w:hAnsiTheme="minorHAnsi" w:cstheme="minorHAnsi"/>
        </w:rPr>
        <w:t>ES</w:t>
      </w:r>
      <w:r w:rsidRPr="00C63860">
        <w:rPr>
          <w:rFonts w:asciiTheme="minorHAnsi" w:hAnsiTheme="minorHAnsi" w:cstheme="minorHAnsi"/>
        </w:rPr>
        <w:t>.</w:t>
      </w:r>
      <w:r w:rsidR="00A86F3C" w:rsidRPr="00C63860">
        <w:rPr>
          <w:rFonts w:asciiTheme="minorHAnsi" w:hAnsiTheme="minorHAnsi" w:cstheme="minorHAnsi"/>
          <w:noProof/>
          <w:vertAlign w:val="superscript"/>
        </w:rPr>
        <w:t>4</w:t>
      </w:r>
      <w:r w:rsidRPr="00C63860">
        <w:rPr>
          <w:rFonts w:asciiTheme="minorHAnsi" w:hAnsiTheme="minorHAnsi" w:cstheme="minorHAnsi"/>
        </w:rPr>
        <w:t xml:space="preserve"> </w:t>
      </w:r>
      <w:r w:rsidRPr="00C63860">
        <w:rPr>
          <w:rFonts w:asciiTheme="minorHAnsi" w:hAnsiTheme="minorHAnsi" w:cstheme="minorHAnsi"/>
          <w:color w:val="333333"/>
        </w:rPr>
        <w:t xml:space="preserve">For common acute conditions that present as emergency admissions, an important clinical decision is which patients should receive ES versus </w:t>
      </w:r>
      <w:r w:rsidRPr="00C63860">
        <w:rPr>
          <w:rFonts w:asciiTheme="minorHAnsi" w:hAnsiTheme="minorHAnsi" w:cstheme="minorHAnsi"/>
        </w:rPr>
        <w:t xml:space="preserve">non-emergency surgery (NES) strategies, that include medical management, non-surgical procedures (e.g. </w:t>
      </w:r>
      <w:r w:rsidR="00335134" w:rsidRPr="00C63860">
        <w:rPr>
          <w:rFonts w:asciiTheme="minorHAnsi" w:hAnsiTheme="minorHAnsi" w:cstheme="minorHAnsi"/>
        </w:rPr>
        <w:t xml:space="preserve">radiological-guided </w:t>
      </w:r>
      <w:r w:rsidRPr="00C63860">
        <w:rPr>
          <w:rFonts w:asciiTheme="minorHAnsi" w:hAnsiTheme="minorHAnsi" w:cstheme="minorHAnsi"/>
        </w:rPr>
        <w:t>drainage of abscess), or surgery deferred to the elective (planned) setting.</w:t>
      </w:r>
    </w:p>
    <w:p w14:paraId="6C6D0F79" w14:textId="13785887" w:rsidR="00A94063" w:rsidRPr="00C63860" w:rsidRDefault="00A94063" w:rsidP="00F74390">
      <w:pPr>
        <w:spacing w:before="240" w:after="100" w:afterAutospacing="1" w:line="276" w:lineRule="auto"/>
        <w:rPr>
          <w:rFonts w:asciiTheme="minorHAnsi" w:hAnsiTheme="minorHAnsi" w:cstheme="minorHAnsi"/>
          <w:vertAlign w:val="superscript"/>
        </w:rPr>
      </w:pPr>
      <w:r w:rsidRPr="00C63860">
        <w:rPr>
          <w:rFonts w:asciiTheme="minorHAnsi" w:hAnsiTheme="minorHAnsi" w:cstheme="minorHAnsi"/>
        </w:rPr>
        <w:t>In England, although there are approximately 4,000 NHS consultant general surgeons who spend on average 50% of their time on emergency general surgery admissions, there is insufficient capacity to provide ES 24/7.</w:t>
      </w:r>
      <w:r w:rsidR="00A86F3C" w:rsidRPr="00C63860">
        <w:rPr>
          <w:rFonts w:asciiTheme="minorHAnsi" w:hAnsiTheme="minorHAnsi" w:cstheme="minorHAnsi"/>
          <w:noProof/>
          <w:vertAlign w:val="superscript"/>
        </w:rPr>
        <w:t>2</w:t>
      </w:r>
      <w:r w:rsidRPr="00C63860">
        <w:rPr>
          <w:rFonts w:asciiTheme="minorHAnsi" w:hAnsiTheme="minorHAnsi" w:cstheme="minorHAnsi"/>
        </w:rPr>
        <w:t xml:space="preserve"> In 2016, there were 697,314 emergency general surgical admissions to NHS trusts in England, of which 305,507 (43.8%) did not receive an operative procedure.</w:t>
      </w:r>
      <w:r w:rsidRPr="00C63860">
        <w:rPr>
          <w:rFonts w:asciiTheme="minorHAnsi" w:hAnsiTheme="minorHAnsi" w:cstheme="minorHAnsi"/>
          <w:vertAlign w:val="superscript"/>
        </w:rPr>
        <w:t>5</w:t>
      </w:r>
      <w:r w:rsidRPr="00C63860">
        <w:rPr>
          <w:rFonts w:asciiTheme="minorHAnsi" w:hAnsiTheme="minorHAnsi" w:cstheme="minorHAnsi"/>
        </w:rPr>
        <w:t xml:space="preserve"> The Getting it Right First Time (GIRFT) report for emergency general surgery, found wide variation across NHS trusts in care quality and outcomes after ES,</w:t>
      </w:r>
      <w:r w:rsidR="00A86F3C" w:rsidRPr="00C63860">
        <w:rPr>
          <w:rFonts w:asciiTheme="minorHAnsi" w:hAnsiTheme="minorHAnsi" w:cstheme="minorHAnsi"/>
          <w:noProof/>
          <w:vertAlign w:val="superscript"/>
        </w:rPr>
        <w:t>2</w:t>
      </w:r>
      <w:r w:rsidRPr="00C63860">
        <w:rPr>
          <w:rFonts w:asciiTheme="minorHAnsi" w:hAnsiTheme="minorHAnsi" w:cstheme="minorHAnsi"/>
        </w:rPr>
        <w:t xml:space="preserve"> which may reflect local logistical and resource constraints, but also clinical uncertainty.</w:t>
      </w:r>
      <w:r w:rsidR="00A86F3C" w:rsidRPr="00C63860">
        <w:rPr>
          <w:rFonts w:asciiTheme="minorHAnsi" w:hAnsiTheme="minorHAnsi" w:cstheme="minorHAnsi"/>
          <w:noProof/>
          <w:vertAlign w:val="superscript"/>
        </w:rPr>
        <w:t>5</w:t>
      </w:r>
    </w:p>
    <w:p w14:paraId="242A6186" w14:textId="1324B0B7" w:rsidR="00C63860" w:rsidRPr="00C63860" w:rsidRDefault="00A94063" w:rsidP="00F74390">
      <w:pPr>
        <w:spacing w:before="240" w:after="100" w:afterAutospacing="1" w:line="276" w:lineRule="auto"/>
        <w:rPr>
          <w:rFonts w:asciiTheme="minorHAnsi" w:hAnsiTheme="minorHAnsi" w:cstheme="minorHAnsi"/>
        </w:rPr>
      </w:pPr>
      <w:r w:rsidRPr="00C63860">
        <w:rPr>
          <w:rFonts w:asciiTheme="minorHAnsi" w:hAnsiTheme="minorHAnsi" w:cstheme="minorHAnsi"/>
        </w:rPr>
        <w:t xml:space="preserve">ES rates for patients with acute </w:t>
      </w:r>
      <w:r w:rsidR="00335134" w:rsidRPr="00C63860">
        <w:rPr>
          <w:rFonts w:asciiTheme="minorHAnsi" w:hAnsiTheme="minorHAnsi" w:cstheme="minorHAnsi"/>
        </w:rPr>
        <w:t xml:space="preserve">gastrointestinal </w:t>
      </w:r>
      <w:r w:rsidRPr="00C63860">
        <w:rPr>
          <w:rFonts w:asciiTheme="minorHAnsi" w:hAnsiTheme="minorHAnsi" w:cstheme="minorHAnsi"/>
        </w:rPr>
        <w:t>condition</w:t>
      </w:r>
      <w:r w:rsidR="00335134" w:rsidRPr="00C63860">
        <w:rPr>
          <w:rFonts w:asciiTheme="minorHAnsi" w:hAnsiTheme="minorHAnsi" w:cstheme="minorHAnsi"/>
        </w:rPr>
        <w:t>s</w:t>
      </w:r>
      <w:r w:rsidRPr="00C63860">
        <w:rPr>
          <w:rFonts w:asciiTheme="minorHAnsi" w:hAnsiTheme="minorHAnsi" w:cstheme="minorHAnsi"/>
        </w:rPr>
        <w:t xml:space="preserve"> have declined over the last 20 years,</w:t>
      </w:r>
      <w:r w:rsidR="00A86F3C" w:rsidRPr="00C63860">
        <w:rPr>
          <w:rFonts w:asciiTheme="minorHAnsi" w:hAnsiTheme="minorHAnsi" w:cstheme="minorHAnsi"/>
          <w:noProof/>
          <w:vertAlign w:val="superscript"/>
        </w:rPr>
        <w:t>6</w:t>
      </w:r>
      <w:r w:rsidRPr="00C63860">
        <w:rPr>
          <w:rFonts w:asciiTheme="minorHAnsi" w:hAnsiTheme="minorHAnsi" w:cstheme="minorHAnsi"/>
        </w:rPr>
        <w:t xml:space="preserve"> and protocols for NES strategies have been developed and implemented as part of randomised controlled trials (RCTs)</w:t>
      </w:r>
      <w:r w:rsidR="00CB776A" w:rsidRPr="00C63860">
        <w:rPr>
          <w:rFonts w:asciiTheme="minorHAnsi" w:hAnsiTheme="minorHAnsi" w:cstheme="minorHAnsi"/>
        </w:rPr>
        <w:t>.</w:t>
      </w:r>
      <w:r w:rsidR="00FA5B47" w:rsidRPr="00C63860">
        <w:rPr>
          <w:rFonts w:asciiTheme="minorHAnsi" w:hAnsiTheme="minorHAnsi" w:cstheme="minorHAnsi"/>
          <w:noProof/>
          <w:vertAlign w:val="superscript"/>
        </w:rPr>
        <w:t>7</w:t>
      </w:r>
      <w:r w:rsidR="00C63860" w:rsidRPr="00C63860">
        <w:rPr>
          <w:rFonts w:asciiTheme="minorHAnsi" w:hAnsiTheme="minorHAnsi" w:cstheme="minorHAnsi"/>
          <w:noProof/>
          <w:color w:val="00B0F0"/>
          <w:vertAlign w:val="superscript"/>
        </w:rPr>
        <w:t>–1</w:t>
      </w:r>
      <w:r w:rsidR="00FA5B47" w:rsidRPr="00C63860">
        <w:rPr>
          <w:rFonts w:asciiTheme="minorHAnsi" w:hAnsiTheme="minorHAnsi" w:cstheme="minorHAnsi"/>
          <w:noProof/>
          <w:vertAlign w:val="superscript"/>
        </w:rPr>
        <w:t>2</w:t>
      </w:r>
      <w:r w:rsidRPr="00C63860">
        <w:rPr>
          <w:rFonts w:asciiTheme="minorHAnsi" w:hAnsiTheme="minorHAnsi" w:cstheme="minorHAnsi"/>
        </w:rPr>
        <w:t xml:space="preserve"> However, relatively few RCTs in the emergency setting have contrasted ES and NES strategies for patients with acute conditions and</w:t>
      </w:r>
      <w:r w:rsidR="008B186E" w:rsidRPr="00C63860">
        <w:rPr>
          <w:rFonts w:asciiTheme="minorHAnsi" w:hAnsiTheme="minorHAnsi" w:cstheme="minorHAnsi"/>
        </w:rPr>
        <w:t>,</w:t>
      </w:r>
      <w:r w:rsidRPr="00C63860">
        <w:rPr>
          <w:rFonts w:asciiTheme="minorHAnsi" w:hAnsiTheme="minorHAnsi" w:cstheme="minorHAnsi"/>
        </w:rPr>
        <w:t xml:space="preserve"> in general, these have included an insufficient number and range of patients to inform routine service provision. For patients with uncomplicated acute appendicitis, several RCTs and ensuing meta-analyses have contrasted ES with NES strategies, but the evidence is equivocal</w:t>
      </w:r>
      <w:r w:rsidR="00FA5B47" w:rsidRPr="00C63860">
        <w:rPr>
          <w:rFonts w:asciiTheme="minorHAnsi" w:hAnsiTheme="minorHAnsi" w:cstheme="minorHAnsi"/>
          <w:noProof/>
          <w:vertAlign w:val="superscript"/>
        </w:rPr>
        <w:t>7, 8, 13</w:t>
      </w:r>
      <w:r w:rsidRPr="00C63860">
        <w:rPr>
          <w:rFonts w:asciiTheme="minorHAnsi" w:hAnsiTheme="minorHAnsi" w:cstheme="minorHAnsi"/>
        </w:rPr>
        <w:t xml:space="preserve"> For patients with acute cholecystitis</w:t>
      </w:r>
      <w:r w:rsidR="00335134" w:rsidRPr="00C63860">
        <w:rPr>
          <w:rFonts w:asciiTheme="minorHAnsi" w:hAnsiTheme="minorHAnsi" w:cstheme="minorHAnsi"/>
        </w:rPr>
        <w:t>,</w:t>
      </w:r>
      <w:r w:rsidRPr="00C63860">
        <w:rPr>
          <w:rFonts w:asciiTheme="minorHAnsi" w:hAnsiTheme="minorHAnsi" w:cstheme="minorHAnsi"/>
        </w:rPr>
        <w:t xml:space="preserve"> published RCTs have reported reduced complications following </w:t>
      </w:r>
      <w:r w:rsidR="00C63860" w:rsidRPr="00C63860">
        <w:rPr>
          <w:rFonts w:asciiTheme="minorHAnsi" w:hAnsiTheme="minorHAnsi" w:cstheme="minorHAnsi"/>
          <w:color w:val="00B0F0"/>
        </w:rPr>
        <w:t>‘</w:t>
      </w:r>
      <w:r w:rsidR="006F6056" w:rsidRPr="00C63860">
        <w:rPr>
          <w:rFonts w:asciiTheme="minorHAnsi" w:hAnsiTheme="minorHAnsi" w:cstheme="minorHAnsi"/>
        </w:rPr>
        <w:t>early</w:t>
      </w:r>
      <w:r w:rsidR="00C63860" w:rsidRPr="00C63860">
        <w:rPr>
          <w:rFonts w:asciiTheme="minorHAnsi" w:hAnsiTheme="minorHAnsi" w:cstheme="minorHAnsi"/>
          <w:color w:val="00B0F0"/>
        </w:rPr>
        <w:t>’</w:t>
      </w:r>
      <w:r w:rsidRPr="00C63860">
        <w:rPr>
          <w:rFonts w:asciiTheme="minorHAnsi" w:hAnsiTheme="minorHAnsi" w:cstheme="minorHAnsi"/>
        </w:rPr>
        <w:t xml:space="preserve"> versus </w:t>
      </w:r>
      <w:r w:rsidR="00C63860" w:rsidRPr="00C63860">
        <w:rPr>
          <w:rFonts w:asciiTheme="minorHAnsi" w:hAnsiTheme="minorHAnsi" w:cstheme="minorHAnsi"/>
          <w:color w:val="00B0F0"/>
        </w:rPr>
        <w:t>‘</w:t>
      </w:r>
      <w:r w:rsidR="006F6056" w:rsidRPr="00C63860">
        <w:rPr>
          <w:rFonts w:asciiTheme="minorHAnsi" w:hAnsiTheme="minorHAnsi" w:cstheme="minorHAnsi"/>
        </w:rPr>
        <w:t>delayed</w:t>
      </w:r>
      <w:r w:rsidR="00C63860" w:rsidRPr="00C63860">
        <w:rPr>
          <w:rFonts w:asciiTheme="minorHAnsi" w:hAnsiTheme="minorHAnsi" w:cstheme="minorHAnsi"/>
          <w:color w:val="00B0F0"/>
        </w:rPr>
        <w:t>’</w:t>
      </w:r>
      <w:r w:rsidRPr="00C63860">
        <w:rPr>
          <w:rFonts w:asciiTheme="minorHAnsi" w:hAnsiTheme="minorHAnsi" w:cstheme="minorHAnsi"/>
        </w:rPr>
        <w:t xml:space="preserve"> surgery but have not considered non-operative strategies. For patients with acute diverticular disease, NES strategies are well-developed, but published RCTs have considered different forms of ES, rather than contrasting ES with NES strategies.</w:t>
      </w:r>
      <w:r w:rsidR="00FA5B47" w:rsidRPr="00C63860">
        <w:rPr>
          <w:rFonts w:asciiTheme="minorHAnsi" w:hAnsiTheme="minorHAnsi" w:cstheme="minorHAnsi"/>
          <w:noProof/>
          <w:vertAlign w:val="superscript"/>
        </w:rPr>
        <w:t>14, 15</w:t>
      </w:r>
      <w:r w:rsidRPr="00C63860">
        <w:rPr>
          <w:rFonts w:asciiTheme="minorHAnsi" w:hAnsiTheme="minorHAnsi" w:cstheme="minorHAnsi"/>
        </w:rPr>
        <w:t xml:space="preserve"> For other acute conditions presenting as emergency admissions, such as abdominal wall hernia and intestinal obstruction, no published RCTs </w:t>
      </w:r>
      <w:r w:rsidR="00335134" w:rsidRPr="00C63860">
        <w:rPr>
          <w:rFonts w:asciiTheme="minorHAnsi" w:hAnsiTheme="minorHAnsi" w:cstheme="minorHAnsi"/>
        </w:rPr>
        <w:t xml:space="preserve">of ES versus NES strategies </w:t>
      </w:r>
      <w:r w:rsidRPr="00C63860">
        <w:rPr>
          <w:rFonts w:asciiTheme="minorHAnsi" w:hAnsiTheme="minorHAnsi" w:cstheme="minorHAnsi"/>
        </w:rPr>
        <w:t>exist, amid ethical concerns about randomisation.</w:t>
      </w:r>
      <w:r w:rsidR="00FA5B47" w:rsidRPr="00C63860">
        <w:rPr>
          <w:rFonts w:asciiTheme="minorHAnsi" w:hAnsiTheme="minorHAnsi" w:cstheme="minorHAnsi"/>
          <w:noProof/>
          <w:vertAlign w:val="superscript"/>
        </w:rPr>
        <w:t>16</w:t>
      </w:r>
    </w:p>
    <w:p w14:paraId="634C2D28" w14:textId="77777777" w:rsidR="00C63860" w:rsidRPr="00C63860" w:rsidRDefault="00A94063" w:rsidP="00F74390">
      <w:pPr>
        <w:spacing w:before="240" w:after="100" w:afterAutospacing="1" w:line="276" w:lineRule="auto"/>
        <w:rPr>
          <w:rFonts w:asciiTheme="minorHAnsi" w:hAnsiTheme="minorHAnsi" w:cstheme="minorHAnsi"/>
        </w:rPr>
      </w:pPr>
      <w:r w:rsidRPr="00C63860">
        <w:rPr>
          <w:rFonts w:asciiTheme="minorHAnsi" w:hAnsiTheme="minorHAnsi" w:cstheme="minorHAnsi"/>
        </w:rPr>
        <w:t>In observational studies comparing ES to NES strategies, the major concern is confounding by indication; patients who receive ES may be sicker.</w:t>
      </w:r>
      <w:r w:rsidR="00FA5B47" w:rsidRPr="00C63860">
        <w:rPr>
          <w:rFonts w:asciiTheme="minorHAnsi" w:hAnsiTheme="minorHAnsi" w:cstheme="minorHAnsi"/>
          <w:noProof/>
          <w:vertAlign w:val="superscript"/>
        </w:rPr>
        <w:t>17</w:t>
      </w:r>
      <w:r w:rsidRPr="00C63860">
        <w:rPr>
          <w:rFonts w:asciiTheme="minorHAnsi" w:hAnsiTheme="minorHAnsi" w:cstheme="minorHAnsi"/>
        </w:rPr>
        <w:t xml:space="preserve"> Traditional risk adjustment methods are unable to fully allow for prognostic differences between the patients receiving </w:t>
      </w:r>
      <w:r w:rsidR="00740CDE" w:rsidRPr="00C63860">
        <w:rPr>
          <w:rFonts w:asciiTheme="minorHAnsi" w:hAnsiTheme="minorHAnsi" w:cstheme="minorHAnsi"/>
        </w:rPr>
        <w:t xml:space="preserve">NES </w:t>
      </w:r>
      <w:r w:rsidRPr="00C63860">
        <w:rPr>
          <w:rFonts w:asciiTheme="minorHAnsi" w:hAnsiTheme="minorHAnsi" w:cstheme="minorHAnsi"/>
        </w:rPr>
        <w:t>strategies because information</w:t>
      </w:r>
      <w:r w:rsidR="008B186E" w:rsidRPr="00C63860">
        <w:rPr>
          <w:rFonts w:asciiTheme="minorHAnsi" w:hAnsiTheme="minorHAnsi" w:cstheme="minorHAnsi"/>
        </w:rPr>
        <w:t>,</w:t>
      </w:r>
      <w:r w:rsidRPr="00C63860">
        <w:rPr>
          <w:rFonts w:asciiTheme="minorHAnsi" w:hAnsiTheme="minorHAnsi" w:cstheme="minorHAnsi"/>
        </w:rPr>
        <w:t xml:space="preserve"> for example from radiological investigation</w:t>
      </w:r>
      <w:r w:rsidR="008B186E" w:rsidRPr="00C63860">
        <w:rPr>
          <w:rFonts w:asciiTheme="minorHAnsi" w:hAnsiTheme="minorHAnsi" w:cstheme="minorHAnsi"/>
        </w:rPr>
        <w:t>,</w:t>
      </w:r>
      <w:r w:rsidRPr="00C63860">
        <w:rPr>
          <w:rFonts w:asciiTheme="minorHAnsi" w:hAnsiTheme="minorHAnsi" w:cstheme="minorHAnsi"/>
        </w:rPr>
        <w:t xml:space="preserve"> is not available within routine </w:t>
      </w:r>
      <w:r w:rsidRPr="00C63860">
        <w:rPr>
          <w:rFonts w:asciiTheme="minorHAnsi" w:hAnsiTheme="minorHAnsi" w:cstheme="minorHAnsi"/>
          <w:highlight w:val="magenta"/>
        </w:rPr>
        <w:t>data</w:t>
      </w:r>
      <w:r w:rsidRPr="00C63860">
        <w:rPr>
          <w:rFonts w:asciiTheme="minorHAnsi" w:hAnsiTheme="minorHAnsi" w:cstheme="minorHAnsi"/>
        </w:rPr>
        <w:t xml:space="preserve"> sources</w:t>
      </w:r>
      <w:r w:rsidR="00FA5B47" w:rsidRPr="00C63860">
        <w:rPr>
          <w:rFonts w:asciiTheme="minorHAnsi" w:hAnsiTheme="minorHAnsi" w:cstheme="minorHAnsi"/>
        </w:rPr>
        <w:t>.</w:t>
      </w:r>
      <w:r w:rsidRPr="00C63860">
        <w:rPr>
          <w:rFonts w:asciiTheme="minorHAnsi" w:hAnsiTheme="minorHAnsi" w:cstheme="minorHAnsi"/>
        </w:rPr>
        <w:t xml:space="preserve"> As these unmeasured variables may predict both ES receipt and outcome, these studies are liable to provide biased estimates of the effectiveness of ES.</w:t>
      </w:r>
      <w:r w:rsidR="00FA5B47" w:rsidRPr="00C63860">
        <w:rPr>
          <w:rFonts w:asciiTheme="minorHAnsi" w:hAnsiTheme="minorHAnsi" w:cstheme="minorHAnsi"/>
          <w:noProof/>
          <w:vertAlign w:val="superscript"/>
        </w:rPr>
        <w:t>17</w:t>
      </w:r>
    </w:p>
    <w:p w14:paraId="05FD24D0" w14:textId="45D010ED" w:rsidR="00C63860" w:rsidRPr="00C63860" w:rsidRDefault="00A94063" w:rsidP="00F74390">
      <w:pPr>
        <w:spacing w:before="240" w:after="100" w:afterAutospacing="1" w:line="276" w:lineRule="auto"/>
        <w:rPr>
          <w:rFonts w:asciiTheme="minorHAnsi" w:hAnsiTheme="minorHAnsi" w:cstheme="minorHAnsi"/>
        </w:rPr>
      </w:pPr>
      <w:r w:rsidRPr="00C63860">
        <w:rPr>
          <w:rFonts w:asciiTheme="minorHAnsi" w:hAnsiTheme="minorHAnsi" w:cstheme="minorHAnsi"/>
        </w:rPr>
        <w:t>The appeal of an instrumental variable (IV) design is that it can provide accurate estimates of treatment effectiveness even when there are unmeasured differences between the comparison group.</w:t>
      </w:r>
      <w:r w:rsidR="00FA5B47" w:rsidRPr="00C63860">
        <w:rPr>
          <w:rFonts w:asciiTheme="minorHAnsi" w:hAnsiTheme="minorHAnsi" w:cstheme="minorHAnsi"/>
          <w:noProof/>
          <w:vertAlign w:val="superscript"/>
        </w:rPr>
        <w:t>18, 19</w:t>
      </w:r>
      <w:r w:rsidRPr="00C63860">
        <w:rPr>
          <w:rFonts w:asciiTheme="minorHAnsi" w:hAnsiTheme="minorHAnsi" w:cstheme="minorHAnsi"/>
        </w:rPr>
        <w:t xml:space="preserve"> Keele</w:t>
      </w:r>
      <w:r w:rsidRPr="00C63860">
        <w:rPr>
          <w:rFonts w:asciiTheme="minorHAnsi" w:hAnsiTheme="minorHAnsi" w:cstheme="minorHAnsi"/>
          <w:i/>
          <w:color w:val="00B0F0"/>
        </w:rPr>
        <w:t xml:space="preserve"> et al</w:t>
      </w:r>
      <w:r w:rsidRPr="00C63860">
        <w:rPr>
          <w:rFonts w:asciiTheme="minorHAnsi" w:hAnsiTheme="minorHAnsi" w:cstheme="minorHAnsi"/>
        </w:rPr>
        <w:t xml:space="preserve"> (2018) developed an IV design to address confounding when evaluating ES in the US</w:t>
      </w:r>
      <w:r w:rsidR="00AE4FD0" w:rsidRPr="00C63860">
        <w:rPr>
          <w:rFonts w:asciiTheme="minorHAnsi" w:hAnsiTheme="minorHAnsi" w:cstheme="minorHAnsi"/>
        </w:rPr>
        <w:t>A</w:t>
      </w:r>
      <w:r w:rsidRPr="00C63860">
        <w:rPr>
          <w:rFonts w:asciiTheme="minorHAnsi" w:hAnsiTheme="minorHAnsi" w:cstheme="minorHAnsi"/>
        </w:rPr>
        <w:t xml:space="preserve"> using claims </w:t>
      </w:r>
      <w:r w:rsidRPr="00C63860">
        <w:rPr>
          <w:rFonts w:asciiTheme="minorHAnsi" w:hAnsiTheme="minorHAnsi" w:cstheme="minorHAnsi"/>
          <w:highlight w:val="magenta"/>
        </w:rPr>
        <w:t>data</w:t>
      </w:r>
      <w:r w:rsidRPr="00C63860">
        <w:rPr>
          <w:rFonts w:asciiTheme="minorHAnsi" w:hAnsiTheme="minorHAnsi" w:cstheme="minorHAnsi"/>
        </w:rPr>
        <w:t>.</w:t>
      </w:r>
      <w:r w:rsidR="00753B5B" w:rsidRPr="00C63860">
        <w:rPr>
          <w:rFonts w:asciiTheme="minorHAnsi" w:hAnsiTheme="minorHAnsi" w:cstheme="minorHAnsi"/>
          <w:noProof/>
          <w:vertAlign w:val="superscript"/>
        </w:rPr>
        <w:t>20</w:t>
      </w:r>
      <w:r w:rsidRPr="00C63860">
        <w:rPr>
          <w:rFonts w:asciiTheme="minorHAnsi" w:hAnsiTheme="minorHAnsi" w:cstheme="minorHAnsi"/>
        </w:rPr>
        <w:t xml:space="preserve"> The study used the surgeon</w:t>
      </w:r>
      <w:r w:rsidR="00C63860" w:rsidRPr="00C63860">
        <w:rPr>
          <w:rFonts w:asciiTheme="minorHAnsi" w:hAnsiTheme="minorHAnsi" w:cstheme="minorHAnsi"/>
          <w:color w:val="00B0F0"/>
        </w:rPr>
        <w:t>’</w:t>
      </w:r>
      <w:r w:rsidRPr="00C63860">
        <w:rPr>
          <w:rFonts w:asciiTheme="minorHAnsi" w:hAnsiTheme="minorHAnsi" w:cstheme="minorHAnsi"/>
        </w:rPr>
        <w:t xml:space="preserve">s ES rate across </w:t>
      </w:r>
      <w:r w:rsidRPr="00C63860">
        <w:rPr>
          <w:rFonts w:asciiTheme="minorHAnsi" w:hAnsiTheme="minorHAnsi" w:cstheme="minorHAnsi"/>
          <w:highlight w:val="magenta"/>
        </w:rPr>
        <w:t>preceding</w:t>
      </w:r>
      <w:r w:rsidRPr="00C63860">
        <w:rPr>
          <w:rFonts w:asciiTheme="minorHAnsi" w:hAnsiTheme="minorHAnsi" w:cstheme="minorHAnsi"/>
        </w:rPr>
        <w:t xml:space="preserve"> emergency admissions</w:t>
      </w:r>
      <w:r w:rsidR="008B186E" w:rsidRPr="00C63860">
        <w:rPr>
          <w:rFonts w:asciiTheme="minorHAnsi" w:hAnsiTheme="minorHAnsi" w:cstheme="minorHAnsi"/>
        </w:rPr>
        <w:t xml:space="preserve"> as its IV</w:t>
      </w:r>
      <w:r w:rsidRPr="00C63860">
        <w:rPr>
          <w:rFonts w:asciiTheme="minorHAnsi" w:hAnsiTheme="minorHAnsi" w:cstheme="minorHAnsi"/>
        </w:rPr>
        <w:t>, and reported that this variable appeared to meet the criteria required to be a valid IV. This study found that for some conditions, including diverticul</w:t>
      </w:r>
      <w:r w:rsidR="008B186E" w:rsidRPr="00C63860">
        <w:rPr>
          <w:rFonts w:asciiTheme="minorHAnsi" w:hAnsiTheme="minorHAnsi" w:cstheme="minorHAnsi"/>
        </w:rPr>
        <w:t>ar disease</w:t>
      </w:r>
      <w:r w:rsidRPr="00C63860">
        <w:rPr>
          <w:rFonts w:asciiTheme="minorHAnsi" w:hAnsiTheme="minorHAnsi" w:cstheme="minorHAnsi"/>
        </w:rPr>
        <w:t>, ES led to higher 30-day mortality than non-operative care. However, these results may not apply to the NHS</w:t>
      </w:r>
      <w:r w:rsidR="00AE4FD0" w:rsidRPr="00C63860">
        <w:rPr>
          <w:rFonts w:asciiTheme="minorHAnsi" w:hAnsiTheme="minorHAnsi" w:cstheme="minorHAnsi"/>
        </w:rPr>
        <w:t xml:space="preserve"> in the UK</w:t>
      </w:r>
      <w:r w:rsidRPr="00C63860">
        <w:rPr>
          <w:rFonts w:asciiTheme="minorHAnsi" w:hAnsiTheme="minorHAnsi" w:cstheme="minorHAnsi"/>
        </w:rPr>
        <w:t>, where thresholds for ES may be different</w:t>
      </w:r>
      <w:r w:rsidR="00AE4FD0" w:rsidRPr="00C63860">
        <w:rPr>
          <w:rFonts w:asciiTheme="minorHAnsi" w:hAnsiTheme="minorHAnsi" w:cstheme="minorHAnsi"/>
        </w:rPr>
        <w:t>. Also,</w:t>
      </w:r>
      <w:r w:rsidRPr="00C63860">
        <w:rPr>
          <w:rFonts w:asciiTheme="minorHAnsi" w:hAnsiTheme="minorHAnsi" w:cstheme="minorHAnsi"/>
        </w:rPr>
        <w:t xml:space="preserve"> while the provider</w:t>
      </w:r>
      <w:r w:rsidR="00C63860" w:rsidRPr="00C63860">
        <w:rPr>
          <w:rFonts w:asciiTheme="minorHAnsi" w:hAnsiTheme="minorHAnsi" w:cstheme="minorHAnsi"/>
          <w:color w:val="00B0F0"/>
        </w:rPr>
        <w:t>’</w:t>
      </w:r>
      <w:r w:rsidRPr="00C63860">
        <w:rPr>
          <w:rFonts w:asciiTheme="minorHAnsi" w:hAnsiTheme="minorHAnsi" w:cstheme="minorHAnsi"/>
        </w:rPr>
        <w:t>s preference for ES appeared to be a valid IV in the context of US</w:t>
      </w:r>
      <w:r w:rsidR="00AE4FD0" w:rsidRPr="00C63860">
        <w:rPr>
          <w:rFonts w:asciiTheme="minorHAnsi" w:hAnsiTheme="minorHAnsi" w:cstheme="minorHAnsi"/>
        </w:rPr>
        <w:t>A</w:t>
      </w:r>
      <w:r w:rsidRPr="00C63860">
        <w:rPr>
          <w:rFonts w:asciiTheme="minorHAnsi" w:hAnsiTheme="minorHAnsi" w:cstheme="minorHAnsi"/>
        </w:rPr>
        <w:t xml:space="preserve"> claims </w:t>
      </w:r>
      <w:r w:rsidRPr="00C63860">
        <w:rPr>
          <w:rFonts w:asciiTheme="minorHAnsi" w:hAnsiTheme="minorHAnsi" w:cstheme="minorHAnsi"/>
          <w:highlight w:val="magenta"/>
        </w:rPr>
        <w:t>data</w:t>
      </w:r>
      <w:r w:rsidRPr="00C63860">
        <w:rPr>
          <w:rFonts w:asciiTheme="minorHAnsi" w:hAnsiTheme="minorHAnsi" w:cstheme="minorHAnsi"/>
        </w:rPr>
        <w:t xml:space="preserve">, it would require further assessment before it could be used in assessing the effectiveness of ES from routine </w:t>
      </w:r>
      <w:r w:rsidRPr="00C63860">
        <w:rPr>
          <w:rFonts w:asciiTheme="minorHAnsi" w:hAnsiTheme="minorHAnsi" w:cstheme="minorHAnsi"/>
          <w:highlight w:val="magenta"/>
        </w:rPr>
        <w:t>data</w:t>
      </w:r>
      <w:r w:rsidRPr="00C63860">
        <w:rPr>
          <w:rFonts w:asciiTheme="minorHAnsi" w:hAnsiTheme="minorHAnsi" w:cstheme="minorHAnsi"/>
        </w:rPr>
        <w:t xml:space="preserve"> in the UK.</w:t>
      </w:r>
    </w:p>
    <w:p w14:paraId="72C37D67" w14:textId="783C5831" w:rsidR="00C63860" w:rsidRPr="00C63860" w:rsidRDefault="00A94063" w:rsidP="00F74390">
      <w:pPr>
        <w:spacing w:before="240" w:after="100" w:afterAutospacing="1" w:line="276" w:lineRule="auto"/>
        <w:rPr>
          <w:rFonts w:asciiTheme="minorHAnsi" w:hAnsiTheme="minorHAnsi" w:cstheme="minorHAnsi"/>
          <w:iCs/>
        </w:rPr>
      </w:pPr>
      <w:r w:rsidRPr="00C63860">
        <w:rPr>
          <w:rFonts w:asciiTheme="minorHAnsi" w:hAnsiTheme="minorHAnsi" w:cstheme="minorHAnsi"/>
          <w:iCs/>
        </w:rPr>
        <w:t xml:space="preserve">A further important gap in the evidence required to inform ES provision, is that few previous studies have evaluated the cost-effectiveness of ES versus NES strategies for these common acute conditions. For patients with appendicitis, previous </w:t>
      </w:r>
      <w:r w:rsidR="00A278E2" w:rsidRPr="00C63860">
        <w:rPr>
          <w:rFonts w:asciiTheme="minorHAnsi" w:hAnsiTheme="minorHAnsi" w:cstheme="minorHAnsi"/>
          <w:iCs/>
        </w:rPr>
        <w:t>cost-effectiveness analysis (</w:t>
      </w:r>
      <w:r w:rsidRPr="00C63860">
        <w:rPr>
          <w:rFonts w:asciiTheme="minorHAnsi" w:hAnsiTheme="minorHAnsi" w:cstheme="minorHAnsi"/>
          <w:iCs/>
        </w:rPr>
        <w:t>CEA</w:t>
      </w:r>
      <w:r w:rsidR="00A278E2" w:rsidRPr="00C63860">
        <w:rPr>
          <w:rFonts w:asciiTheme="minorHAnsi" w:hAnsiTheme="minorHAnsi" w:cstheme="minorHAnsi"/>
          <w:iCs/>
        </w:rPr>
        <w:t>)</w:t>
      </w:r>
      <w:r w:rsidRPr="00C63860">
        <w:rPr>
          <w:rFonts w:asciiTheme="minorHAnsi" w:hAnsiTheme="minorHAnsi" w:cstheme="minorHAnsi"/>
          <w:iCs/>
        </w:rPr>
        <w:t>, like the precedent comparative effectiveness literature</w:t>
      </w:r>
      <w:r w:rsidR="000C56D0" w:rsidRPr="00C63860">
        <w:rPr>
          <w:rFonts w:asciiTheme="minorHAnsi" w:hAnsiTheme="minorHAnsi" w:cstheme="minorHAnsi"/>
          <w:iCs/>
        </w:rPr>
        <w:t>,</w:t>
      </w:r>
      <w:r w:rsidRPr="00C63860">
        <w:rPr>
          <w:rFonts w:asciiTheme="minorHAnsi" w:hAnsiTheme="minorHAnsi" w:cstheme="minorHAnsi"/>
          <w:iCs/>
        </w:rPr>
        <w:t xml:space="preserve"> provide equivocal results. Some studies have reported that NES strategies result in improved outcomes and lower costs than ES.</w:t>
      </w:r>
      <w:r w:rsidR="00753B5B" w:rsidRPr="00C63860">
        <w:rPr>
          <w:rFonts w:asciiTheme="minorHAnsi" w:hAnsiTheme="minorHAnsi" w:cstheme="minorHAnsi"/>
          <w:iCs/>
          <w:noProof/>
          <w:vertAlign w:val="superscript"/>
        </w:rPr>
        <w:t>21</w:t>
      </w:r>
      <w:r w:rsidR="00C63860" w:rsidRPr="00C63860">
        <w:rPr>
          <w:rFonts w:asciiTheme="minorHAnsi" w:hAnsiTheme="minorHAnsi" w:cstheme="minorHAnsi"/>
          <w:iCs/>
          <w:noProof/>
          <w:color w:val="00B0F0"/>
          <w:vertAlign w:val="superscript"/>
        </w:rPr>
        <w:t>–2</w:t>
      </w:r>
      <w:r w:rsidR="00753B5B" w:rsidRPr="00C63860">
        <w:rPr>
          <w:rFonts w:asciiTheme="minorHAnsi" w:hAnsiTheme="minorHAnsi" w:cstheme="minorHAnsi"/>
          <w:iCs/>
          <w:noProof/>
          <w:vertAlign w:val="superscript"/>
        </w:rPr>
        <w:t>3</w:t>
      </w:r>
      <w:r w:rsidRPr="00C63860">
        <w:rPr>
          <w:rFonts w:asciiTheme="minorHAnsi" w:hAnsiTheme="minorHAnsi" w:cstheme="minorHAnsi"/>
          <w:iCs/>
        </w:rPr>
        <w:t xml:space="preserve"> By contrast, other studies report that ES leads to improved outcomes, at either additional,</w:t>
      </w:r>
      <w:r w:rsidR="00A26E8E" w:rsidRPr="00C63860">
        <w:rPr>
          <w:rFonts w:asciiTheme="minorHAnsi" w:hAnsiTheme="minorHAnsi" w:cstheme="minorHAnsi"/>
          <w:iCs/>
          <w:noProof/>
          <w:vertAlign w:val="superscript"/>
        </w:rPr>
        <w:t>8</w:t>
      </w:r>
      <w:r w:rsidRPr="00C63860">
        <w:rPr>
          <w:rFonts w:asciiTheme="minorHAnsi" w:hAnsiTheme="minorHAnsi" w:cstheme="minorHAnsi"/>
          <w:iCs/>
        </w:rPr>
        <w:t xml:space="preserve"> or reduced,</w:t>
      </w:r>
      <w:r w:rsidR="00753B5B" w:rsidRPr="00C63860">
        <w:rPr>
          <w:rFonts w:asciiTheme="minorHAnsi" w:hAnsiTheme="minorHAnsi" w:cstheme="minorHAnsi"/>
          <w:iCs/>
          <w:noProof/>
          <w:vertAlign w:val="superscript"/>
        </w:rPr>
        <w:t>24</w:t>
      </w:r>
      <w:r w:rsidR="00935577" w:rsidRPr="00C63860">
        <w:rPr>
          <w:rFonts w:asciiTheme="minorHAnsi" w:hAnsiTheme="minorHAnsi" w:cstheme="minorHAnsi"/>
          <w:iCs/>
          <w:color w:val="FF0000"/>
          <w:vertAlign w:val="superscript"/>
        </w:rPr>
        <w:t xml:space="preserve"> </w:t>
      </w:r>
      <w:r w:rsidRPr="00C63860">
        <w:rPr>
          <w:rFonts w:asciiTheme="minorHAnsi" w:hAnsiTheme="minorHAnsi" w:cstheme="minorHAnsi"/>
          <w:iCs/>
        </w:rPr>
        <w:t>average costs.</w:t>
      </w:r>
      <w:r w:rsidR="00C63860" w:rsidRPr="00C63860">
        <w:rPr>
          <w:rFonts w:asciiTheme="minorHAnsi" w:hAnsiTheme="minorHAnsi" w:cstheme="minorHAnsi"/>
          <w:iCs/>
          <w:vertAlign w:val="superscript"/>
        </w:rPr>
        <w:t xml:space="preserve"> </w:t>
      </w:r>
      <w:r w:rsidRPr="00C63860">
        <w:rPr>
          <w:rFonts w:asciiTheme="minorHAnsi" w:hAnsiTheme="minorHAnsi" w:cstheme="minorHAnsi"/>
          <w:iCs/>
        </w:rPr>
        <w:t>For patients with acute cholecystitis, studies have provided conflicting evidence, with some reporting that ES is more cost-effective than delayed surgery,</w:t>
      </w:r>
      <w:r w:rsidR="00753B5B" w:rsidRPr="00C63860">
        <w:rPr>
          <w:rFonts w:asciiTheme="minorHAnsi" w:hAnsiTheme="minorHAnsi" w:cstheme="minorHAnsi"/>
          <w:iCs/>
          <w:noProof/>
          <w:vertAlign w:val="superscript"/>
        </w:rPr>
        <w:t>25, 26</w:t>
      </w:r>
      <w:r w:rsidRPr="00C63860">
        <w:rPr>
          <w:rFonts w:asciiTheme="minorHAnsi" w:hAnsiTheme="minorHAnsi" w:cstheme="minorHAnsi"/>
          <w:iCs/>
        </w:rPr>
        <w:t xml:space="preserve"> whereas others </w:t>
      </w:r>
      <w:r w:rsidR="00ED674B" w:rsidRPr="00C63860">
        <w:rPr>
          <w:rFonts w:asciiTheme="minorHAnsi" w:hAnsiTheme="minorHAnsi" w:cstheme="minorHAnsi"/>
          <w:iCs/>
        </w:rPr>
        <w:t xml:space="preserve">report </w:t>
      </w:r>
      <w:r w:rsidRPr="00C63860">
        <w:rPr>
          <w:rFonts w:asciiTheme="minorHAnsi" w:hAnsiTheme="minorHAnsi" w:cstheme="minorHAnsi"/>
          <w:iCs/>
        </w:rPr>
        <w:t>that outcomes are better and costs lower if surgery is delayed.</w:t>
      </w:r>
      <w:r w:rsidR="00753B5B" w:rsidRPr="00C63860">
        <w:rPr>
          <w:rFonts w:asciiTheme="minorHAnsi" w:hAnsiTheme="minorHAnsi" w:cstheme="minorHAnsi"/>
          <w:iCs/>
          <w:noProof/>
          <w:vertAlign w:val="superscript"/>
        </w:rPr>
        <w:t>27</w:t>
      </w:r>
      <w:r w:rsidRPr="00C63860">
        <w:rPr>
          <w:rFonts w:asciiTheme="minorHAnsi" w:hAnsiTheme="minorHAnsi" w:cstheme="minorHAnsi"/>
          <w:iCs/>
        </w:rPr>
        <w:t xml:space="preserve"> None of these studies have considered NES strategies other than delayed surgery, and similarly for patients with other common acute conditions including acute diverticular disease, abdominal wall hernia and intestinal obstruction, there is little available evidence on the cost-effectiveness of ES versus NES strategies.</w:t>
      </w:r>
    </w:p>
    <w:p w14:paraId="5CADF50B" w14:textId="11AD655C" w:rsidR="00C63860" w:rsidRPr="00C63860" w:rsidRDefault="00A94063" w:rsidP="00F74390">
      <w:pPr>
        <w:spacing w:before="240" w:after="100" w:afterAutospacing="1" w:line="276" w:lineRule="auto"/>
        <w:rPr>
          <w:rFonts w:asciiTheme="minorHAnsi" w:hAnsiTheme="minorHAnsi" w:cstheme="minorHAnsi"/>
          <w:iCs/>
        </w:rPr>
      </w:pPr>
      <w:r w:rsidRPr="00C63860">
        <w:rPr>
          <w:rFonts w:asciiTheme="minorHAnsi" w:hAnsiTheme="minorHAnsi" w:cstheme="minorHAnsi"/>
          <w:iCs/>
        </w:rPr>
        <w:t>A final concern is that previous studies evaluating ES strategies for patients with common acute conditions presenting as emergency admissions have failed to include patients from sufficiently broad populations to report relative effectiveness and cost-effectiveness across population subgroups.</w:t>
      </w:r>
      <w:r w:rsidR="00A26E8E" w:rsidRPr="00C63860">
        <w:rPr>
          <w:rFonts w:asciiTheme="minorHAnsi" w:hAnsiTheme="minorHAnsi" w:cstheme="minorHAnsi"/>
          <w:iCs/>
          <w:noProof/>
          <w:vertAlign w:val="superscript"/>
        </w:rPr>
        <w:t>7</w:t>
      </w:r>
      <w:r w:rsidR="00C63860" w:rsidRPr="00C63860">
        <w:rPr>
          <w:rFonts w:asciiTheme="minorHAnsi" w:hAnsiTheme="minorHAnsi" w:cstheme="minorHAnsi"/>
          <w:iCs/>
          <w:noProof/>
          <w:color w:val="00B0F0"/>
          <w:vertAlign w:val="superscript"/>
        </w:rPr>
        <w:t>–1</w:t>
      </w:r>
      <w:r w:rsidR="00A26E8E" w:rsidRPr="00C63860">
        <w:rPr>
          <w:rFonts w:asciiTheme="minorHAnsi" w:hAnsiTheme="minorHAnsi" w:cstheme="minorHAnsi"/>
          <w:iCs/>
          <w:noProof/>
          <w:vertAlign w:val="superscript"/>
        </w:rPr>
        <w:t>7, 21</w:t>
      </w:r>
      <w:r w:rsidR="00C63860" w:rsidRPr="00C63860">
        <w:rPr>
          <w:rFonts w:asciiTheme="minorHAnsi" w:hAnsiTheme="minorHAnsi" w:cstheme="minorHAnsi"/>
          <w:iCs/>
          <w:noProof/>
          <w:color w:val="00B0F0"/>
          <w:vertAlign w:val="superscript"/>
        </w:rPr>
        <w:t>–2</w:t>
      </w:r>
      <w:r w:rsidR="00A26E8E" w:rsidRPr="00C63860">
        <w:rPr>
          <w:rFonts w:asciiTheme="minorHAnsi" w:hAnsiTheme="minorHAnsi" w:cstheme="minorHAnsi"/>
          <w:iCs/>
          <w:noProof/>
          <w:vertAlign w:val="superscript"/>
        </w:rPr>
        <w:t>7</w:t>
      </w:r>
      <w:r w:rsidRPr="00C63860">
        <w:rPr>
          <w:rFonts w:asciiTheme="minorHAnsi" w:hAnsiTheme="minorHAnsi" w:cstheme="minorHAnsi"/>
        </w:rPr>
        <w:t xml:space="preserve"> Reports by the Royal College of Surgeons</w:t>
      </w:r>
      <w:r w:rsidR="00AE4FD0" w:rsidRPr="00C63860">
        <w:rPr>
          <w:rFonts w:asciiTheme="minorHAnsi" w:hAnsiTheme="minorHAnsi" w:cstheme="minorHAnsi"/>
        </w:rPr>
        <w:t xml:space="preserve"> (RCS)</w:t>
      </w:r>
      <w:r w:rsidRPr="00C63860">
        <w:rPr>
          <w:rFonts w:asciiTheme="minorHAnsi" w:hAnsiTheme="minorHAnsi" w:cstheme="minorHAnsi"/>
        </w:rPr>
        <w:t xml:space="preserve"> of England have generally found lower levels of ES for patients aged over 75 </w:t>
      </w:r>
      <w:r w:rsidRPr="00C63860">
        <w:rPr>
          <w:rFonts w:asciiTheme="minorHAnsi" w:hAnsiTheme="minorHAnsi" w:cstheme="minorHAnsi"/>
          <w:iCs/>
        </w:rPr>
        <w:t>versus</w:t>
      </w:r>
      <w:r w:rsidRPr="00C63860">
        <w:rPr>
          <w:rFonts w:asciiTheme="minorHAnsi" w:hAnsiTheme="minorHAnsi" w:cstheme="minorHAnsi"/>
        </w:rPr>
        <w:t xml:space="preserve"> those aged 65 to 74, notably for patients with acute cholelithiasis</w:t>
      </w:r>
      <w:r w:rsidR="00A26E8E" w:rsidRPr="00C63860">
        <w:rPr>
          <w:rFonts w:asciiTheme="minorHAnsi" w:hAnsiTheme="minorHAnsi" w:cstheme="minorHAnsi"/>
        </w:rPr>
        <w:t>.</w:t>
      </w:r>
      <w:r w:rsidR="006F0A28" w:rsidRPr="00C63860">
        <w:rPr>
          <w:rFonts w:asciiTheme="minorHAnsi" w:hAnsiTheme="minorHAnsi" w:cstheme="minorHAnsi"/>
          <w:noProof/>
          <w:vertAlign w:val="superscript"/>
        </w:rPr>
        <w:t>28, 29</w:t>
      </w:r>
      <w:r w:rsidRPr="00C63860">
        <w:rPr>
          <w:rFonts w:asciiTheme="minorHAnsi" w:hAnsiTheme="minorHAnsi" w:cstheme="minorHAnsi"/>
          <w:iCs/>
          <w:color w:val="FF0000"/>
        </w:rPr>
        <w:t xml:space="preserve"> </w:t>
      </w:r>
      <w:r w:rsidRPr="00C63860">
        <w:rPr>
          <w:rFonts w:asciiTheme="minorHAnsi" w:hAnsiTheme="minorHAnsi" w:cstheme="minorHAnsi"/>
          <w:iCs/>
        </w:rPr>
        <w:t>These guidelines have emphasised that research is required that simultaneously considers which factors, beyond age, may modify the relative effectiveness and cost-effectiveness of ES. Such studies should consider factors such as whether patients have multimorbidit</w:t>
      </w:r>
      <w:r w:rsidR="001B0AD9" w:rsidRPr="00C63860">
        <w:rPr>
          <w:rFonts w:asciiTheme="minorHAnsi" w:hAnsiTheme="minorHAnsi" w:cstheme="minorHAnsi"/>
          <w:iCs/>
        </w:rPr>
        <w:t>y</w:t>
      </w:r>
      <w:r w:rsidRPr="00C63860">
        <w:rPr>
          <w:rFonts w:asciiTheme="minorHAnsi" w:hAnsiTheme="minorHAnsi" w:cstheme="minorHAnsi"/>
          <w:iCs/>
        </w:rPr>
        <w:t>, or their frailty levels at emergency admission</w:t>
      </w:r>
      <w:r w:rsidR="001B0AD9" w:rsidRPr="00C63860">
        <w:rPr>
          <w:rFonts w:asciiTheme="minorHAnsi" w:hAnsiTheme="minorHAnsi" w:cstheme="minorHAnsi"/>
          <w:iCs/>
        </w:rPr>
        <w:t>. W</w:t>
      </w:r>
      <w:r w:rsidRPr="00C63860">
        <w:rPr>
          <w:rFonts w:asciiTheme="minorHAnsi" w:hAnsiTheme="minorHAnsi" w:cstheme="minorHAnsi"/>
          <w:iCs/>
        </w:rPr>
        <w:t>hile such factors may be related to age, they may modify the effectiveness and cost-effectiveness of ES versus NES strategies, after allowing for biological age.</w:t>
      </w:r>
    </w:p>
    <w:p w14:paraId="17E613B2" w14:textId="77777777" w:rsidR="00C63860" w:rsidRPr="00C63860" w:rsidRDefault="00A94063" w:rsidP="00F74390">
      <w:pPr>
        <w:spacing w:before="240" w:line="276" w:lineRule="auto"/>
        <w:rPr>
          <w:rFonts w:asciiTheme="minorHAnsi" w:hAnsiTheme="minorHAnsi" w:cstheme="minorHAnsi"/>
          <w:b/>
          <w:bCs/>
          <w:sz w:val="28"/>
          <w:szCs w:val="28"/>
        </w:rPr>
      </w:pPr>
      <w:bookmarkStart w:id="30" w:name="_Hlk85898382"/>
      <w:r w:rsidRPr="00C63860">
        <w:rPr>
          <w:rFonts w:asciiTheme="minorHAnsi" w:hAnsiTheme="minorHAnsi" w:cstheme="minorHAnsi"/>
          <w:b/>
          <w:bCs/>
          <w:sz w:val="28"/>
          <w:szCs w:val="28"/>
        </w:rPr>
        <w:t>1.2 Aims and Objectives</w:t>
      </w:r>
    </w:p>
    <w:bookmarkEnd w:id="30"/>
    <w:p w14:paraId="7FD2DEEC" w14:textId="189E9C7D" w:rsidR="002B1CEF" w:rsidRPr="00C63860" w:rsidRDefault="00A94063" w:rsidP="00F74390">
      <w:pPr>
        <w:spacing w:before="240" w:after="100" w:afterAutospacing="1" w:line="276" w:lineRule="auto"/>
        <w:rPr>
          <w:rFonts w:asciiTheme="minorHAnsi" w:hAnsiTheme="minorHAnsi" w:cstheme="minorHAnsi"/>
        </w:rPr>
      </w:pPr>
      <w:r w:rsidRPr="00C63860">
        <w:rPr>
          <w:rFonts w:asciiTheme="minorHAnsi" w:hAnsiTheme="minorHAnsi" w:cstheme="minorHAnsi"/>
        </w:rPr>
        <w:t xml:space="preserve">The aim </w:t>
      </w:r>
      <w:r w:rsidR="009E7897" w:rsidRPr="00C63860">
        <w:rPr>
          <w:rFonts w:asciiTheme="minorHAnsi" w:hAnsiTheme="minorHAnsi" w:cstheme="minorHAnsi"/>
        </w:rPr>
        <w:t xml:space="preserve">of the Emergency Surgery </w:t>
      </w:r>
      <w:r w:rsidR="00F8434F" w:rsidRPr="00C63860">
        <w:rPr>
          <w:rFonts w:asciiTheme="minorHAnsi" w:hAnsiTheme="minorHAnsi" w:cstheme="minorHAnsi"/>
        </w:rPr>
        <w:t>OR</w:t>
      </w:r>
      <w:r w:rsidR="009E7897" w:rsidRPr="00C63860">
        <w:rPr>
          <w:rFonts w:asciiTheme="minorHAnsi" w:hAnsiTheme="minorHAnsi" w:cstheme="minorHAnsi"/>
        </w:rPr>
        <w:t xml:space="preserve"> </w:t>
      </w:r>
      <w:r w:rsidR="00C70FEB" w:rsidRPr="00C63860">
        <w:rPr>
          <w:rFonts w:asciiTheme="minorHAnsi" w:hAnsiTheme="minorHAnsi" w:cstheme="minorHAnsi"/>
        </w:rPr>
        <w:t>n</w:t>
      </w:r>
      <w:r w:rsidR="009E7897" w:rsidRPr="00C63860">
        <w:rPr>
          <w:rFonts w:asciiTheme="minorHAnsi" w:hAnsiTheme="minorHAnsi" w:cstheme="minorHAnsi"/>
        </w:rPr>
        <w:t>o</w:t>
      </w:r>
      <w:r w:rsidR="00F8434F" w:rsidRPr="00C63860">
        <w:rPr>
          <w:rFonts w:asciiTheme="minorHAnsi" w:hAnsiTheme="minorHAnsi" w:cstheme="minorHAnsi"/>
        </w:rPr>
        <w:t>T</w:t>
      </w:r>
      <w:r w:rsidR="009E7897" w:rsidRPr="00C63860">
        <w:rPr>
          <w:rFonts w:asciiTheme="minorHAnsi" w:hAnsiTheme="minorHAnsi" w:cstheme="minorHAnsi"/>
        </w:rPr>
        <w:t xml:space="preserve"> (ESORT) </w:t>
      </w:r>
      <w:r w:rsidR="001B0AD9" w:rsidRPr="00C63860">
        <w:rPr>
          <w:rFonts w:asciiTheme="minorHAnsi" w:hAnsiTheme="minorHAnsi" w:cstheme="minorHAnsi"/>
        </w:rPr>
        <w:t xml:space="preserve">study </w:t>
      </w:r>
      <w:r w:rsidRPr="00C63860">
        <w:rPr>
          <w:rFonts w:asciiTheme="minorHAnsi" w:hAnsiTheme="minorHAnsi" w:cstheme="minorHAnsi"/>
        </w:rPr>
        <w:t xml:space="preserve">was to </w:t>
      </w:r>
      <w:r w:rsidR="002E21BB" w:rsidRPr="00C63860">
        <w:rPr>
          <w:rFonts w:asciiTheme="minorHAnsi" w:hAnsiTheme="minorHAnsi" w:cstheme="minorHAnsi"/>
        </w:rPr>
        <w:t xml:space="preserve">evaluate the effectiveness and cost-effectiveness of </w:t>
      </w:r>
      <w:r w:rsidR="000C56D0" w:rsidRPr="00C63860">
        <w:rPr>
          <w:rFonts w:asciiTheme="minorHAnsi" w:hAnsiTheme="minorHAnsi" w:cstheme="minorHAnsi"/>
        </w:rPr>
        <w:t>ES</w:t>
      </w:r>
      <w:r w:rsidR="002E21BB" w:rsidRPr="00C63860">
        <w:rPr>
          <w:rFonts w:asciiTheme="minorHAnsi" w:hAnsiTheme="minorHAnsi" w:cstheme="minorHAnsi"/>
        </w:rPr>
        <w:t xml:space="preserve"> versus </w:t>
      </w:r>
      <w:r w:rsidR="000C56D0" w:rsidRPr="00C63860">
        <w:rPr>
          <w:rFonts w:asciiTheme="minorHAnsi" w:hAnsiTheme="minorHAnsi" w:cstheme="minorHAnsi"/>
        </w:rPr>
        <w:t>NES</w:t>
      </w:r>
      <w:r w:rsidR="00D45324" w:rsidRPr="00C63860">
        <w:rPr>
          <w:rFonts w:asciiTheme="minorHAnsi" w:hAnsiTheme="minorHAnsi" w:cstheme="minorHAnsi"/>
        </w:rPr>
        <w:t xml:space="preserve"> strategies</w:t>
      </w:r>
      <w:r w:rsidR="002E21BB" w:rsidRPr="00C63860">
        <w:rPr>
          <w:rFonts w:asciiTheme="minorHAnsi" w:hAnsiTheme="minorHAnsi" w:cstheme="minorHAnsi"/>
        </w:rPr>
        <w:t xml:space="preserve"> for patients with common acute conditions presenting as emergency admissions to NHS hospitals in England. </w:t>
      </w:r>
      <w:r w:rsidR="002B1CEF" w:rsidRPr="00C63860">
        <w:rPr>
          <w:rFonts w:asciiTheme="minorHAnsi" w:hAnsiTheme="minorHAnsi" w:cstheme="minorHAnsi"/>
        </w:rPr>
        <w:t>The specific objectives were to evaluate the:</w:t>
      </w:r>
    </w:p>
    <w:p w14:paraId="7FD1C0FC" w14:textId="0183AF24" w:rsidR="006F6056" w:rsidRPr="00C63860" w:rsidRDefault="002B1CEF" w:rsidP="00F74390">
      <w:pPr>
        <w:spacing w:before="240" w:after="100" w:afterAutospacing="1" w:line="276" w:lineRule="auto"/>
        <w:ind w:left="709" w:hanging="425"/>
        <w:rPr>
          <w:rFonts w:asciiTheme="minorHAnsi" w:hAnsiTheme="minorHAnsi" w:cstheme="minorHAnsi"/>
          <w:highlight w:val="green"/>
        </w:rPr>
      </w:pPr>
      <w:r w:rsidRPr="00C63860">
        <w:rPr>
          <w:rFonts w:asciiTheme="minorHAnsi" w:hAnsiTheme="minorHAnsi" w:cstheme="minorHAnsi"/>
        </w:rPr>
        <w:t>1.</w:t>
      </w:r>
      <w:r w:rsidR="00C63860" w:rsidRPr="00C63860">
        <w:rPr>
          <w:rFonts w:asciiTheme="minorHAnsi" w:hAnsiTheme="minorHAnsi" w:cstheme="minorHAnsi"/>
        </w:rPr>
        <w:tab/>
      </w:r>
      <w:r w:rsidR="00AE4FD0" w:rsidRPr="00C63860">
        <w:rPr>
          <w:rFonts w:asciiTheme="minorHAnsi" w:hAnsiTheme="minorHAnsi" w:cstheme="minorHAnsi"/>
        </w:rPr>
        <w:t xml:space="preserve">relative </w:t>
      </w:r>
      <w:r w:rsidRPr="00C63860">
        <w:rPr>
          <w:rFonts w:asciiTheme="minorHAnsi" w:hAnsiTheme="minorHAnsi" w:cstheme="minorHAnsi"/>
        </w:rPr>
        <w:t>effectiveness of ES versus NES strategies for five common acute conditions presenting as emergency admissions;</w:t>
      </w:r>
    </w:p>
    <w:p w14:paraId="234C62A6" w14:textId="56AFF198" w:rsidR="006F6056" w:rsidRPr="00C63860" w:rsidRDefault="006F6056" w:rsidP="00F74390">
      <w:pPr>
        <w:spacing w:before="240" w:after="100" w:afterAutospacing="1" w:line="276" w:lineRule="auto"/>
        <w:ind w:left="709" w:hanging="425"/>
        <w:rPr>
          <w:rFonts w:asciiTheme="minorHAnsi" w:hAnsiTheme="minorHAnsi" w:cstheme="minorHAnsi"/>
        </w:rPr>
      </w:pPr>
      <w:r w:rsidRPr="00C63860">
        <w:rPr>
          <w:rFonts w:asciiTheme="minorHAnsi" w:hAnsiTheme="minorHAnsi" w:cstheme="minorHAnsi"/>
        </w:rPr>
        <w:t>2.</w:t>
      </w:r>
      <w:r w:rsidRPr="00C63860">
        <w:rPr>
          <w:rFonts w:asciiTheme="minorHAnsi" w:hAnsiTheme="minorHAnsi" w:cstheme="minorHAnsi"/>
        </w:rPr>
        <w:tab/>
        <w:t>relative cost-effectiveness of ES versus NES strategies for five common acute conditions presenting as emergency admissions;</w:t>
      </w:r>
    </w:p>
    <w:p w14:paraId="4890D9D0" w14:textId="36D43481" w:rsidR="006F6056" w:rsidRPr="00C63860" w:rsidRDefault="006F6056" w:rsidP="00F74390">
      <w:pPr>
        <w:spacing w:before="240" w:after="100" w:afterAutospacing="1" w:line="276" w:lineRule="auto"/>
        <w:ind w:left="709" w:hanging="425"/>
        <w:rPr>
          <w:rFonts w:asciiTheme="minorHAnsi" w:hAnsiTheme="minorHAnsi" w:cstheme="minorHAnsi"/>
        </w:rPr>
      </w:pPr>
      <w:r w:rsidRPr="00C63860">
        <w:rPr>
          <w:rFonts w:asciiTheme="minorHAnsi" w:hAnsiTheme="minorHAnsi" w:cstheme="minorHAnsi"/>
        </w:rPr>
        <w:t>3.</w:t>
      </w:r>
      <w:r w:rsidRPr="00C63860">
        <w:rPr>
          <w:rFonts w:asciiTheme="minorHAnsi" w:hAnsiTheme="minorHAnsi" w:cstheme="minorHAnsi"/>
        </w:rPr>
        <w:tab/>
        <w:t>clinical and cost-effectiveness of ES versus NES strategies for specific patient subgroups.</w:t>
      </w:r>
    </w:p>
    <w:p w14:paraId="2402922B" w14:textId="7800EDCE" w:rsidR="00A94063" w:rsidRPr="00C63860" w:rsidRDefault="00A94063" w:rsidP="00F74390">
      <w:pPr>
        <w:spacing w:before="240" w:line="276" w:lineRule="auto"/>
        <w:rPr>
          <w:rFonts w:asciiTheme="minorHAnsi" w:hAnsiTheme="minorHAnsi" w:cstheme="minorHAnsi"/>
          <w:b/>
          <w:sz w:val="28"/>
          <w:szCs w:val="28"/>
        </w:rPr>
      </w:pPr>
      <w:r w:rsidRPr="00C63860">
        <w:rPr>
          <w:rFonts w:asciiTheme="minorHAnsi" w:hAnsiTheme="minorHAnsi" w:cstheme="minorHAnsi"/>
          <w:b/>
          <w:sz w:val="28"/>
          <w:szCs w:val="28"/>
        </w:rPr>
        <w:t>1.3 Changes to the research proposed</w:t>
      </w:r>
    </w:p>
    <w:p w14:paraId="2E9759CA" w14:textId="77777777" w:rsidR="00C63860" w:rsidRPr="00C63860" w:rsidRDefault="00255F95" w:rsidP="00F74390">
      <w:pPr>
        <w:spacing w:before="240" w:after="240" w:line="276" w:lineRule="auto"/>
        <w:rPr>
          <w:rFonts w:asciiTheme="minorHAnsi" w:hAnsiTheme="minorHAnsi" w:cstheme="minorHAnsi"/>
          <w:b/>
        </w:rPr>
      </w:pPr>
      <w:r w:rsidRPr="00C63860">
        <w:rPr>
          <w:rFonts w:asciiTheme="minorHAnsi" w:hAnsiTheme="minorHAnsi" w:cstheme="minorHAnsi"/>
          <w:b/>
        </w:rPr>
        <w:t xml:space="preserve">1.3.1 </w:t>
      </w:r>
      <w:r w:rsidR="00A94063" w:rsidRPr="00C63860">
        <w:rPr>
          <w:rFonts w:asciiTheme="minorHAnsi" w:hAnsiTheme="minorHAnsi" w:cstheme="minorHAnsi"/>
          <w:b/>
        </w:rPr>
        <w:t>Reduction from seven to five acute conditions</w:t>
      </w:r>
    </w:p>
    <w:p w14:paraId="17EC4B81" w14:textId="77777777" w:rsidR="00C63860" w:rsidRPr="00C63860" w:rsidRDefault="00A94063" w:rsidP="00F74390">
      <w:pPr>
        <w:spacing w:before="240" w:after="100" w:afterAutospacing="1" w:line="276" w:lineRule="auto"/>
        <w:rPr>
          <w:rFonts w:asciiTheme="minorHAnsi" w:hAnsiTheme="minorHAnsi" w:cstheme="minorHAnsi"/>
        </w:rPr>
      </w:pPr>
      <w:r w:rsidRPr="00C63860">
        <w:rPr>
          <w:rFonts w:asciiTheme="minorHAnsi" w:hAnsiTheme="minorHAnsi" w:cstheme="minorHAnsi"/>
        </w:rPr>
        <w:t xml:space="preserve">The original proposal was for the target population to include seven acute conditions that present as emergency hospital admissions: </w:t>
      </w:r>
      <w:r w:rsidR="000C56D0" w:rsidRPr="00C63860">
        <w:rPr>
          <w:rFonts w:asciiTheme="minorHAnsi" w:hAnsiTheme="minorHAnsi" w:cstheme="minorHAnsi"/>
        </w:rPr>
        <w:t xml:space="preserve">acute </w:t>
      </w:r>
      <w:r w:rsidRPr="00C63860">
        <w:rPr>
          <w:rFonts w:asciiTheme="minorHAnsi" w:hAnsiTheme="minorHAnsi" w:cstheme="minorHAnsi"/>
        </w:rPr>
        <w:t>appendicitis, chole</w:t>
      </w:r>
      <w:r w:rsidR="000C56D0" w:rsidRPr="00C63860">
        <w:rPr>
          <w:rFonts w:asciiTheme="minorHAnsi" w:hAnsiTheme="minorHAnsi" w:cstheme="minorHAnsi"/>
        </w:rPr>
        <w:t>lithiasis</w:t>
      </w:r>
      <w:r w:rsidRPr="00C63860">
        <w:rPr>
          <w:rFonts w:asciiTheme="minorHAnsi" w:hAnsiTheme="minorHAnsi" w:cstheme="minorHAnsi"/>
        </w:rPr>
        <w:t>, diverticul</w:t>
      </w:r>
      <w:r w:rsidR="000C56D0" w:rsidRPr="00C63860">
        <w:rPr>
          <w:rFonts w:asciiTheme="minorHAnsi" w:hAnsiTheme="minorHAnsi" w:cstheme="minorHAnsi"/>
        </w:rPr>
        <w:t>ar disease</w:t>
      </w:r>
      <w:r w:rsidRPr="00C63860">
        <w:rPr>
          <w:rFonts w:asciiTheme="minorHAnsi" w:hAnsiTheme="minorHAnsi" w:cstheme="minorHAnsi"/>
        </w:rPr>
        <w:t>, a</w:t>
      </w:r>
      <w:r w:rsidR="000C56D0" w:rsidRPr="00C63860">
        <w:rPr>
          <w:rFonts w:asciiTheme="minorHAnsi" w:hAnsiTheme="minorHAnsi" w:cstheme="minorHAnsi"/>
        </w:rPr>
        <w:t>bdominal wall hernia</w:t>
      </w:r>
      <w:r w:rsidRPr="00C63860">
        <w:rPr>
          <w:rFonts w:asciiTheme="minorHAnsi" w:hAnsiTheme="minorHAnsi" w:cstheme="minorHAnsi"/>
        </w:rPr>
        <w:t>, intestinal obstruction, acute intestinal ischaemia, and acute complicated peptic ulcer disease. As proposed during the first six months of the research, we applied and received</w:t>
      </w:r>
      <w:r w:rsidR="001C6C1C" w:rsidRPr="00C63860">
        <w:rPr>
          <w:rFonts w:asciiTheme="minorHAnsi" w:hAnsiTheme="minorHAnsi" w:cstheme="minorHAnsi"/>
        </w:rPr>
        <w:t xml:space="preserve"> </w:t>
      </w:r>
      <w:r w:rsidR="00520500" w:rsidRPr="00C63860">
        <w:rPr>
          <w:rFonts w:asciiTheme="minorHAnsi" w:hAnsiTheme="minorHAnsi" w:cstheme="minorHAnsi"/>
        </w:rPr>
        <w:t>H</w:t>
      </w:r>
      <w:r w:rsidR="001C6C1C" w:rsidRPr="00C63860">
        <w:rPr>
          <w:rFonts w:asciiTheme="minorHAnsi" w:hAnsiTheme="minorHAnsi" w:cstheme="minorHAnsi"/>
        </w:rPr>
        <w:t xml:space="preserve">ospital </w:t>
      </w:r>
      <w:r w:rsidR="00520500" w:rsidRPr="00C63860">
        <w:rPr>
          <w:rFonts w:asciiTheme="minorHAnsi" w:hAnsiTheme="minorHAnsi" w:cstheme="minorHAnsi"/>
        </w:rPr>
        <w:t>Episode Statistics</w:t>
      </w:r>
      <w:r w:rsidRPr="00C63860">
        <w:rPr>
          <w:rFonts w:asciiTheme="minorHAnsi" w:hAnsiTheme="minorHAnsi" w:cstheme="minorHAnsi"/>
        </w:rPr>
        <w:t xml:space="preserve"> </w:t>
      </w:r>
      <w:r w:rsidR="00520500" w:rsidRPr="00C63860">
        <w:rPr>
          <w:rFonts w:asciiTheme="minorHAnsi" w:hAnsiTheme="minorHAnsi" w:cstheme="minorHAnsi"/>
        </w:rPr>
        <w:t>(</w:t>
      </w:r>
      <w:r w:rsidRPr="00C63860">
        <w:rPr>
          <w:rFonts w:asciiTheme="minorHAnsi" w:hAnsiTheme="minorHAnsi" w:cstheme="minorHAnsi"/>
        </w:rPr>
        <w:t>HES</w:t>
      </w:r>
      <w:r w:rsidR="00520500" w:rsidRPr="00C63860">
        <w:rPr>
          <w:rFonts w:asciiTheme="minorHAnsi" w:hAnsiTheme="minorHAnsi" w:cstheme="minorHAnsi"/>
        </w:rPr>
        <w:t>)</w:t>
      </w:r>
      <w:r w:rsidRPr="00C63860">
        <w:rPr>
          <w:rFonts w:asciiTheme="minorHAnsi" w:hAnsiTheme="minorHAnsi" w:cstheme="minorHAnsi"/>
        </w:rPr>
        <w:t xml:space="preserve"> </w:t>
      </w:r>
      <w:r w:rsidRPr="00C63860">
        <w:rPr>
          <w:rFonts w:asciiTheme="minorHAnsi" w:hAnsiTheme="minorHAnsi" w:cstheme="minorHAnsi"/>
          <w:highlight w:val="magenta"/>
        </w:rPr>
        <w:t>data</w:t>
      </w:r>
      <w:r w:rsidRPr="00C63860">
        <w:rPr>
          <w:rFonts w:asciiTheme="minorHAnsi" w:hAnsiTheme="minorHAnsi" w:cstheme="minorHAnsi"/>
        </w:rPr>
        <w:t xml:space="preserve"> for all seven conditions, and used this information to refine the specific definitions for each subpopulation. We then presented summary information and discussed the suitability of including each of the seven conditions.</w:t>
      </w:r>
      <w:r w:rsidR="00C63860" w:rsidRPr="00C63860">
        <w:rPr>
          <w:rFonts w:asciiTheme="minorHAnsi" w:hAnsiTheme="minorHAnsi" w:cstheme="minorHAnsi"/>
        </w:rPr>
        <w:t xml:space="preserve"> </w:t>
      </w:r>
      <w:r w:rsidRPr="00C63860">
        <w:rPr>
          <w:rFonts w:asciiTheme="minorHAnsi" w:hAnsiTheme="minorHAnsi" w:cstheme="minorHAnsi"/>
        </w:rPr>
        <w:t>We judged suitability according to three main considerations:</w:t>
      </w:r>
    </w:p>
    <w:p w14:paraId="31B93452" w14:textId="017170A4" w:rsidR="00A94063" w:rsidRPr="00C63860" w:rsidRDefault="00A94063" w:rsidP="00F74390">
      <w:pPr>
        <w:pStyle w:val="ListParagraph"/>
        <w:numPr>
          <w:ilvl w:val="0"/>
          <w:numId w:val="7"/>
        </w:numPr>
        <w:spacing w:before="240" w:after="160" w:line="276" w:lineRule="auto"/>
        <w:rPr>
          <w:rFonts w:asciiTheme="minorHAnsi" w:hAnsiTheme="minorHAnsi" w:cstheme="minorHAnsi"/>
        </w:rPr>
      </w:pPr>
      <w:r w:rsidRPr="00C63860">
        <w:rPr>
          <w:rFonts w:asciiTheme="minorHAnsi" w:hAnsiTheme="minorHAnsi" w:cstheme="minorHAnsi"/>
        </w:rPr>
        <w:t xml:space="preserve">From the </w:t>
      </w:r>
      <w:r w:rsidR="00D45324" w:rsidRPr="00C63860">
        <w:rPr>
          <w:rFonts w:asciiTheme="minorHAnsi" w:hAnsiTheme="minorHAnsi" w:cstheme="minorHAnsi"/>
          <w:i/>
          <w:color w:val="00B0F0"/>
        </w:rPr>
        <w:t>International Classification of Diseases,</w:t>
      </w:r>
      <w:r w:rsidR="00D45324" w:rsidRPr="00C63860">
        <w:rPr>
          <w:rFonts w:asciiTheme="minorHAnsi" w:hAnsiTheme="minorHAnsi" w:cstheme="minorHAnsi"/>
        </w:rPr>
        <w:t xml:space="preserve"> tenth revision (</w:t>
      </w:r>
      <w:r w:rsidR="00E426A7" w:rsidRPr="00C63860">
        <w:rPr>
          <w:rFonts w:asciiTheme="minorHAnsi" w:hAnsiTheme="minorHAnsi" w:cstheme="minorHAnsi"/>
        </w:rPr>
        <w:t>IC</w:t>
      </w:r>
      <w:r w:rsidR="00C63860" w:rsidRPr="00C63860">
        <w:rPr>
          <w:rFonts w:asciiTheme="minorHAnsi" w:hAnsiTheme="minorHAnsi" w:cstheme="minorHAnsi"/>
          <w:color w:val="00B0F0"/>
        </w:rPr>
        <w:t>D-1</w:t>
      </w:r>
      <w:r w:rsidR="00E426A7" w:rsidRPr="00C63860">
        <w:rPr>
          <w:rFonts w:asciiTheme="minorHAnsi" w:hAnsiTheme="minorHAnsi" w:cstheme="minorHAnsi"/>
        </w:rPr>
        <w:t>0</w:t>
      </w:r>
      <w:r w:rsidR="00D45324" w:rsidRPr="00C63860">
        <w:rPr>
          <w:rFonts w:asciiTheme="minorHAnsi" w:hAnsiTheme="minorHAnsi" w:cstheme="minorHAnsi"/>
        </w:rPr>
        <w:t>)</w:t>
      </w:r>
      <w:r w:rsidRPr="00C63860">
        <w:rPr>
          <w:rFonts w:asciiTheme="minorHAnsi" w:hAnsiTheme="minorHAnsi" w:cstheme="minorHAnsi"/>
        </w:rPr>
        <w:t xml:space="preserve"> codes available in the HES </w:t>
      </w:r>
      <w:r w:rsidRPr="00C63860">
        <w:rPr>
          <w:rFonts w:asciiTheme="minorHAnsi" w:hAnsiTheme="minorHAnsi" w:cstheme="minorHAnsi"/>
          <w:highlight w:val="magenta"/>
        </w:rPr>
        <w:t>data</w:t>
      </w:r>
      <w:r w:rsidRPr="00C63860">
        <w:rPr>
          <w:rFonts w:asciiTheme="minorHAnsi" w:hAnsiTheme="minorHAnsi" w:cstheme="minorHAnsi"/>
        </w:rPr>
        <w:t>, was it possible to define a homogenous population or subpopulation for which there was equipoise between ES and NES strategies?</w:t>
      </w:r>
    </w:p>
    <w:p w14:paraId="29190D19" w14:textId="09E7BEEA" w:rsidR="00A94063" w:rsidRPr="00C63860" w:rsidRDefault="00A94063" w:rsidP="00F74390">
      <w:pPr>
        <w:pStyle w:val="ListParagraph"/>
        <w:numPr>
          <w:ilvl w:val="0"/>
          <w:numId w:val="7"/>
        </w:numPr>
        <w:spacing w:before="240" w:after="160" w:line="276" w:lineRule="auto"/>
        <w:rPr>
          <w:rFonts w:asciiTheme="minorHAnsi" w:hAnsiTheme="minorHAnsi" w:cstheme="minorHAnsi"/>
        </w:rPr>
      </w:pPr>
      <w:r w:rsidRPr="00C63860">
        <w:rPr>
          <w:rFonts w:asciiTheme="minorHAnsi" w:hAnsiTheme="minorHAnsi" w:cstheme="minorHAnsi"/>
        </w:rPr>
        <w:t xml:space="preserve">Was it possible to use </w:t>
      </w:r>
      <w:r w:rsidR="00CB695A" w:rsidRPr="00C63860">
        <w:rPr>
          <w:rFonts w:asciiTheme="minorHAnsi" w:hAnsiTheme="minorHAnsi" w:cstheme="minorHAnsi"/>
        </w:rPr>
        <w:t>Office of Population Censuses and Surveys (</w:t>
      </w:r>
      <w:r w:rsidRPr="00C63860">
        <w:rPr>
          <w:rFonts w:asciiTheme="minorHAnsi" w:hAnsiTheme="minorHAnsi" w:cstheme="minorHAnsi"/>
        </w:rPr>
        <w:t>OPCS</w:t>
      </w:r>
      <w:r w:rsidR="00CB695A" w:rsidRPr="00C63860">
        <w:rPr>
          <w:rFonts w:asciiTheme="minorHAnsi" w:hAnsiTheme="minorHAnsi" w:cstheme="minorHAnsi"/>
        </w:rPr>
        <w:t>)</w:t>
      </w:r>
      <w:r w:rsidRPr="00C63860">
        <w:rPr>
          <w:rFonts w:asciiTheme="minorHAnsi" w:hAnsiTheme="minorHAnsi" w:cstheme="minorHAnsi"/>
        </w:rPr>
        <w:t xml:space="preserve"> procedure codes, and information on the timing of procedures to provide a clear definition of ES and NES strategies?</w:t>
      </w:r>
    </w:p>
    <w:p w14:paraId="69201746" w14:textId="77777777" w:rsidR="00C63860" w:rsidRPr="00C63860" w:rsidRDefault="00A94063" w:rsidP="00F74390">
      <w:pPr>
        <w:pStyle w:val="ListParagraph"/>
        <w:numPr>
          <w:ilvl w:val="0"/>
          <w:numId w:val="7"/>
        </w:numPr>
        <w:spacing w:before="240" w:after="160" w:line="276" w:lineRule="auto"/>
        <w:rPr>
          <w:rFonts w:asciiTheme="minorHAnsi" w:hAnsiTheme="minorHAnsi" w:cstheme="minorHAnsi"/>
        </w:rPr>
      </w:pPr>
      <w:r w:rsidRPr="00C63860">
        <w:rPr>
          <w:rFonts w:asciiTheme="minorHAnsi" w:hAnsiTheme="minorHAnsi" w:cstheme="minorHAnsi"/>
        </w:rPr>
        <w:t>Was it anticipated that the study could provide evidence on the relative effectiveness and cost-effectiveness that would be useful for clinical and health service decision-making?</w:t>
      </w:r>
    </w:p>
    <w:p w14:paraId="5D50994D" w14:textId="2292608A" w:rsidR="00A94063" w:rsidRPr="00C63860" w:rsidRDefault="00A94063" w:rsidP="00F74390">
      <w:pPr>
        <w:spacing w:before="240" w:after="100" w:afterAutospacing="1" w:line="276" w:lineRule="auto"/>
        <w:rPr>
          <w:rFonts w:asciiTheme="minorHAnsi" w:hAnsiTheme="minorHAnsi" w:cstheme="minorHAnsi"/>
        </w:rPr>
      </w:pPr>
      <w:r w:rsidRPr="00C63860">
        <w:rPr>
          <w:rFonts w:asciiTheme="minorHAnsi" w:hAnsiTheme="minorHAnsi" w:cstheme="minorHAnsi"/>
        </w:rPr>
        <w:t xml:space="preserve">Following careful consideration of each condition against these criteria, we decided that it would be inappropriate to include two of the conditions, acute intestinal ischaemia, and acute complicated peptic ulcer disease for the following reasons. First, our initial investigation using HES </w:t>
      </w:r>
      <w:r w:rsidRPr="00C63860">
        <w:rPr>
          <w:rFonts w:asciiTheme="minorHAnsi" w:hAnsiTheme="minorHAnsi" w:cstheme="minorHAnsi"/>
          <w:highlight w:val="magenta"/>
        </w:rPr>
        <w:t>data</w:t>
      </w:r>
      <w:r w:rsidRPr="00C63860">
        <w:rPr>
          <w:rFonts w:asciiTheme="minorHAnsi" w:hAnsiTheme="minorHAnsi" w:cstheme="minorHAnsi"/>
        </w:rPr>
        <w:t xml:space="preserve"> suggested that given the different aetiologies that patients present with for </w:t>
      </w:r>
      <w:r w:rsidR="00AE4FD0" w:rsidRPr="00C63860">
        <w:rPr>
          <w:rFonts w:asciiTheme="minorHAnsi" w:hAnsiTheme="minorHAnsi" w:cstheme="minorHAnsi"/>
        </w:rPr>
        <w:t xml:space="preserve">both </w:t>
      </w:r>
      <w:r w:rsidRPr="00C63860">
        <w:rPr>
          <w:rFonts w:asciiTheme="minorHAnsi" w:hAnsiTheme="minorHAnsi" w:cstheme="minorHAnsi"/>
        </w:rPr>
        <w:t>these two conditions, there would be considerable heterogeneity in the patient population, and it would not be possible to define homogeneous subpopulation</w:t>
      </w:r>
      <w:r w:rsidR="00AE4FD0" w:rsidRPr="00C63860">
        <w:rPr>
          <w:rFonts w:asciiTheme="minorHAnsi" w:hAnsiTheme="minorHAnsi" w:cstheme="minorHAnsi"/>
        </w:rPr>
        <w:t>s</w:t>
      </w:r>
      <w:r w:rsidR="000C56D0" w:rsidRPr="00C63860">
        <w:rPr>
          <w:rFonts w:asciiTheme="minorHAnsi" w:hAnsiTheme="minorHAnsi" w:cstheme="minorHAnsi"/>
        </w:rPr>
        <w:t>, for which</w:t>
      </w:r>
      <w:r w:rsidRPr="00C63860">
        <w:rPr>
          <w:rFonts w:asciiTheme="minorHAnsi" w:hAnsiTheme="minorHAnsi" w:cstheme="minorHAnsi"/>
        </w:rPr>
        <w:t xml:space="preserve"> there was equipoise between the comparator strategies from the </w:t>
      </w:r>
      <w:r w:rsidR="00E426A7" w:rsidRPr="00C63860">
        <w:rPr>
          <w:rFonts w:asciiTheme="minorHAnsi" w:hAnsiTheme="minorHAnsi" w:cstheme="minorHAnsi"/>
        </w:rPr>
        <w:t>IC</w:t>
      </w:r>
      <w:r w:rsidR="00C63860" w:rsidRPr="00C63860">
        <w:rPr>
          <w:rFonts w:asciiTheme="minorHAnsi" w:hAnsiTheme="minorHAnsi" w:cstheme="minorHAnsi"/>
          <w:color w:val="00B0F0"/>
        </w:rPr>
        <w:t>D-1</w:t>
      </w:r>
      <w:r w:rsidR="00E426A7" w:rsidRPr="00C63860">
        <w:rPr>
          <w:rFonts w:asciiTheme="minorHAnsi" w:hAnsiTheme="minorHAnsi" w:cstheme="minorHAnsi"/>
        </w:rPr>
        <w:t>0</w:t>
      </w:r>
      <w:r w:rsidRPr="00C63860">
        <w:rPr>
          <w:rFonts w:asciiTheme="minorHAnsi" w:hAnsiTheme="minorHAnsi" w:cstheme="minorHAnsi"/>
        </w:rPr>
        <w:t xml:space="preserve"> codes available in the HES </w:t>
      </w:r>
      <w:r w:rsidRPr="00C63860">
        <w:rPr>
          <w:rFonts w:asciiTheme="minorHAnsi" w:hAnsiTheme="minorHAnsi" w:cstheme="minorHAnsi"/>
          <w:highlight w:val="magenta"/>
        </w:rPr>
        <w:t>data</w:t>
      </w:r>
      <w:r w:rsidRPr="00C63860">
        <w:rPr>
          <w:rFonts w:asciiTheme="minorHAnsi" w:hAnsiTheme="minorHAnsi" w:cstheme="minorHAnsi"/>
        </w:rPr>
        <w:t>. Second</w:t>
      </w:r>
      <w:r w:rsidR="00AE4FD0" w:rsidRPr="00C63860">
        <w:rPr>
          <w:rFonts w:asciiTheme="minorHAnsi" w:hAnsiTheme="minorHAnsi" w:cstheme="minorHAnsi"/>
        </w:rPr>
        <w:t>,</w:t>
      </w:r>
      <w:r w:rsidRPr="00C63860">
        <w:rPr>
          <w:rFonts w:asciiTheme="minorHAnsi" w:hAnsiTheme="minorHAnsi" w:cstheme="minorHAnsi"/>
        </w:rPr>
        <w:t xml:space="preserve"> the view of the clinical co-applicants and advisors was that the patient heterogeneity would make providing a clear definition of the </w:t>
      </w:r>
      <w:r w:rsidR="00BB0921" w:rsidRPr="00C63860">
        <w:rPr>
          <w:rFonts w:asciiTheme="minorHAnsi" w:hAnsiTheme="minorHAnsi" w:cstheme="minorHAnsi"/>
        </w:rPr>
        <w:t>ES</w:t>
      </w:r>
      <w:r w:rsidRPr="00C63860">
        <w:rPr>
          <w:rFonts w:asciiTheme="minorHAnsi" w:hAnsiTheme="minorHAnsi" w:cstheme="minorHAnsi"/>
        </w:rPr>
        <w:t xml:space="preserve"> intervention and comparator very challenging for these two conditions. Third, it was judged unlikely that the study would therefore be able to provide estimates of relative effectiveness and cost-effectiveness that could inform </w:t>
      </w:r>
      <w:r w:rsidRPr="00C63860">
        <w:rPr>
          <w:rFonts w:asciiTheme="minorHAnsi" w:hAnsiTheme="minorHAnsi" w:cstheme="minorHAnsi"/>
          <w:highlight w:val="magenta"/>
        </w:rPr>
        <w:t>practice</w:t>
      </w:r>
      <w:r w:rsidRPr="00C63860">
        <w:rPr>
          <w:rFonts w:asciiTheme="minorHAnsi" w:hAnsiTheme="minorHAnsi" w:cstheme="minorHAnsi"/>
        </w:rPr>
        <w:t>.</w:t>
      </w:r>
    </w:p>
    <w:p w14:paraId="50B0EFD2" w14:textId="77777777" w:rsidR="00C63860" w:rsidRPr="00C63860" w:rsidRDefault="00A94063" w:rsidP="00F74390">
      <w:pPr>
        <w:spacing w:before="240" w:after="100" w:afterAutospacing="1" w:line="276" w:lineRule="auto"/>
        <w:rPr>
          <w:rFonts w:asciiTheme="minorHAnsi" w:hAnsiTheme="minorHAnsi" w:cstheme="minorHAnsi"/>
        </w:rPr>
      </w:pPr>
      <w:r w:rsidRPr="00C63860">
        <w:rPr>
          <w:rFonts w:asciiTheme="minorHAnsi" w:hAnsiTheme="minorHAnsi" w:cstheme="minorHAnsi"/>
        </w:rPr>
        <w:t>For the other five conditions, we judged that the requisite criteria were met. It was recognised that the priority was to refine the definition of the inclusion criteria and of ES for these five conditions, and this would warrant careful consideration by a wider clinical panel (see later sections).</w:t>
      </w:r>
    </w:p>
    <w:p w14:paraId="0052BA15" w14:textId="0F29C681" w:rsidR="00A94063" w:rsidRPr="00C63860" w:rsidRDefault="00255F95" w:rsidP="00F74390">
      <w:pPr>
        <w:spacing w:before="240" w:after="100" w:afterAutospacing="1" w:line="276" w:lineRule="auto"/>
        <w:rPr>
          <w:rFonts w:asciiTheme="minorHAnsi" w:hAnsiTheme="minorHAnsi" w:cstheme="minorHAnsi"/>
          <w:b/>
        </w:rPr>
      </w:pPr>
      <w:r w:rsidRPr="00C63860">
        <w:rPr>
          <w:rFonts w:asciiTheme="minorHAnsi" w:hAnsiTheme="minorHAnsi" w:cstheme="minorHAnsi"/>
          <w:b/>
        </w:rPr>
        <w:t xml:space="preserve">1.3.2 </w:t>
      </w:r>
      <w:r w:rsidR="00A94063" w:rsidRPr="00C63860">
        <w:rPr>
          <w:rFonts w:asciiTheme="minorHAnsi" w:hAnsiTheme="minorHAnsi" w:cstheme="minorHAnsi"/>
          <w:b/>
        </w:rPr>
        <w:t xml:space="preserve">Additional Years of </w:t>
      </w:r>
      <w:r w:rsidR="00A94063" w:rsidRPr="00C63860">
        <w:rPr>
          <w:rFonts w:asciiTheme="minorHAnsi" w:hAnsiTheme="minorHAnsi" w:cstheme="minorHAnsi"/>
          <w:b/>
          <w:highlight w:val="magenta"/>
        </w:rPr>
        <w:t>Data</w:t>
      </w:r>
    </w:p>
    <w:p w14:paraId="7350DA5F" w14:textId="043E97D8" w:rsidR="00A94063" w:rsidRPr="00C63860" w:rsidRDefault="00A94063" w:rsidP="00F74390">
      <w:pPr>
        <w:spacing w:before="240" w:after="100" w:afterAutospacing="1" w:line="276" w:lineRule="auto"/>
        <w:rPr>
          <w:rFonts w:asciiTheme="minorHAnsi" w:hAnsiTheme="minorHAnsi" w:cstheme="minorHAnsi"/>
        </w:rPr>
      </w:pPr>
      <w:r w:rsidRPr="00C63860">
        <w:rPr>
          <w:rFonts w:asciiTheme="minorHAnsi" w:hAnsiTheme="minorHAnsi" w:cstheme="minorHAnsi"/>
        </w:rPr>
        <w:t>The original proposal was to study the period up to 31 March 2018</w:t>
      </w:r>
      <w:r w:rsidR="00C63860" w:rsidRPr="00C63860">
        <w:rPr>
          <w:rFonts w:asciiTheme="minorHAnsi" w:hAnsiTheme="minorHAnsi" w:cstheme="minorHAnsi"/>
          <w:color w:val="00B0F0"/>
        </w:rPr>
        <w:t>. Owing to</w:t>
      </w:r>
      <w:r w:rsidRPr="00C63860">
        <w:rPr>
          <w:rFonts w:asciiTheme="minorHAnsi" w:hAnsiTheme="minorHAnsi" w:cstheme="minorHAnsi"/>
        </w:rPr>
        <w:t xml:space="preserve"> delays in accessing the </w:t>
      </w:r>
      <w:r w:rsidRPr="00C63860">
        <w:rPr>
          <w:rFonts w:asciiTheme="minorHAnsi" w:hAnsiTheme="minorHAnsi" w:cstheme="minorHAnsi"/>
          <w:highlight w:val="magenta"/>
        </w:rPr>
        <w:t>data</w:t>
      </w:r>
      <w:r w:rsidRPr="00C63860">
        <w:rPr>
          <w:rFonts w:asciiTheme="minorHAnsi" w:hAnsiTheme="minorHAnsi" w:cstheme="minorHAnsi"/>
        </w:rPr>
        <w:t>, and the onset of the COVI</w:t>
      </w:r>
      <w:r w:rsidR="00C63860" w:rsidRPr="00C63860">
        <w:rPr>
          <w:rFonts w:asciiTheme="minorHAnsi" w:hAnsiTheme="minorHAnsi" w:cstheme="minorHAnsi"/>
          <w:color w:val="00B0F0"/>
        </w:rPr>
        <w:t>D-1</w:t>
      </w:r>
      <w:r w:rsidRPr="00C63860">
        <w:rPr>
          <w:rFonts w:asciiTheme="minorHAnsi" w:hAnsiTheme="minorHAnsi" w:cstheme="minorHAnsi"/>
        </w:rPr>
        <w:t xml:space="preserve">9 pandemic in early 2020, the team decided to amend the study protocol and apply for </w:t>
      </w:r>
      <w:r w:rsidRPr="00C63860">
        <w:rPr>
          <w:rFonts w:asciiTheme="minorHAnsi" w:hAnsiTheme="minorHAnsi" w:cstheme="minorHAnsi"/>
          <w:highlight w:val="magenta"/>
        </w:rPr>
        <w:t>data</w:t>
      </w:r>
      <w:r w:rsidRPr="00C63860">
        <w:rPr>
          <w:rFonts w:asciiTheme="minorHAnsi" w:hAnsiTheme="minorHAnsi" w:cstheme="minorHAnsi"/>
        </w:rPr>
        <w:t xml:space="preserve"> up to 30 June 2020.</w:t>
      </w:r>
      <w:r w:rsidR="00C63860" w:rsidRPr="00C63860">
        <w:rPr>
          <w:rFonts w:asciiTheme="minorHAnsi" w:hAnsiTheme="minorHAnsi" w:cstheme="minorHAnsi"/>
        </w:rPr>
        <w:t xml:space="preserve"> </w:t>
      </w:r>
      <w:r w:rsidR="000C56D0" w:rsidRPr="00C63860">
        <w:rPr>
          <w:rFonts w:asciiTheme="minorHAnsi" w:hAnsiTheme="minorHAnsi" w:cstheme="minorHAnsi"/>
        </w:rPr>
        <w:t>By extending the time period, this increased the available sample size and enabled the study to provide more precise estimates of the effectiveness and cost-effectiveness of ES.</w:t>
      </w:r>
      <w:r w:rsidR="002F5594" w:rsidRPr="00C63860">
        <w:rPr>
          <w:rFonts w:asciiTheme="minorHAnsi" w:hAnsiTheme="minorHAnsi" w:cstheme="minorHAnsi"/>
        </w:rPr>
        <w:t xml:space="preserve"> This enabled cohorts of patients to</w:t>
      </w:r>
      <w:r w:rsidR="00114784" w:rsidRPr="00C63860">
        <w:rPr>
          <w:rFonts w:asciiTheme="minorHAnsi" w:hAnsiTheme="minorHAnsi" w:cstheme="minorHAnsi"/>
        </w:rPr>
        <w:t xml:space="preserve"> be included who had an emergency admission up</w:t>
      </w:r>
      <w:r w:rsidR="00154476" w:rsidRPr="00C63860">
        <w:rPr>
          <w:rFonts w:asciiTheme="minorHAnsi" w:hAnsiTheme="minorHAnsi" w:cstheme="minorHAnsi"/>
        </w:rPr>
        <w:t xml:space="preserve"> </w:t>
      </w:r>
      <w:r w:rsidR="00114784" w:rsidRPr="00C63860">
        <w:rPr>
          <w:rFonts w:asciiTheme="minorHAnsi" w:hAnsiTheme="minorHAnsi" w:cstheme="minorHAnsi"/>
        </w:rPr>
        <w:t>to 31/12/2019.</w:t>
      </w:r>
    </w:p>
    <w:p w14:paraId="7FD6589B" w14:textId="2A1FDBFD" w:rsidR="00A94063" w:rsidRPr="00C63860" w:rsidRDefault="00255F95" w:rsidP="00F74390">
      <w:pPr>
        <w:spacing w:before="240" w:after="100" w:afterAutospacing="1" w:line="276" w:lineRule="auto"/>
        <w:rPr>
          <w:rFonts w:asciiTheme="minorHAnsi" w:hAnsiTheme="minorHAnsi" w:cstheme="minorHAnsi"/>
          <w:b/>
        </w:rPr>
      </w:pPr>
      <w:r w:rsidRPr="00C63860">
        <w:rPr>
          <w:rFonts w:asciiTheme="minorHAnsi" w:hAnsiTheme="minorHAnsi" w:cstheme="minorHAnsi"/>
          <w:b/>
        </w:rPr>
        <w:t xml:space="preserve">1.3.3 </w:t>
      </w:r>
      <w:r w:rsidR="00A94063" w:rsidRPr="00C63860">
        <w:rPr>
          <w:rFonts w:asciiTheme="minorHAnsi" w:hAnsiTheme="minorHAnsi" w:cstheme="minorHAnsi"/>
          <w:b/>
        </w:rPr>
        <w:t>All panels virtual</w:t>
      </w:r>
    </w:p>
    <w:p w14:paraId="63C3D13A" w14:textId="246B65A2" w:rsidR="00A94063" w:rsidRPr="00C63860" w:rsidRDefault="00A94063" w:rsidP="00F74390">
      <w:pPr>
        <w:spacing w:before="240" w:after="100" w:afterAutospacing="1" w:line="276" w:lineRule="auto"/>
        <w:rPr>
          <w:rFonts w:asciiTheme="minorHAnsi" w:hAnsiTheme="minorHAnsi" w:cstheme="minorHAnsi"/>
        </w:rPr>
      </w:pPr>
      <w:r w:rsidRPr="00C63860">
        <w:rPr>
          <w:rFonts w:asciiTheme="minorHAnsi" w:hAnsiTheme="minorHAnsi" w:cstheme="minorHAnsi"/>
        </w:rPr>
        <w:t>A further change to the study was in response to the impact of the COVI</w:t>
      </w:r>
      <w:r w:rsidR="00C63860" w:rsidRPr="00C63860">
        <w:rPr>
          <w:rFonts w:asciiTheme="minorHAnsi" w:hAnsiTheme="minorHAnsi" w:cstheme="minorHAnsi"/>
          <w:color w:val="00B0F0"/>
        </w:rPr>
        <w:t>D-1</w:t>
      </w:r>
      <w:r w:rsidRPr="00C63860">
        <w:rPr>
          <w:rFonts w:asciiTheme="minorHAnsi" w:hAnsiTheme="minorHAnsi" w:cstheme="minorHAnsi"/>
        </w:rPr>
        <w:t>9 pandemic.</w:t>
      </w:r>
      <w:r w:rsidR="00C63860" w:rsidRPr="00C63860">
        <w:rPr>
          <w:rFonts w:asciiTheme="minorHAnsi" w:hAnsiTheme="minorHAnsi" w:cstheme="minorHAnsi"/>
        </w:rPr>
        <w:t xml:space="preserve"> </w:t>
      </w:r>
      <w:r w:rsidRPr="00C63860">
        <w:rPr>
          <w:rFonts w:asciiTheme="minorHAnsi" w:hAnsiTheme="minorHAnsi" w:cstheme="minorHAnsi"/>
        </w:rPr>
        <w:t xml:space="preserve">In order to continue to solicit the input of two key groups (clinicians, and </w:t>
      </w:r>
      <w:r w:rsidR="00977885" w:rsidRPr="00C63860">
        <w:rPr>
          <w:rFonts w:asciiTheme="minorHAnsi" w:hAnsiTheme="minorHAnsi" w:cstheme="minorHAnsi"/>
        </w:rPr>
        <w:t>Patient and Public Involvement (</w:t>
      </w:r>
      <w:r w:rsidRPr="00C63860">
        <w:rPr>
          <w:rFonts w:asciiTheme="minorHAnsi" w:hAnsiTheme="minorHAnsi" w:cstheme="minorHAnsi"/>
        </w:rPr>
        <w:t>PPI</w:t>
      </w:r>
      <w:r w:rsidR="00977885" w:rsidRPr="00C63860">
        <w:rPr>
          <w:rFonts w:asciiTheme="minorHAnsi" w:hAnsiTheme="minorHAnsi" w:cstheme="minorHAnsi"/>
        </w:rPr>
        <w:t>)</w:t>
      </w:r>
      <w:r w:rsidRPr="00C63860">
        <w:rPr>
          <w:rFonts w:asciiTheme="minorHAnsi" w:hAnsiTheme="minorHAnsi" w:cstheme="minorHAnsi"/>
        </w:rPr>
        <w:t>), it was necessary to host the panels and workshops online.</w:t>
      </w:r>
      <w:r w:rsidR="000C56D0" w:rsidRPr="00C63860">
        <w:rPr>
          <w:rFonts w:asciiTheme="minorHAnsi" w:hAnsiTheme="minorHAnsi" w:cstheme="minorHAnsi"/>
        </w:rPr>
        <w:t xml:space="preserve"> </w:t>
      </w:r>
      <w:r w:rsidRPr="00C63860">
        <w:rPr>
          <w:rFonts w:asciiTheme="minorHAnsi" w:hAnsiTheme="minorHAnsi" w:cstheme="minorHAnsi"/>
        </w:rPr>
        <w:t xml:space="preserve">This means that the first clinical panel was conducted entirely remotely, with an initial meeting over zoom followed up by submissions sent and received via </w:t>
      </w:r>
      <w:r w:rsidR="00C63860" w:rsidRPr="00C63860">
        <w:rPr>
          <w:rFonts w:asciiTheme="minorHAnsi" w:hAnsiTheme="minorHAnsi" w:cstheme="minorHAnsi"/>
          <w:color w:val="00B0F0"/>
        </w:rPr>
        <w:t>e-mail</w:t>
      </w:r>
      <w:r w:rsidRPr="00C63860">
        <w:rPr>
          <w:rFonts w:asciiTheme="minorHAnsi" w:hAnsiTheme="minorHAnsi" w:cstheme="minorHAnsi"/>
        </w:rPr>
        <w:t>.</w:t>
      </w:r>
    </w:p>
    <w:p w14:paraId="5A9F35B2" w14:textId="77777777" w:rsidR="00C63860" w:rsidRPr="00C63860" w:rsidRDefault="00A94063" w:rsidP="00F74390">
      <w:pPr>
        <w:spacing w:before="240" w:after="100" w:afterAutospacing="1" w:line="276" w:lineRule="auto"/>
        <w:rPr>
          <w:rFonts w:asciiTheme="minorHAnsi" w:hAnsiTheme="minorHAnsi" w:cstheme="minorHAnsi"/>
        </w:rPr>
      </w:pPr>
      <w:r w:rsidRPr="00C63860">
        <w:rPr>
          <w:rFonts w:asciiTheme="minorHAnsi" w:hAnsiTheme="minorHAnsi" w:cstheme="minorHAnsi"/>
        </w:rPr>
        <w:t>The two PPI workshops at design stage were also done over zoom, with a detailed pre-brief provided in advance via the Sway platform.</w:t>
      </w:r>
    </w:p>
    <w:p w14:paraId="11A13BA0" w14:textId="77777777" w:rsidR="00C63860" w:rsidRPr="00C63860" w:rsidRDefault="00A94063" w:rsidP="00F74390">
      <w:pPr>
        <w:spacing w:before="240" w:after="100" w:afterAutospacing="1" w:line="276" w:lineRule="auto"/>
        <w:rPr>
          <w:rFonts w:asciiTheme="minorHAnsi" w:hAnsiTheme="minorHAnsi" w:cstheme="minorHAnsi"/>
        </w:rPr>
      </w:pPr>
      <w:r w:rsidRPr="00C63860">
        <w:rPr>
          <w:rFonts w:asciiTheme="minorHAnsi" w:hAnsiTheme="minorHAnsi" w:cstheme="minorHAnsi"/>
        </w:rPr>
        <w:t>Although this change was a necessity because of the situation with the pandemic, we found that the virtual offering may have improved participation, particularly with the PPI workshops</w:t>
      </w:r>
      <w:r w:rsidR="00FE5083" w:rsidRPr="00C63860">
        <w:rPr>
          <w:rFonts w:asciiTheme="minorHAnsi" w:hAnsiTheme="minorHAnsi" w:cstheme="minorHAnsi"/>
        </w:rPr>
        <w:t>,</w:t>
      </w:r>
      <w:r w:rsidRPr="00C63860">
        <w:rPr>
          <w:rFonts w:asciiTheme="minorHAnsi" w:hAnsiTheme="minorHAnsi" w:cstheme="minorHAnsi"/>
        </w:rPr>
        <w:t xml:space="preserve"> given</w:t>
      </w:r>
      <w:r w:rsidR="00FE5083" w:rsidRPr="00C63860">
        <w:rPr>
          <w:rFonts w:asciiTheme="minorHAnsi" w:hAnsiTheme="minorHAnsi" w:cstheme="minorHAnsi"/>
        </w:rPr>
        <w:t xml:space="preserve"> that</w:t>
      </w:r>
      <w:r w:rsidRPr="00C63860">
        <w:rPr>
          <w:rFonts w:asciiTheme="minorHAnsi" w:hAnsiTheme="minorHAnsi" w:cstheme="minorHAnsi"/>
        </w:rPr>
        <w:t xml:space="preserve"> it did not preclude individuals taking part who </w:t>
      </w:r>
      <w:r w:rsidR="000C56D0" w:rsidRPr="00C63860">
        <w:rPr>
          <w:rFonts w:asciiTheme="minorHAnsi" w:hAnsiTheme="minorHAnsi" w:cstheme="minorHAnsi"/>
        </w:rPr>
        <w:t>would have faced challenges attending in person, due for example to</w:t>
      </w:r>
      <w:r w:rsidRPr="00C63860">
        <w:rPr>
          <w:rFonts w:asciiTheme="minorHAnsi" w:hAnsiTheme="minorHAnsi" w:cstheme="minorHAnsi"/>
        </w:rPr>
        <w:t xml:space="preserve"> mobility issues or caring </w:t>
      </w:r>
      <w:r w:rsidR="000C56D0" w:rsidRPr="00C63860">
        <w:rPr>
          <w:rFonts w:asciiTheme="minorHAnsi" w:hAnsiTheme="minorHAnsi" w:cstheme="minorHAnsi"/>
        </w:rPr>
        <w:t>responsibilities</w:t>
      </w:r>
      <w:r w:rsidRPr="00C63860">
        <w:rPr>
          <w:rFonts w:asciiTheme="minorHAnsi" w:hAnsiTheme="minorHAnsi" w:cstheme="minorHAnsi"/>
        </w:rPr>
        <w:t>.</w:t>
      </w:r>
    </w:p>
    <w:p w14:paraId="5067794E" w14:textId="77777777" w:rsidR="00C63860" w:rsidRPr="00C63860" w:rsidRDefault="00A94063" w:rsidP="00F74390">
      <w:pPr>
        <w:spacing w:before="240" w:line="276" w:lineRule="auto"/>
        <w:rPr>
          <w:rFonts w:asciiTheme="minorHAnsi" w:hAnsiTheme="minorHAnsi" w:cstheme="minorHAnsi"/>
          <w:b/>
          <w:bCs/>
          <w:sz w:val="28"/>
          <w:szCs w:val="28"/>
        </w:rPr>
      </w:pPr>
      <w:r w:rsidRPr="00C63860">
        <w:rPr>
          <w:rFonts w:asciiTheme="minorHAnsi" w:hAnsiTheme="minorHAnsi" w:cstheme="minorHAnsi"/>
          <w:b/>
          <w:bCs/>
          <w:sz w:val="28"/>
          <w:szCs w:val="28"/>
        </w:rPr>
        <w:t>1.4 Public and Patient Involvement</w:t>
      </w:r>
    </w:p>
    <w:p w14:paraId="62E1C078" w14:textId="77777777" w:rsidR="00C63860" w:rsidRPr="00C63860" w:rsidRDefault="007B2324" w:rsidP="00F74390">
      <w:pPr>
        <w:spacing w:before="240" w:line="276" w:lineRule="auto"/>
        <w:rPr>
          <w:rFonts w:asciiTheme="minorHAnsi" w:hAnsiTheme="minorHAnsi" w:cstheme="minorHAnsi"/>
        </w:rPr>
      </w:pPr>
      <w:r w:rsidRPr="00C63860">
        <w:rPr>
          <w:rFonts w:asciiTheme="minorHAnsi" w:hAnsiTheme="minorHAnsi" w:cstheme="minorHAnsi"/>
        </w:rPr>
        <w:t>The PPI work in the ESORT study sought to develop a clearer understanding of what is important for patients, their families and the public in general when someone arrives at a hospital in an emergency.</w:t>
      </w:r>
      <w:r w:rsidR="00C63860" w:rsidRPr="00C63860">
        <w:rPr>
          <w:rFonts w:asciiTheme="minorHAnsi" w:hAnsiTheme="minorHAnsi" w:cstheme="minorHAnsi"/>
        </w:rPr>
        <w:t xml:space="preserve"> </w:t>
      </w:r>
      <w:r w:rsidRPr="00C63860">
        <w:rPr>
          <w:rFonts w:asciiTheme="minorHAnsi" w:hAnsiTheme="minorHAnsi" w:cstheme="minorHAnsi"/>
        </w:rPr>
        <w:t xml:space="preserve">Patient perspectives were embedded into ESORT from the very start, with close involvement from two patient advocates in the application to </w:t>
      </w:r>
      <w:r w:rsidR="00EA649F" w:rsidRPr="00C63860">
        <w:rPr>
          <w:rFonts w:asciiTheme="minorHAnsi" w:hAnsiTheme="minorHAnsi" w:cstheme="minorHAnsi"/>
        </w:rPr>
        <w:t>National Institute for Health Research (</w:t>
      </w:r>
      <w:r w:rsidRPr="00C63860">
        <w:rPr>
          <w:rFonts w:asciiTheme="minorHAnsi" w:hAnsiTheme="minorHAnsi" w:cstheme="minorHAnsi"/>
        </w:rPr>
        <w:t>NIHR</w:t>
      </w:r>
      <w:r w:rsidR="00EA649F" w:rsidRPr="00C63860">
        <w:rPr>
          <w:rFonts w:asciiTheme="minorHAnsi" w:hAnsiTheme="minorHAnsi" w:cstheme="minorHAnsi"/>
        </w:rPr>
        <w:t>)</w:t>
      </w:r>
      <w:r w:rsidRPr="00C63860">
        <w:rPr>
          <w:rFonts w:asciiTheme="minorHAnsi" w:hAnsiTheme="minorHAnsi" w:cstheme="minorHAnsi"/>
        </w:rPr>
        <w:t xml:space="preserve">; PPI panels held at the design and translation stages of the project; and review by the </w:t>
      </w:r>
      <w:r w:rsidR="00FE5083" w:rsidRPr="00C63860">
        <w:rPr>
          <w:rFonts w:asciiTheme="minorHAnsi" w:hAnsiTheme="minorHAnsi" w:cstheme="minorHAnsi"/>
        </w:rPr>
        <w:t>North Thames Applied Research Collaboration (</w:t>
      </w:r>
      <w:r w:rsidRPr="00C63860">
        <w:rPr>
          <w:rFonts w:asciiTheme="minorHAnsi" w:hAnsiTheme="minorHAnsi" w:cstheme="minorHAnsi"/>
        </w:rPr>
        <w:t>ARC</w:t>
      </w:r>
      <w:r w:rsidR="00FE5083" w:rsidRPr="00C63860">
        <w:rPr>
          <w:rFonts w:asciiTheme="minorHAnsi" w:hAnsiTheme="minorHAnsi" w:cstheme="minorHAnsi"/>
        </w:rPr>
        <w:t>) Research Advisory Panel (</w:t>
      </w:r>
      <w:r w:rsidRPr="00C63860">
        <w:rPr>
          <w:rFonts w:asciiTheme="minorHAnsi" w:hAnsiTheme="minorHAnsi" w:cstheme="minorHAnsi"/>
        </w:rPr>
        <w:t>RAP</w:t>
      </w:r>
      <w:r w:rsidR="00FE5083" w:rsidRPr="00C63860">
        <w:rPr>
          <w:rFonts w:asciiTheme="minorHAnsi" w:hAnsiTheme="minorHAnsi" w:cstheme="minorHAnsi"/>
        </w:rPr>
        <w:t>)</w:t>
      </w:r>
      <w:r w:rsidRPr="00C63860">
        <w:rPr>
          <w:rFonts w:asciiTheme="minorHAnsi" w:hAnsiTheme="minorHAnsi" w:cstheme="minorHAnsi"/>
        </w:rPr>
        <w:t xml:space="preserve"> at key stages.</w:t>
      </w:r>
    </w:p>
    <w:p w14:paraId="17DA4A65" w14:textId="77777777" w:rsidR="00C63860" w:rsidRPr="00C63860" w:rsidRDefault="007B2324" w:rsidP="00F74390">
      <w:pPr>
        <w:spacing w:before="240" w:line="276" w:lineRule="auto"/>
        <w:rPr>
          <w:rFonts w:asciiTheme="minorHAnsi" w:hAnsiTheme="minorHAnsi" w:cstheme="minorHAnsi"/>
        </w:rPr>
      </w:pPr>
      <w:r w:rsidRPr="00C63860">
        <w:rPr>
          <w:rFonts w:asciiTheme="minorHAnsi" w:hAnsiTheme="minorHAnsi" w:cstheme="minorHAnsi"/>
        </w:rPr>
        <w:t xml:space="preserve">We followed the GRIPP2 methodology in reporting out PPI processes and the table is available </w:t>
      </w:r>
      <w:r w:rsidR="00C92932" w:rsidRPr="00C63860">
        <w:rPr>
          <w:rFonts w:asciiTheme="minorHAnsi" w:hAnsiTheme="minorHAnsi" w:cstheme="minorHAnsi"/>
        </w:rPr>
        <w:t>as Report Supplementary Material 5</w:t>
      </w:r>
      <w:r w:rsidRPr="00C63860">
        <w:rPr>
          <w:rFonts w:asciiTheme="minorHAnsi" w:hAnsiTheme="minorHAnsi" w:cstheme="minorHAnsi"/>
        </w:rPr>
        <w:t>, and on our study website.</w:t>
      </w:r>
    </w:p>
    <w:p w14:paraId="09410401" w14:textId="09A19B95" w:rsidR="005A7BA0" w:rsidRPr="00C63860" w:rsidRDefault="00255F95" w:rsidP="00F74390">
      <w:pPr>
        <w:spacing w:before="240" w:after="100" w:afterAutospacing="1" w:line="276" w:lineRule="auto"/>
        <w:rPr>
          <w:rFonts w:asciiTheme="minorHAnsi" w:hAnsiTheme="minorHAnsi" w:cstheme="minorHAnsi"/>
          <w:b/>
          <w:bCs/>
        </w:rPr>
      </w:pPr>
      <w:r w:rsidRPr="00C63860">
        <w:rPr>
          <w:rFonts w:asciiTheme="minorHAnsi" w:hAnsiTheme="minorHAnsi" w:cstheme="minorHAnsi"/>
          <w:b/>
          <w:bCs/>
        </w:rPr>
        <w:t xml:space="preserve">1.4.1 </w:t>
      </w:r>
      <w:r w:rsidR="005A7BA0" w:rsidRPr="00C63860">
        <w:rPr>
          <w:rFonts w:asciiTheme="minorHAnsi" w:hAnsiTheme="minorHAnsi" w:cstheme="minorHAnsi"/>
          <w:b/>
          <w:bCs/>
        </w:rPr>
        <w:t>PPI Strategy</w:t>
      </w:r>
    </w:p>
    <w:p w14:paraId="30028F65" w14:textId="77777777" w:rsidR="00C63860" w:rsidRPr="00C63860" w:rsidRDefault="00A94063" w:rsidP="00F74390">
      <w:pPr>
        <w:spacing w:before="240" w:after="100" w:afterAutospacing="1" w:line="276" w:lineRule="auto"/>
        <w:rPr>
          <w:rFonts w:asciiTheme="minorHAnsi" w:hAnsiTheme="minorHAnsi" w:cstheme="minorHAnsi"/>
        </w:rPr>
      </w:pPr>
      <w:r w:rsidRPr="00C63860">
        <w:rPr>
          <w:rFonts w:asciiTheme="minorHAnsi" w:hAnsiTheme="minorHAnsi" w:cstheme="minorHAnsi"/>
        </w:rPr>
        <w:t xml:space="preserve">The PPI strategy was developed with co-applicant Paul Charlton (PC), </w:t>
      </w:r>
      <w:r w:rsidRPr="00C63860">
        <w:rPr>
          <w:rFonts w:asciiTheme="minorHAnsi" w:hAnsiTheme="minorHAnsi" w:cstheme="minorHAnsi"/>
          <w:highlight w:val="magenta"/>
        </w:rPr>
        <w:t>an N</w:t>
      </w:r>
      <w:r w:rsidRPr="00C63860">
        <w:rPr>
          <w:rFonts w:asciiTheme="minorHAnsi" w:hAnsiTheme="minorHAnsi" w:cstheme="minorHAnsi"/>
        </w:rPr>
        <w:t xml:space="preserve">IHR Patient Research Ambassador (PRA) with a broad public contributor involvement in health research, and Stephen Harkins (SH) who had experienced ES for a common condition. Both these contributors took part in conference calls to critique the design before each stage of the funding application. They felt that as well as the study needing input from patients who had experienced ES, it was important to include those who had not. They </w:t>
      </w:r>
      <w:r w:rsidR="00AE4FD0" w:rsidRPr="00C63860">
        <w:rPr>
          <w:rFonts w:asciiTheme="minorHAnsi" w:hAnsiTheme="minorHAnsi" w:cstheme="minorHAnsi"/>
        </w:rPr>
        <w:t xml:space="preserve">also </w:t>
      </w:r>
      <w:r w:rsidRPr="00C63860">
        <w:rPr>
          <w:rFonts w:asciiTheme="minorHAnsi" w:hAnsiTheme="minorHAnsi" w:cstheme="minorHAnsi"/>
        </w:rPr>
        <w:t>felt that the current situation in the NHS, with some patients with the same condition having ES, whereas others did not, could result in adverse consequences for patients. Both contributors felt that generating better evidence about which patients should have ES was an important issue for patients and the public.</w:t>
      </w:r>
    </w:p>
    <w:p w14:paraId="5CBC628B" w14:textId="688BA156" w:rsidR="00A94063" w:rsidRPr="00C63860" w:rsidRDefault="00A94063" w:rsidP="00F74390">
      <w:pPr>
        <w:spacing w:before="240" w:after="100" w:afterAutospacing="1" w:line="276" w:lineRule="auto"/>
        <w:rPr>
          <w:rFonts w:asciiTheme="minorHAnsi" w:hAnsiTheme="minorHAnsi" w:cstheme="minorHAnsi"/>
        </w:rPr>
      </w:pPr>
      <w:r w:rsidRPr="00C63860">
        <w:rPr>
          <w:rFonts w:asciiTheme="minorHAnsi" w:hAnsiTheme="minorHAnsi" w:cstheme="minorHAnsi"/>
        </w:rPr>
        <w:t xml:space="preserve">SH shared his experience of </w:t>
      </w:r>
      <w:r w:rsidR="00C63860" w:rsidRPr="00C63860">
        <w:rPr>
          <w:rFonts w:asciiTheme="minorHAnsi" w:hAnsiTheme="minorHAnsi" w:cstheme="minorHAnsi"/>
          <w:color w:val="00B0F0"/>
        </w:rPr>
        <w:t>decision-mak</w:t>
      </w:r>
      <w:r w:rsidRPr="00C63860">
        <w:rPr>
          <w:rFonts w:asciiTheme="minorHAnsi" w:hAnsiTheme="minorHAnsi" w:cstheme="minorHAnsi"/>
        </w:rPr>
        <w:t xml:space="preserve">ing at the time of hospitalisation, and how the emergency context shaped events. Both PPI contributors helped agree a detailed plan for the PPI </w:t>
      </w:r>
      <w:r w:rsidR="00AE4FD0" w:rsidRPr="00C63860">
        <w:rPr>
          <w:rFonts w:asciiTheme="minorHAnsi" w:hAnsiTheme="minorHAnsi" w:cstheme="minorHAnsi"/>
        </w:rPr>
        <w:t xml:space="preserve">design </w:t>
      </w:r>
      <w:r w:rsidRPr="00C63860">
        <w:rPr>
          <w:rFonts w:asciiTheme="minorHAnsi" w:hAnsiTheme="minorHAnsi" w:cstheme="minorHAnsi"/>
        </w:rPr>
        <w:t xml:space="preserve">workshop, which was run separately to the </w:t>
      </w:r>
      <w:r w:rsidRPr="00C63860">
        <w:rPr>
          <w:rFonts w:asciiTheme="minorHAnsi" w:hAnsiTheme="minorHAnsi" w:cstheme="minorHAnsi"/>
          <w:iCs/>
        </w:rPr>
        <w:t xml:space="preserve">clinician panel which focused on clinical issues. </w:t>
      </w:r>
      <w:r w:rsidR="00AE4FD0" w:rsidRPr="00C63860">
        <w:rPr>
          <w:rFonts w:asciiTheme="minorHAnsi" w:hAnsiTheme="minorHAnsi" w:cstheme="minorHAnsi"/>
          <w:iCs/>
        </w:rPr>
        <w:t>Both t</w:t>
      </w:r>
      <w:r w:rsidRPr="00C63860">
        <w:rPr>
          <w:rFonts w:asciiTheme="minorHAnsi" w:hAnsiTheme="minorHAnsi" w:cstheme="minorHAnsi"/>
          <w:iCs/>
        </w:rPr>
        <w:t>hese workshops fed into the study design, but running them separately enabled the study to draw on the different skill</w:t>
      </w:r>
      <w:r w:rsidR="00C63860" w:rsidRPr="00C63860">
        <w:rPr>
          <w:rFonts w:asciiTheme="minorHAnsi" w:hAnsiTheme="minorHAnsi" w:cstheme="minorHAnsi"/>
          <w:iCs/>
        </w:rPr>
        <w:t xml:space="preserve"> </w:t>
      </w:r>
      <w:r w:rsidRPr="00C63860">
        <w:rPr>
          <w:rFonts w:asciiTheme="minorHAnsi" w:hAnsiTheme="minorHAnsi" w:cstheme="minorHAnsi"/>
          <w:iCs/>
        </w:rPr>
        <w:t xml:space="preserve">sets required to meet the </w:t>
      </w:r>
      <w:r w:rsidRPr="00C63860">
        <w:rPr>
          <w:rFonts w:asciiTheme="minorHAnsi" w:hAnsiTheme="minorHAnsi" w:cstheme="minorHAnsi"/>
          <w:iCs/>
          <w:highlight w:val="magenta"/>
        </w:rPr>
        <w:t>respective</w:t>
      </w:r>
      <w:r w:rsidRPr="00C63860">
        <w:rPr>
          <w:rFonts w:asciiTheme="minorHAnsi" w:hAnsiTheme="minorHAnsi" w:cstheme="minorHAnsi"/>
          <w:iCs/>
        </w:rPr>
        <w:t xml:space="preserve"> aims. </w:t>
      </w:r>
      <w:r w:rsidRPr="00C63860">
        <w:rPr>
          <w:rFonts w:asciiTheme="minorHAnsi" w:hAnsiTheme="minorHAnsi" w:cstheme="minorHAnsi"/>
        </w:rPr>
        <w:t xml:space="preserve">The PPI design workshops benefited from preparatory training material which helped panel members understand </w:t>
      </w:r>
      <w:r w:rsidRPr="00C63860">
        <w:rPr>
          <w:rFonts w:asciiTheme="minorHAnsi" w:hAnsiTheme="minorHAnsi" w:cstheme="minorHAnsi"/>
          <w:highlight w:val="magenta"/>
        </w:rPr>
        <w:t>data</w:t>
      </w:r>
      <w:r w:rsidRPr="00C63860">
        <w:rPr>
          <w:rFonts w:asciiTheme="minorHAnsi" w:hAnsiTheme="minorHAnsi" w:cstheme="minorHAnsi"/>
        </w:rPr>
        <w:t xml:space="preserve"> sources, the complexities of hospital-based decision-making, and the key terminologies used.</w:t>
      </w:r>
    </w:p>
    <w:p w14:paraId="039CA7FE" w14:textId="607BC353" w:rsidR="007B2324" w:rsidRPr="00C63860" w:rsidRDefault="00255F95" w:rsidP="00F74390">
      <w:pPr>
        <w:spacing w:before="240" w:after="100" w:afterAutospacing="1" w:line="276" w:lineRule="auto"/>
        <w:rPr>
          <w:rFonts w:asciiTheme="minorHAnsi" w:hAnsiTheme="minorHAnsi" w:cstheme="minorHAnsi"/>
          <w:b/>
          <w:bCs/>
        </w:rPr>
      </w:pPr>
      <w:r w:rsidRPr="00C63860">
        <w:rPr>
          <w:rFonts w:asciiTheme="minorHAnsi" w:hAnsiTheme="minorHAnsi" w:cstheme="minorHAnsi"/>
          <w:b/>
          <w:bCs/>
        </w:rPr>
        <w:t xml:space="preserve">1.4.2 </w:t>
      </w:r>
      <w:r w:rsidR="00BB7FD8" w:rsidRPr="00C63860">
        <w:rPr>
          <w:rFonts w:asciiTheme="minorHAnsi" w:hAnsiTheme="minorHAnsi" w:cstheme="minorHAnsi"/>
          <w:b/>
          <w:bCs/>
        </w:rPr>
        <w:t>PPI Panels</w:t>
      </w:r>
    </w:p>
    <w:p w14:paraId="5BBE6899" w14:textId="52A24C62" w:rsidR="00ED574F" w:rsidRPr="00C63860" w:rsidRDefault="00ED574F" w:rsidP="00F74390">
      <w:pPr>
        <w:spacing w:before="240" w:line="276" w:lineRule="auto"/>
        <w:rPr>
          <w:rFonts w:asciiTheme="minorHAnsi" w:hAnsiTheme="minorHAnsi" w:cstheme="minorHAnsi"/>
        </w:rPr>
      </w:pPr>
      <w:r w:rsidRPr="00C63860">
        <w:rPr>
          <w:rFonts w:asciiTheme="minorHAnsi" w:hAnsiTheme="minorHAnsi" w:cstheme="minorHAnsi"/>
        </w:rPr>
        <w:t>We held two (virtual) sets of panels, two at the design stage (July 2020) and two at the translation stage (September 2021).</w:t>
      </w:r>
      <w:r w:rsidR="00C63860" w:rsidRPr="00C63860">
        <w:rPr>
          <w:rFonts w:asciiTheme="minorHAnsi" w:hAnsiTheme="minorHAnsi" w:cstheme="minorHAnsi"/>
        </w:rPr>
        <w:t xml:space="preserve"> </w:t>
      </w:r>
      <w:r w:rsidRPr="00C63860">
        <w:rPr>
          <w:rFonts w:asciiTheme="minorHAnsi" w:hAnsiTheme="minorHAnsi" w:cstheme="minorHAnsi"/>
        </w:rPr>
        <w:t>We invited participants who:</w:t>
      </w:r>
    </w:p>
    <w:p w14:paraId="32BFACF2" w14:textId="3A41EA11" w:rsidR="00ED574F" w:rsidRPr="00C63860" w:rsidRDefault="00ED574F" w:rsidP="00F74390">
      <w:pPr>
        <w:numPr>
          <w:ilvl w:val="0"/>
          <w:numId w:val="10"/>
        </w:numPr>
        <w:spacing w:before="240" w:line="276" w:lineRule="auto"/>
        <w:rPr>
          <w:rFonts w:asciiTheme="minorHAnsi" w:hAnsiTheme="minorHAnsi" w:cstheme="minorHAnsi"/>
        </w:rPr>
      </w:pPr>
      <w:r w:rsidRPr="00C63860">
        <w:rPr>
          <w:rFonts w:asciiTheme="minorHAnsi" w:hAnsiTheme="minorHAnsi" w:cstheme="minorHAnsi"/>
        </w:rPr>
        <w:t xml:space="preserve">had experienced coming into hospital as an emergency </w:t>
      </w:r>
      <w:r w:rsidRPr="00C63860">
        <w:rPr>
          <w:rFonts w:asciiTheme="minorHAnsi" w:hAnsiTheme="minorHAnsi" w:cstheme="minorHAnsi"/>
          <w:highlight w:val="magenta"/>
        </w:rPr>
        <w:t>due to</w:t>
      </w:r>
      <w:r w:rsidRPr="00C63860">
        <w:rPr>
          <w:rFonts w:asciiTheme="minorHAnsi" w:hAnsiTheme="minorHAnsi" w:cstheme="minorHAnsi"/>
        </w:rPr>
        <w:t xml:space="preserve"> appendicitis, diverticulitis or</w:t>
      </w:r>
      <w:r w:rsidR="00C63860" w:rsidRPr="00C63860">
        <w:rPr>
          <w:rFonts w:asciiTheme="minorHAnsi" w:hAnsiTheme="minorHAnsi" w:cstheme="minorHAnsi"/>
        </w:rPr>
        <w:t xml:space="preserve"> </w:t>
      </w:r>
      <w:r w:rsidRPr="00C63860">
        <w:rPr>
          <w:rFonts w:asciiTheme="minorHAnsi" w:hAnsiTheme="minorHAnsi" w:cstheme="minorHAnsi"/>
        </w:rPr>
        <w:t>gallstones;</w:t>
      </w:r>
    </w:p>
    <w:p w14:paraId="7E5A80F3" w14:textId="77777777" w:rsidR="00ED574F" w:rsidRPr="00C63860" w:rsidRDefault="00ED574F" w:rsidP="00F74390">
      <w:pPr>
        <w:numPr>
          <w:ilvl w:val="0"/>
          <w:numId w:val="10"/>
        </w:numPr>
        <w:spacing w:before="240" w:line="276" w:lineRule="auto"/>
        <w:rPr>
          <w:rFonts w:asciiTheme="minorHAnsi" w:hAnsiTheme="minorHAnsi" w:cstheme="minorHAnsi"/>
        </w:rPr>
      </w:pPr>
      <w:r w:rsidRPr="00C63860">
        <w:rPr>
          <w:rFonts w:asciiTheme="minorHAnsi" w:hAnsiTheme="minorHAnsi" w:cstheme="minorHAnsi"/>
        </w:rPr>
        <w:t>were a family member/carer of someone who has had this experience; or</w:t>
      </w:r>
    </w:p>
    <w:p w14:paraId="7111DD97" w14:textId="77777777" w:rsidR="00ED574F" w:rsidRPr="00C63860" w:rsidRDefault="00ED574F" w:rsidP="00F74390">
      <w:pPr>
        <w:numPr>
          <w:ilvl w:val="0"/>
          <w:numId w:val="10"/>
        </w:numPr>
        <w:spacing w:before="240" w:line="276" w:lineRule="auto"/>
        <w:rPr>
          <w:rFonts w:asciiTheme="minorHAnsi" w:hAnsiTheme="minorHAnsi" w:cstheme="minorHAnsi"/>
        </w:rPr>
      </w:pPr>
      <w:r w:rsidRPr="00C63860">
        <w:rPr>
          <w:rFonts w:asciiTheme="minorHAnsi" w:hAnsiTheme="minorHAnsi" w:cstheme="minorHAnsi"/>
        </w:rPr>
        <w:t>had not had this experience but wanted to help the study.</w:t>
      </w:r>
    </w:p>
    <w:p w14:paraId="421D57D8" w14:textId="3C60AE72" w:rsidR="00A94063" w:rsidRPr="00C63860" w:rsidRDefault="00A94063" w:rsidP="00F74390">
      <w:pPr>
        <w:autoSpaceDE w:val="0"/>
        <w:autoSpaceDN w:val="0"/>
        <w:adjustRightInd w:val="0"/>
        <w:spacing w:before="240" w:after="100" w:afterAutospacing="1" w:line="276" w:lineRule="auto"/>
        <w:rPr>
          <w:rFonts w:asciiTheme="minorHAnsi" w:eastAsia="MetaProMedium-Regular" w:hAnsiTheme="minorHAnsi" w:cstheme="minorHAnsi"/>
        </w:rPr>
      </w:pPr>
      <w:r w:rsidRPr="00C63860">
        <w:rPr>
          <w:rFonts w:asciiTheme="minorHAnsi" w:eastAsia="MetaProMedium-Regular" w:hAnsiTheme="minorHAnsi" w:cstheme="minorHAnsi"/>
        </w:rPr>
        <w:t xml:space="preserve">The PPI </w:t>
      </w:r>
      <w:r w:rsidR="00ED402E" w:rsidRPr="00C63860">
        <w:rPr>
          <w:rFonts w:asciiTheme="minorHAnsi" w:eastAsia="MetaProMedium-Regular" w:hAnsiTheme="minorHAnsi" w:cstheme="minorHAnsi"/>
          <w:b/>
          <w:bCs/>
        </w:rPr>
        <w:t>design stage</w:t>
      </w:r>
      <w:r w:rsidR="00ED402E" w:rsidRPr="00C63860">
        <w:rPr>
          <w:rFonts w:asciiTheme="minorHAnsi" w:eastAsia="MetaProMedium-Regular" w:hAnsiTheme="minorHAnsi" w:cstheme="minorHAnsi"/>
        </w:rPr>
        <w:t xml:space="preserve"> </w:t>
      </w:r>
      <w:r w:rsidRPr="00C63860">
        <w:rPr>
          <w:rFonts w:asciiTheme="minorHAnsi" w:eastAsia="MetaProMedium-Regular" w:hAnsiTheme="minorHAnsi" w:cstheme="minorHAnsi"/>
        </w:rPr>
        <w:t>workshops were held in July 2020, and their findings helped inform the design of the ESORT study. Full details are provided on the ESORT website.</w:t>
      </w:r>
      <w:r w:rsidR="004B50DD" w:rsidRPr="00C63860">
        <w:rPr>
          <w:rFonts w:asciiTheme="minorHAnsi" w:eastAsia="MetaProMedium-Regular" w:hAnsiTheme="minorHAnsi" w:cstheme="minorHAnsi"/>
          <w:noProof/>
          <w:vertAlign w:val="superscript"/>
        </w:rPr>
        <w:t>30</w:t>
      </w:r>
      <w:r w:rsidRPr="00C63860">
        <w:rPr>
          <w:rFonts w:asciiTheme="minorHAnsi" w:eastAsia="MetaProMedium-Regular" w:hAnsiTheme="minorHAnsi" w:cstheme="minorHAnsi"/>
        </w:rPr>
        <w:t xml:space="preserve"> In brief, each workshop was attended by seven panellists, each of whom had experience of an emergency admission with one of the conditions of interest.</w:t>
      </w:r>
      <w:r w:rsidR="00C63860" w:rsidRPr="00C63860">
        <w:rPr>
          <w:rFonts w:asciiTheme="minorHAnsi" w:eastAsia="MetaProMedium-Regular" w:hAnsiTheme="minorHAnsi" w:cstheme="minorHAnsi"/>
        </w:rPr>
        <w:t xml:space="preserve"> </w:t>
      </w:r>
      <w:r w:rsidRPr="00C63860">
        <w:rPr>
          <w:rFonts w:asciiTheme="minorHAnsi" w:eastAsia="MetaProMedium-Regular" w:hAnsiTheme="minorHAnsi" w:cstheme="minorHAnsi"/>
        </w:rPr>
        <w:t>In advance of the workshop, pa</w:t>
      </w:r>
      <w:r w:rsidR="00FE5083" w:rsidRPr="00C63860">
        <w:rPr>
          <w:rFonts w:asciiTheme="minorHAnsi" w:eastAsia="MetaProMedium-Regular" w:hAnsiTheme="minorHAnsi" w:cstheme="minorHAnsi"/>
        </w:rPr>
        <w:t>rticipants</w:t>
      </w:r>
      <w:r w:rsidRPr="00C63860">
        <w:rPr>
          <w:rFonts w:asciiTheme="minorHAnsi" w:eastAsia="MetaProMedium-Regular" w:hAnsiTheme="minorHAnsi" w:cstheme="minorHAnsi"/>
        </w:rPr>
        <w:t xml:space="preserve"> were provided with bespoke preparatory material via Sway. The workshop participants were asked to consider outcome measures for patients following emergency admission to hospital for acute conditions, and the group agreed that an appropriate measure would capture mortality, and the number of days in hospital (see clinical effectiveness </w:t>
      </w:r>
      <w:r w:rsidR="00386E21" w:rsidRPr="00C63860">
        <w:rPr>
          <w:rFonts w:asciiTheme="minorHAnsi" w:eastAsia="MetaProMedium-Regular" w:hAnsiTheme="minorHAnsi" w:cstheme="minorHAnsi"/>
          <w:i/>
        </w:rPr>
        <w:t>C</w:t>
      </w:r>
      <w:r w:rsidRPr="00C63860">
        <w:rPr>
          <w:rFonts w:asciiTheme="minorHAnsi" w:eastAsia="MetaProMedium-Regular" w:hAnsiTheme="minorHAnsi" w:cstheme="minorHAnsi"/>
          <w:i/>
        </w:rPr>
        <w:t xml:space="preserve">hapter </w:t>
      </w:r>
      <w:r w:rsidRPr="00C63860">
        <w:rPr>
          <w:rFonts w:asciiTheme="minorHAnsi" w:eastAsia="MetaProMedium-Regular" w:hAnsiTheme="minorHAnsi" w:cstheme="minorHAnsi"/>
        </w:rPr>
        <w:t>three).</w:t>
      </w:r>
      <w:r w:rsidR="00C63860" w:rsidRPr="00C63860">
        <w:rPr>
          <w:rFonts w:asciiTheme="minorHAnsi" w:eastAsia="MetaProMedium-Regular" w:hAnsiTheme="minorHAnsi" w:cstheme="minorHAnsi"/>
        </w:rPr>
        <w:t xml:space="preserve"> </w:t>
      </w:r>
      <w:r w:rsidRPr="00C63860">
        <w:rPr>
          <w:rFonts w:asciiTheme="minorHAnsi" w:eastAsia="MetaProMedium-Regular" w:hAnsiTheme="minorHAnsi" w:cstheme="minorHAnsi"/>
        </w:rPr>
        <w:t xml:space="preserve">The participants also expressed interest in joining the </w:t>
      </w:r>
      <w:r w:rsidR="00C63860" w:rsidRPr="00C63860">
        <w:rPr>
          <w:rFonts w:asciiTheme="minorHAnsi" w:eastAsia="MetaProMedium-Regular" w:hAnsiTheme="minorHAnsi" w:cstheme="minorHAnsi"/>
          <w:color w:val="00B0F0"/>
        </w:rPr>
        <w:t>‘</w:t>
      </w:r>
      <w:r w:rsidR="006F6056" w:rsidRPr="00C63860">
        <w:rPr>
          <w:rFonts w:asciiTheme="minorHAnsi" w:eastAsia="MetaProMedium-Regular" w:hAnsiTheme="minorHAnsi" w:cstheme="minorHAnsi"/>
        </w:rPr>
        <w:t>translation workshop</w:t>
      </w:r>
      <w:r w:rsidR="00C63860" w:rsidRPr="00C63860">
        <w:rPr>
          <w:rFonts w:asciiTheme="minorHAnsi" w:eastAsia="MetaProMedium-Regular" w:hAnsiTheme="minorHAnsi" w:cstheme="minorHAnsi"/>
          <w:color w:val="00B0F0"/>
        </w:rPr>
        <w:t>’</w:t>
      </w:r>
      <w:r w:rsidRPr="00C63860">
        <w:rPr>
          <w:rFonts w:asciiTheme="minorHAnsi" w:eastAsia="MetaProMedium-Regular" w:hAnsiTheme="minorHAnsi" w:cstheme="minorHAnsi"/>
        </w:rPr>
        <w:t xml:space="preserve"> to discuss the study</w:t>
      </w:r>
      <w:r w:rsidR="00C63860" w:rsidRPr="00C63860">
        <w:rPr>
          <w:rFonts w:asciiTheme="minorHAnsi" w:eastAsia="MetaProMedium-Regular" w:hAnsiTheme="minorHAnsi" w:cstheme="minorHAnsi"/>
          <w:color w:val="00B0F0"/>
        </w:rPr>
        <w:t>’</w:t>
      </w:r>
      <w:r w:rsidRPr="00C63860">
        <w:rPr>
          <w:rFonts w:asciiTheme="minorHAnsi" w:eastAsia="MetaProMedium-Regular" w:hAnsiTheme="minorHAnsi" w:cstheme="minorHAnsi"/>
        </w:rPr>
        <w:t>s results (see discussion), in helping to coproduce the study</w:t>
      </w:r>
      <w:r w:rsidR="00C63860" w:rsidRPr="00C63860">
        <w:rPr>
          <w:rFonts w:asciiTheme="minorHAnsi" w:eastAsia="MetaProMedium-Regular" w:hAnsiTheme="minorHAnsi" w:cstheme="minorHAnsi"/>
          <w:color w:val="00B0F0"/>
        </w:rPr>
        <w:t>’</w:t>
      </w:r>
      <w:r w:rsidRPr="00C63860">
        <w:rPr>
          <w:rFonts w:asciiTheme="minorHAnsi" w:eastAsia="MetaProMedium-Regular" w:hAnsiTheme="minorHAnsi" w:cstheme="minorHAnsi"/>
        </w:rPr>
        <w:t>s lay summary (see lay summary), and in providing further details on the ESORT study website (www.lshtm.ac.uk/research/centres-projects-groups/esort).</w:t>
      </w:r>
    </w:p>
    <w:p w14:paraId="7ABFE224" w14:textId="77777777" w:rsidR="00A94063" w:rsidRPr="00C63860" w:rsidRDefault="00A94063" w:rsidP="0020028A">
      <w:pPr>
        <w:spacing w:before="240" w:after="240" w:line="276" w:lineRule="auto"/>
        <w:rPr>
          <w:rFonts w:asciiTheme="minorHAnsi" w:hAnsiTheme="minorHAnsi" w:cstheme="minorHAnsi"/>
          <w:b/>
          <w:bCs/>
          <w:sz w:val="28"/>
          <w:szCs w:val="28"/>
        </w:rPr>
      </w:pPr>
      <w:r w:rsidRPr="00C63860">
        <w:rPr>
          <w:rFonts w:asciiTheme="minorHAnsi" w:hAnsiTheme="minorHAnsi" w:cstheme="minorHAnsi"/>
          <w:b/>
          <w:bCs/>
          <w:sz w:val="28"/>
          <w:szCs w:val="28"/>
        </w:rPr>
        <w:t>1.5 Report overview</w:t>
      </w:r>
    </w:p>
    <w:p w14:paraId="62E43F18" w14:textId="77777777" w:rsidR="00C63860" w:rsidRPr="00C63860" w:rsidRDefault="00A94063" w:rsidP="0020028A">
      <w:pPr>
        <w:spacing w:after="240" w:line="276" w:lineRule="auto"/>
        <w:contextualSpacing/>
        <w:rPr>
          <w:rFonts w:asciiTheme="minorHAnsi" w:hAnsiTheme="minorHAnsi" w:cstheme="minorHAnsi"/>
        </w:rPr>
      </w:pPr>
      <w:r w:rsidRPr="00C63860">
        <w:rPr>
          <w:rFonts w:asciiTheme="minorHAnsi" w:hAnsiTheme="minorHAnsi" w:cstheme="minorHAnsi"/>
        </w:rPr>
        <w:t xml:space="preserve">This report details the three interlinked components of the study. Chapter 2 explains how the patient populations, and the ES and NES strategies were defined from the consensus of the clinical panel, and then from the HES </w:t>
      </w:r>
      <w:r w:rsidRPr="00C63860">
        <w:rPr>
          <w:rFonts w:asciiTheme="minorHAnsi" w:hAnsiTheme="minorHAnsi" w:cstheme="minorHAnsi"/>
          <w:highlight w:val="magenta"/>
        </w:rPr>
        <w:t>data</w:t>
      </w:r>
      <w:r w:rsidRPr="00C63860">
        <w:rPr>
          <w:rFonts w:asciiTheme="minorHAnsi" w:hAnsiTheme="minorHAnsi" w:cstheme="minorHAnsi"/>
        </w:rPr>
        <w:t xml:space="preserve">. This chapter also highlights the wide variation in ES rates across NHS </w:t>
      </w:r>
      <w:r w:rsidR="00E425D6" w:rsidRPr="00C63860">
        <w:rPr>
          <w:rFonts w:asciiTheme="minorHAnsi" w:hAnsiTheme="minorHAnsi" w:cstheme="minorHAnsi"/>
        </w:rPr>
        <w:t xml:space="preserve">acute </w:t>
      </w:r>
      <w:r w:rsidRPr="00C63860">
        <w:rPr>
          <w:rFonts w:asciiTheme="minorHAnsi" w:hAnsiTheme="minorHAnsi" w:cstheme="minorHAnsi"/>
        </w:rPr>
        <w:t>trust hospitals, for common acute conditions presenting as emergency hospital admissions.</w:t>
      </w:r>
      <w:r w:rsidR="00C63860" w:rsidRPr="00C63860">
        <w:rPr>
          <w:rFonts w:asciiTheme="minorHAnsi" w:hAnsiTheme="minorHAnsi" w:cstheme="minorHAnsi"/>
        </w:rPr>
        <w:t xml:space="preserve"> </w:t>
      </w:r>
      <w:r w:rsidRPr="00C63860">
        <w:rPr>
          <w:rFonts w:asciiTheme="minorHAnsi" w:hAnsiTheme="minorHAnsi" w:cstheme="minorHAnsi"/>
        </w:rPr>
        <w:t xml:space="preserve">This unexplained variation underlies the IV design, which is used to address confounding in assessing relative effectiveness (chapter 3) and cost-effectiveness (chapter 4) of ES. In chapter 3, we provide a summary of the comparative effectiveness methods, and summarise the results, both overall (objective 1), and according to pre-specified subgroups (objective 3). Similarly, in chapter 4, we summarise the main aspects of the CEA, and provide the results overall (objective 2), and according to subgroup (objective 3). Each of the three substantive chapters are also supported by </w:t>
      </w:r>
      <w:r w:rsidR="00D13B79" w:rsidRPr="00C63860">
        <w:rPr>
          <w:rFonts w:asciiTheme="minorHAnsi" w:hAnsiTheme="minorHAnsi" w:cstheme="minorHAnsi"/>
        </w:rPr>
        <w:t>additional</w:t>
      </w:r>
      <w:r w:rsidRPr="00C63860">
        <w:rPr>
          <w:rFonts w:asciiTheme="minorHAnsi" w:hAnsiTheme="minorHAnsi" w:cstheme="minorHAnsi"/>
        </w:rPr>
        <w:t xml:space="preserve"> material for the methods, and for further details of the results, which are provided as appendices to this report</w:t>
      </w:r>
      <w:r w:rsidR="00D13B79" w:rsidRPr="00C63860">
        <w:rPr>
          <w:rFonts w:asciiTheme="minorHAnsi" w:hAnsiTheme="minorHAnsi" w:cstheme="minorHAnsi"/>
        </w:rPr>
        <w:t xml:space="preserve">, supplementary material </w:t>
      </w:r>
      <w:r w:rsidRPr="00C63860">
        <w:rPr>
          <w:rFonts w:asciiTheme="minorHAnsi" w:hAnsiTheme="minorHAnsi" w:cstheme="minorHAnsi"/>
        </w:rPr>
        <w:t>and on the ESORT study website. In chapter 5, we discuss the overall findings from the study, including those from the PPI translat</w:t>
      </w:r>
      <w:r w:rsidR="00E425D6" w:rsidRPr="00C63860">
        <w:rPr>
          <w:rFonts w:asciiTheme="minorHAnsi" w:hAnsiTheme="minorHAnsi" w:cstheme="minorHAnsi"/>
        </w:rPr>
        <w:t>ion</w:t>
      </w:r>
      <w:r w:rsidRPr="00C63860">
        <w:rPr>
          <w:rFonts w:asciiTheme="minorHAnsi" w:hAnsiTheme="minorHAnsi" w:cstheme="minorHAnsi"/>
        </w:rPr>
        <w:t xml:space="preserve"> workshops, and provide recommendations for clinical </w:t>
      </w:r>
      <w:r w:rsidRPr="00C63860">
        <w:rPr>
          <w:rFonts w:asciiTheme="minorHAnsi" w:hAnsiTheme="minorHAnsi" w:cstheme="minorHAnsi"/>
          <w:highlight w:val="magenta"/>
        </w:rPr>
        <w:t>practice</w:t>
      </w:r>
      <w:r w:rsidRPr="00C63860">
        <w:rPr>
          <w:rFonts w:asciiTheme="minorHAnsi" w:hAnsiTheme="minorHAnsi" w:cstheme="minorHAnsi"/>
        </w:rPr>
        <w:t xml:space="preserve"> and for further research.</w:t>
      </w:r>
    </w:p>
    <w:p w14:paraId="0D0C8BAE" w14:textId="6D43F393" w:rsidR="00113D42" w:rsidRPr="00C63860" w:rsidRDefault="00113D42" w:rsidP="0010341C">
      <w:pPr>
        <w:pStyle w:val="Heading1"/>
        <w:spacing w:before="240" w:after="240"/>
      </w:pPr>
      <w:bookmarkStart w:id="31" w:name="_Toc86672998"/>
      <w:r w:rsidRPr="00C63860">
        <w:t>Chapter 2: Cohort</w:t>
      </w:r>
      <w:r w:rsidR="007078DE" w:rsidRPr="00C63860">
        <w:t xml:space="preserve"> Description</w:t>
      </w:r>
      <w:bookmarkEnd w:id="31"/>
    </w:p>
    <w:p w14:paraId="28A8797A" w14:textId="77777777" w:rsidR="00C87DCA" w:rsidRPr="00C63860" w:rsidRDefault="00C87DCA" w:rsidP="0010341C">
      <w:pPr>
        <w:spacing w:before="240" w:after="240" w:line="276" w:lineRule="auto"/>
        <w:rPr>
          <w:b/>
          <w:bCs/>
          <w:sz w:val="28"/>
          <w:szCs w:val="28"/>
        </w:rPr>
      </w:pPr>
      <w:r w:rsidRPr="00C63860">
        <w:rPr>
          <w:b/>
          <w:bCs/>
          <w:sz w:val="28"/>
          <w:szCs w:val="28"/>
        </w:rPr>
        <w:t>2.1 Introduction</w:t>
      </w:r>
    </w:p>
    <w:p w14:paraId="624904BA" w14:textId="0CCA58B2" w:rsidR="00C87DCA" w:rsidRPr="00C63860" w:rsidRDefault="00C87DCA" w:rsidP="0010341C">
      <w:pPr>
        <w:spacing w:before="240" w:after="240" w:line="276" w:lineRule="auto"/>
      </w:pPr>
      <w:r w:rsidRPr="00C63860">
        <w:t xml:space="preserve">The design of the ESORT study was based on the principles of a </w:t>
      </w:r>
      <w:r w:rsidR="00C63860" w:rsidRPr="00C63860">
        <w:rPr>
          <w:color w:val="00B0F0"/>
        </w:rPr>
        <w:t>‘</w:t>
      </w:r>
      <w:r w:rsidR="006F6056" w:rsidRPr="00C63860">
        <w:t>target trial</w:t>
      </w:r>
      <w:r w:rsidR="00C63860" w:rsidRPr="00C63860">
        <w:rPr>
          <w:color w:val="00B0F0"/>
        </w:rPr>
        <w:t>’</w:t>
      </w:r>
      <w:r w:rsidRPr="00C63860">
        <w:t>, that is, an observational study that seeks to emulate a (hypothetical) pragmatic trial.</w:t>
      </w:r>
      <w:r w:rsidR="004B50DD" w:rsidRPr="00C63860">
        <w:rPr>
          <w:noProof/>
          <w:vertAlign w:val="superscript"/>
        </w:rPr>
        <w:t>31, 32</w:t>
      </w:r>
      <w:r w:rsidRPr="00C63860">
        <w:t xml:space="preserve"> Three key issues with applying a target trial framework to routine observational </w:t>
      </w:r>
      <w:r w:rsidRPr="00C63860">
        <w:rPr>
          <w:highlight w:val="magenta"/>
        </w:rPr>
        <w:t>data</w:t>
      </w:r>
      <w:r w:rsidRPr="00C63860">
        <w:t xml:space="preserve"> are</w:t>
      </w:r>
      <w:r w:rsidR="006D05C0" w:rsidRPr="00C63860">
        <w:t>:</w:t>
      </w:r>
      <w:r w:rsidRPr="00C63860">
        <w:t xml:space="preserve"> (i) defining the target population according to inclusion and exclusion criteria that would be applied in a hypothetical trial</w:t>
      </w:r>
      <w:r w:rsidR="0070485B" w:rsidRPr="00C63860">
        <w:t xml:space="preserve"> (</w:t>
      </w:r>
      <w:r w:rsidR="003D568A" w:rsidRPr="00C63860">
        <w:t>see S</w:t>
      </w:r>
      <w:r w:rsidR="0070485B" w:rsidRPr="00C63860">
        <w:t>ection 2.2.2)</w:t>
      </w:r>
      <w:r w:rsidRPr="00C63860">
        <w:t xml:space="preserve">, (ii) defining the </w:t>
      </w:r>
      <w:r w:rsidR="003D568A" w:rsidRPr="00C63860">
        <w:t>intervention and comparator strategies (</w:t>
      </w:r>
      <w:r w:rsidR="00997ECD" w:rsidRPr="00C63860">
        <w:t xml:space="preserve">see </w:t>
      </w:r>
      <w:r w:rsidR="003D568A" w:rsidRPr="00C63860">
        <w:t xml:space="preserve">Section 2.2.3), </w:t>
      </w:r>
      <w:r w:rsidRPr="00C63860">
        <w:t>(</w:t>
      </w:r>
      <w:r w:rsidR="003D568A" w:rsidRPr="00C63860">
        <w:t>i</w:t>
      </w:r>
      <w:r w:rsidRPr="00C63860">
        <w:t>ii) defining the time when the eligibility criteria are met and a decision on treatment strategy made</w:t>
      </w:r>
      <w:r w:rsidR="0070485B" w:rsidRPr="00C63860">
        <w:t>, or time</w:t>
      </w:r>
      <w:r w:rsidR="2A8B3879" w:rsidRPr="00C63860">
        <w:t xml:space="preserve"> zero </w:t>
      </w:r>
      <w:r w:rsidR="0070485B" w:rsidRPr="00C63860">
        <w:t>(</w:t>
      </w:r>
      <w:r w:rsidR="00997ECD" w:rsidRPr="00C63860">
        <w:t xml:space="preserve">see </w:t>
      </w:r>
      <w:r w:rsidR="0070485B" w:rsidRPr="00C63860">
        <w:t>Section</w:t>
      </w:r>
      <w:r w:rsidR="003D568A" w:rsidRPr="00C63860">
        <w:t xml:space="preserve"> 2.2.4)</w:t>
      </w:r>
      <w:r w:rsidR="2A8B3879" w:rsidRPr="00C63860">
        <w:t>,</w:t>
      </w:r>
      <w:r w:rsidRPr="00C63860">
        <w:t xml:space="preserve"> and. </w:t>
      </w:r>
      <w:r w:rsidR="00DB56AE" w:rsidRPr="00C63860">
        <w:t>The</w:t>
      </w:r>
      <w:r w:rsidRPr="00C63860">
        <w:t xml:space="preserve"> </w:t>
      </w:r>
      <w:r w:rsidRPr="00C63860">
        <w:rPr>
          <w:highlight w:val="magenta"/>
        </w:rPr>
        <w:t>fourth</w:t>
      </w:r>
      <w:r w:rsidR="00DB56AE" w:rsidRPr="00C63860">
        <w:t xml:space="preserve"> and fifth</w:t>
      </w:r>
      <w:r w:rsidRPr="00C63860">
        <w:t xml:space="preserve"> key issue</w:t>
      </w:r>
      <w:r w:rsidR="00DB56AE" w:rsidRPr="00C63860">
        <w:t>s</w:t>
      </w:r>
      <w:r w:rsidRPr="00C63860">
        <w:t>, th</w:t>
      </w:r>
      <w:r w:rsidR="00DB56AE" w:rsidRPr="00C63860">
        <w:t>ose of defining the outcomes of interest, and of</w:t>
      </w:r>
      <w:r w:rsidRPr="00C63860">
        <w:t xml:space="preserve"> </w:t>
      </w:r>
      <w:r w:rsidR="00DB56AE" w:rsidRPr="00C63860">
        <w:t>the approach to handle</w:t>
      </w:r>
      <w:r w:rsidRPr="00C63860">
        <w:t xml:space="preserve"> unmeasured confounding in the absence of randomisation, </w:t>
      </w:r>
      <w:r w:rsidR="00DB56AE" w:rsidRPr="00C63860">
        <w:t>are</w:t>
      </w:r>
      <w:r w:rsidRPr="00C63860">
        <w:t xml:space="preserve"> addressed in </w:t>
      </w:r>
      <w:r w:rsidR="000C56D0" w:rsidRPr="00C63860">
        <w:t>C</w:t>
      </w:r>
      <w:r w:rsidRPr="00C63860">
        <w:t>hapter</w:t>
      </w:r>
      <w:r w:rsidR="00C60581" w:rsidRPr="00C63860">
        <w:t xml:space="preserve"> 3</w:t>
      </w:r>
      <w:r w:rsidR="00FD0FA7" w:rsidRPr="00C63860">
        <w:t xml:space="preserve"> (see Sections 3.2.1 to 3.2.4)</w:t>
      </w:r>
      <w:r w:rsidRPr="00C63860">
        <w:t>. Conceptualising the observational study in this way encourages researchers to make explicit decisions about the study design and the assumptions required to identify causal treatment effects.</w:t>
      </w:r>
    </w:p>
    <w:p w14:paraId="59BFA209" w14:textId="77777777" w:rsidR="00C63860" w:rsidRPr="00C63860" w:rsidRDefault="00C87DCA" w:rsidP="0010341C">
      <w:pPr>
        <w:spacing w:before="240" w:after="240" w:line="276" w:lineRule="auto"/>
      </w:pPr>
      <w:r w:rsidRPr="00C63860">
        <w:t xml:space="preserve">The ESORT study used routine HES </w:t>
      </w:r>
      <w:r w:rsidRPr="00C63860">
        <w:rPr>
          <w:highlight w:val="magenta"/>
        </w:rPr>
        <w:t>data</w:t>
      </w:r>
      <w:r w:rsidRPr="00C63860">
        <w:t xml:space="preserve"> for England to define cohorts of emergency admissions for five common </w:t>
      </w:r>
      <w:r w:rsidR="000C56D0" w:rsidRPr="00C63860">
        <w:t>acute gastrointestinal</w:t>
      </w:r>
      <w:r w:rsidRPr="00C63860">
        <w:t xml:space="preserve"> conditions: acute appendicitis, cholelithiasis, diverticular disease, abdominal wall hernia, and intestinal obstruction. This chapter describes (i) the criteria for defining the cohorts, (ii) the criteria for identify</w:t>
      </w:r>
      <w:r w:rsidR="00E425D6" w:rsidRPr="00C63860">
        <w:t>ing</w:t>
      </w:r>
      <w:r w:rsidRPr="00C63860">
        <w:t xml:space="preserve"> patients who had ES</w:t>
      </w:r>
      <w:r w:rsidR="2A8B3879" w:rsidRPr="00C63860">
        <w:t>,</w:t>
      </w:r>
      <w:r w:rsidRPr="00C63860">
        <w:t xml:space="preserve"> (iii) the patient characteristics of the five cohorts, and (iv) variation in ES</w:t>
      </w:r>
      <w:r w:rsidR="000C56D0" w:rsidRPr="00C63860">
        <w:t xml:space="preserve"> rates</w:t>
      </w:r>
      <w:r w:rsidR="00EC5497" w:rsidRPr="00C63860">
        <w:t xml:space="preserve"> </w:t>
      </w:r>
      <w:r w:rsidR="000C56D0" w:rsidRPr="00C63860">
        <w:t>across</w:t>
      </w:r>
      <w:r w:rsidR="00EC5497" w:rsidRPr="00C63860">
        <w:t xml:space="preserve"> hospitals</w:t>
      </w:r>
      <w:r w:rsidRPr="00C63860">
        <w:t>.</w:t>
      </w:r>
    </w:p>
    <w:p w14:paraId="3962C166" w14:textId="28BC4569" w:rsidR="00C87DCA" w:rsidRPr="00C63860" w:rsidRDefault="00C87DCA" w:rsidP="0010341C">
      <w:pPr>
        <w:spacing w:before="240" w:after="240" w:line="276" w:lineRule="auto"/>
        <w:rPr>
          <w:b/>
          <w:bCs/>
          <w:sz w:val="28"/>
          <w:szCs w:val="28"/>
        </w:rPr>
      </w:pPr>
      <w:r w:rsidRPr="00C63860">
        <w:rPr>
          <w:b/>
          <w:bCs/>
          <w:sz w:val="28"/>
          <w:szCs w:val="28"/>
        </w:rPr>
        <w:t xml:space="preserve">2.2 </w:t>
      </w:r>
      <w:r w:rsidR="00903112" w:rsidRPr="00C63860">
        <w:rPr>
          <w:b/>
          <w:bCs/>
          <w:sz w:val="28"/>
          <w:szCs w:val="28"/>
        </w:rPr>
        <w:t>Methods</w:t>
      </w:r>
    </w:p>
    <w:p w14:paraId="664BB797" w14:textId="6E846303" w:rsidR="00255F95" w:rsidRPr="00C63860" w:rsidRDefault="00255F95" w:rsidP="0010341C">
      <w:pPr>
        <w:spacing w:before="240" w:after="240" w:line="276" w:lineRule="auto"/>
        <w:rPr>
          <w:b/>
        </w:rPr>
      </w:pPr>
      <w:r w:rsidRPr="00C63860">
        <w:rPr>
          <w:b/>
        </w:rPr>
        <w:t xml:space="preserve">2.2.1 Study </w:t>
      </w:r>
      <w:r w:rsidRPr="00C63860">
        <w:rPr>
          <w:b/>
          <w:highlight w:val="magenta"/>
        </w:rPr>
        <w:t>data</w:t>
      </w:r>
    </w:p>
    <w:p w14:paraId="5F7367F3" w14:textId="019A9C77" w:rsidR="00C63860" w:rsidRPr="00C63860" w:rsidRDefault="00C87DCA" w:rsidP="0010341C">
      <w:pPr>
        <w:spacing w:before="240" w:after="240" w:line="276" w:lineRule="auto"/>
      </w:pPr>
      <w:r w:rsidRPr="00C63860">
        <w:t xml:space="preserve">The study used HES admitted patient care </w:t>
      </w:r>
      <w:r w:rsidRPr="00C63860">
        <w:rPr>
          <w:highlight w:val="magenta"/>
        </w:rPr>
        <w:t>data</w:t>
      </w:r>
      <w:r w:rsidRPr="00C63860">
        <w:t xml:space="preserve"> provided under a </w:t>
      </w:r>
      <w:r w:rsidRPr="00C63860">
        <w:rPr>
          <w:highlight w:val="magenta"/>
        </w:rPr>
        <w:t>data</w:t>
      </w:r>
      <w:r w:rsidRPr="00C63860">
        <w:t xml:space="preserve"> sharing agreement with NHS Digital.</w:t>
      </w:r>
      <w:r w:rsidR="004B50DD" w:rsidRPr="00C63860">
        <w:rPr>
          <w:noProof/>
          <w:vertAlign w:val="superscript"/>
        </w:rPr>
        <w:t>33</w:t>
      </w:r>
      <w:r w:rsidRPr="00C63860">
        <w:t xml:space="preserve"> Linked HES adult critical care </w:t>
      </w:r>
      <w:r w:rsidRPr="00C63860">
        <w:rPr>
          <w:highlight w:val="magenta"/>
        </w:rPr>
        <w:t>data</w:t>
      </w:r>
      <w:r w:rsidRPr="00C63860">
        <w:t xml:space="preserve"> and Civil Registration date of death </w:t>
      </w:r>
      <w:r w:rsidRPr="00C63860">
        <w:rPr>
          <w:highlight w:val="magenta"/>
        </w:rPr>
        <w:t>data</w:t>
      </w:r>
      <w:r w:rsidRPr="00C63860">
        <w:t xml:space="preserve"> were also provided for deriving resource use and outcomes. The HES admitted patient care </w:t>
      </w:r>
      <w:r w:rsidRPr="00C63860">
        <w:rPr>
          <w:highlight w:val="magenta"/>
        </w:rPr>
        <w:t>data</w:t>
      </w:r>
      <w:r w:rsidRPr="00C63860">
        <w:t xml:space="preserve"> comprised all adult emergency admissions for patients with relevant three-character IC</w:t>
      </w:r>
      <w:r w:rsidR="00C63860" w:rsidRPr="00C63860">
        <w:rPr>
          <w:color w:val="00B0F0"/>
        </w:rPr>
        <w:t>D-1</w:t>
      </w:r>
      <w:r w:rsidRPr="00C63860">
        <w:t>0 diagnosis codes for the five conditions</w:t>
      </w:r>
      <w:r w:rsidR="00335134" w:rsidRPr="00C63860">
        <w:t>,</w:t>
      </w:r>
      <w:r w:rsidRPr="00C63860">
        <w:t xml:space="preserve"> together with patients</w:t>
      </w:r>
      <w:r w:rsidR="00C63860" w:rsidRPr="00C63860">
        <w:rPr>
          <w:color w:val="00B0F0"/>
        </w:rPr>
        <w:t>’</w:t>
      </w:r>
      <w:r w:rsidRPr="00C63860">
        <w:t xml:space="preserve"> historic and subsequent admissions between </w:t>
      </w:r>
      <w:r w:rsidR="00C63860" w:rsidRPr="00C63860">
        <w:rPr>
          <w:color w:val="00B0F0"/>
        </w:rPr>
        <w:t>1st</w:t>
      </w:r>
      <w:r w:rsidRPr="00C63860">
        <w:t xml:space="preserve"> April 2009 and 3</w:t>
      </w:r>
      <w:r w:rsidR="00C63860" w:rsidRPr="00C63860">
        <w:rPr>
          <w:color w:val="00B0F0"/>
        </w:rPr>
        <w:t>0th</w:t>
      </w:r>
      <w:r w:rsidRPr="00C63860">
        <w:t xml:space="preserve"> June 2020. Each admission included one or more finished consultant episodes which provided </w:t>
      </w:r>
      <w:r w:rsidRPr="00C63860">
        <w:rPr>
          <w:highlight w:val="magenta"/>
        </w:rPr>
        <w:t>data</w:t>
      </w:r>
      <w:r w:rsidRPr="00C63860">
        <w:t xml:space="preserve"> on interventions and procedures (using Office of Population Censuses and Surveys (OPC</w:t>
      </w:r>
      <w:r w:rsidR="00C63860" w:rsidRPr="00C63860">
        <w:rPr>
          <w:color w:val="00B0F0"/>
        </w:rPr>
        <w:t>S-4</w:t>
      </w:r>
      <w:r w:rsidRPr="00C63860">
        <w:t>) procedure codes) carried out while under the consultant</w:t>
      </w:r>
      <w:r w:rsidR="00C63860" w:rsidRPr="00C63860">
        <w:rPr>
          <w:color w:val="00B0F0"/>
        </w:rPr>
        <w:t>’</w:t>
      </w:r>
      <w:r w:rsidRPr="00C63860">
        <w:t xml:space="preserve">s care. The pseudonymised HES admitted patient care </w:t>
      </w:r>
      <w:r w:rsidRPr="00C63860">
        <w:rPr>
          <w:highlight w:val="magenta"/>
        </w:rPr>
        <w:t>data</w:t>
      </w:r>
      <w:r w:rsidRPr="00C63860">
        <w:t xml:space="preserve"> also included information on patients</w:t>
      </w:r>
      <w:r w:rsidR="00C63860" w:rsidRPr="00C63860">
        <w:rPr>
          <w:color w:val="00B0F0"/>
        </w:rPr>
        <w:t>’</w:t>
      </w:r>
      <w:r w:rsidRPr="00C63860">
        <w:t xml:space="preserve"> socio-demographic characteristics (age, sex, ethnicity, and Index of Multiple Deprivation</w:t>
      </w:r>
      <w:r w:rsidR="00E425D6" w:rsidRPr="00C63860">
        <w:t xml:space="preserve"> (IMD)</w:t>
      </w:r>
      <w:r w:rsidRPr="00C63860">
        <w:t xml:space="preserve"> by decile) and other administrative and organisational information</w:t>
      </w:r>
      <w:r w:rsidR="00335134" w:rsidRPr="00C63860">
        <w:t>,</w:t>
      </w:r>
      <w:r w:rsidRPr="00C63860">
        <w:t xml:space="preserve"> such as dates of admission and discharge and the NHS trust and hospital the patient was</w:t>
      </w:r>
      <w:r w:rsidR="000C56D0" w:rsidRPr="00C63860">
        <w:t xml:space="preserve"> admitted to</w:t>
      </w:r>
      <w:r w:rsidRPr="00C63860">
        <w:t>.</w:t>
      </w:r>
    </w:p>
    <w:p w14:paraId="4A038014" w14:textId="77777777" w:rsidR="00C63860" w:rsidRPr="00C63860" w:rsidRDefault="00C87DCA" w:rsidP="0010341C">
      <w:pPr>
        <w:spacing w:before="240" w:after="240" w:line="276" w:lineRule="auto"/>
      </w:pPr>
      <w:r w:rsidRPr="00C63860">
        <w:t>The aim was to create a cohort of eligible patient admissions for each condition. The first episode meeting eligibility criteria was defined as the index episode. The admission containing the index episode was defined as the index admission.</w:t>
      </w:r>
    </w:p>
    <w:p w14:paraId="7CC98CA8" w14:textId="65C9D75A" w:rsidR="00C63860" w:rsidRPr="00C63860" w:rsidRDefault="00C87DCA" w:rsidP="0010341C">
      <w:pPr>
        <w:spacing w:before="240" w:after="240" w:line="276" w:lineRule="auto"/>
      </w:pPr>
      <w:r w:rsidRPr="00C63860">
        <w:t>The R</w:t>
      </w:r>
      <w:r w:rsidR="00E425D6" w:rsidRPr="00C63860">
        <w:t>CS</w:t>
      </w:r>
      <w:r w:rsidRPr="00C63860">
        <w:t xml:space="preserve"> of England</w:t>
      </w:r>
      <w:r w:rsidR="00C63860" w:rsidRPr="00C63860">
        <w:rPr>
          <w:color w:val="00B0F0"/>
        </w:rPr>
        <w:t>’</w:t>
      </w:r>
      <w:r w:rsidRPr="00C63860">
        <w:t xml:space="preserve">s Charlson Comorbidity Score was derived from the </w:t>
      </w:r>
      <w:r w:rsidRPr="00C63860">
        <w:rPr>
          <w:highlight w:val="magenta"/>
        </w:rPr>
        <w:t>data</w:t>
      </w:r>
      <w:r w:rsidRPr="00C63860">
        <w:t xml:space="preserve"> using IC</w:t>
      </w:r>
      <w:r w:rsidR="00C63860" w:rsidRPr="00C63860">
        <w:rPr>
          <w:color w:val="00B0F0"/>
        </w:rPr>
        <w:t>D-1</w:t>
      </w:r>
      <w:r w:rsidRPr="00C63860">
        <w:t>0 diagnosis codes from the index episode and from other episodes in the prior 12 months.</w:t>
      </w:r>
      <w:r w:rsidR="004B50DD" w:rsidRPr="00C63860">
        <w:rPr>
          <w:noProof/>
          <w:vertAlign w:val="superscript"/>
        </w:rPr>
        <w:t>34</w:t>
      </w:r>
      <w:r w:rsidRPr="00C63860">
        <w:t xml:space="preserve"> The score comprises four categories: no comorbidities, one comorbidity, two comorbidities, and three or more comorbidities.</w:t>
      </w:r>
    </w:p>
    <w:p w14:paraId="5E204154" w14:textId="49BC22C7" w:rsidR="00C63860" w:rsidRPr="00C63860" w:rsidRDefault="00C87DCA" w:rsidP="0010341C">
      <w:pPr>
        <w:spacing w:before="240" w:after="240" w:line="276" w:lineRule="auto"/>
      </w:pPr>
      <w:r w:rsidRPr="00C63860">
        <w:t>An indicator of frailty was derived using the secondary care administrative records frailty (SCARF) index.</w:t>
      </w:r>
      <w:r w:rsidR="004B50DD" w:rsidRPr="00C63860">
        <w:rPr>
          <w:noProof/>
          <w:vertAlign w:val="superscript"/>
        </w:rPr>
        <w:t>35</w:t>
      </w:r>
      <w:r w:rsidRPr="00C63860">
        <w:t xml:space="preserve"> The SCARF index is based on the cumulative deficits model of frailty and is designed to capture 32 deficits</w:t>
      </w:r>
      <w:r w:rsidR="00701D7F" w:rsidRPr="00C63860">
        <w:t xml:space="preserve"> </w:t>
      </w:r>
      <w:r w:rsidRPr="00C63860">
        <w:t>covering functional impairment, geriatric syndromes, nutrition problems, cognition and mood, and medical comorbidities. The index uses IC</w:t>
      </w:r>
      <w:r w:rsidR="00C63860" w:rsidRPr="00C63860">
        <w:rPr>
          <w:color w:val="00B0F0"/>
        </w:rPr>
        <w:t>D-1</w:t>
      </w:r>
      <w:r w:rsidRPr="00C63860">
        <w:t>0 diagnostic codes from the index admission and from other episodes up to two years previously</w:t>
      </w:r>
      <w:r w:rsidR="00335134" w:rsidRPr="00C63860">
        <w:t>, with</w:t>
      </w:r>
      <w:r w:rsidRPr="00C63860">
        <w:t xml:space="preserve"> patients categorised as either fit or having mild, moderate or severe frailty.</w:t>
      </w:r>
    </w:p>
    <w:p w14:paraId="325F1FB7" w14:textId="5B260F27" w:rsidR="00C87DCA" w:rsidRPr="00C63860" w:rsidRDefault="00C87DCA" w:rsidP="0010341C">
      <w:pPr>
        <w:spacing w:before="240" w:after="240" w:line="276" w:lineRule="auto"/>
        <w:rPr>
          <w:b/>
          <w:bCs/>
        </w:rPr>
      </w:pPr>
      <w:r w:rsidRPr="00C63860">
        <w:rPr>
          <w:b/>
          <w:bCs/>
        </w:rPr>
        <w:t>2.</w:t>
      </w:r>
      <w:r w:rsidR="00255F95" w:rsidRPr="00C63860">
        <w:rPr>
          <w:b/>
          <w:bCs/>
        </w:rPr>
        <w:t>2.2</w:t>
      </w:r>
      <w:r w:rsidRPr="00C63860">
        <w:rPr>
          <w:b/>
          <w:bCs/>
        </w:rPr>
        <w:t xml:space="preserve"> Study eligibility</w:t>
      </w:r>
    </w:p>
    <w:p w14:paraId="06508F78" w14:textId="77777777" w:rsidR="00C87DCA" w:rsidRPr="00C63860" w:rsidRDefault="00C87DCA" w:rsidP="0010341C">
      <w:pPr>
        <w:spacing w:before="240" w:after="240" w:line="276" w:lineRule="auto"/>
      </w:pPr>
      <w:r w:rsidRPr="00C63860">
        <w:t>General study eligibility criteria for inclusion in the five cohorts were as follows:</w:t>
      </w:r>
    </w:p>
    <w:p w14:paraId="72DA701D" w14:textId="049A3186" w:rsidR="00C63860" w:rsidRPr="00C63860" w:rsidRDefault="00C87DCA" w:rsidP="0010341C">
      <w:pPr>
        <w:numPr>
          <w:ilvl w:val="0"/>
          <w:numId w:val="24"/>
        </w:numPr>
        <w:tabs>
          <w:tab w:val="clear" w:pos="360"/>
        </w:tabs>
        <w:spacing w:before="240" w:after="240" w:line="276" w:lineRule="auto"/>
        <w:ind w:left="1134" w:hanging="567"/>
        <w:contextualSpacing/>
      </w:pPr>
      <w:r w:rsidRPr="00C63860">
        <w:t xml:space="preserve">The index episode occurred in a general acute hospital between </w:t>
      </w:r>
      <w:r w:rsidR="00C63860" w:rsidRPr="00C63860">
        <w:rPr>
          <w:color w:val="00B0F0"/>
        </w:rPr>
        <w:t>1st</w:t>
      </w:r>
      <w:r w:rsidRPr="00C63860">
        <w:t xml:space="preserve"> April 2010 and 3</w:t>
      </w:r>
      <w:r w:rsidR="00C63860" w:rsidRPr="00C63860">
        <w:rPr>
          <w:color w:val="00B0F0"/>
        </w:rPr>
        <w:t>1st</w:t>
      </w:r>
      <w:r w:rsidRPr="00C63860">
        <w:t xml:space="preserve"> December 2019 (see section </w:t>
      </w:r>
      <w:r w:rsidR="00C60581" w:rsidRPr="00C63860">
        <w:t>2.2.</w:t>
      </w:r>
      <w:r w:rsidR="65695320" w:rsidRPr="00C63860">
        <w:t>5</w:t>
      </w:r>
      <w:r w:rsidRPr="00C63860">
        <w:t xml:space="preserve"> for hospital eligibility). </w:t>
      </w:r>
      <w:r w:rsidRPr="00C63860">
        <w:rPr>
          <w:highlight w:val="magenta"/>
        </w:rPr>
        <w:t>Data</w:t>
      </w:r>
      <w:r w:rsidRPr="00C63860">
        <w:t xml:space="preserve"> for the year prior to </w:t>
      </w:r>
      <w:r w:rsidR="00C63860" w:rsidRPr="00C63860">
        <w:rPr>
          <w:color w:val="00B0F0"/>
        </w:rPr>
        <w:t>1st</w:t>
      </w:r>
      <w:r w:rsidRPr="00C63860">
        <w:t xml:space="preserve"> April 2010 were used for deriving measures of comorbidity and frailty, and for calculating the </w:t>
      </w:r>
      <w:r w:rsidR="00422F56" w:rsidRPr="00C63860">
        <w:t xml:space="preserve">IV </w:t>
      </w:r>
      <w:r w:rsidRPr="00C63860">
        <w:t>(see Chapter 3). The end date of 3</w:t>
      </w:r>
      <w:r w:rsidR="00C63860" w:rsidRPr="00C63860">
        <w:rPr>
          <w:color w:val="00B0F0"/>
        </w:rPr>
        <w:t>1st</w:t>
      </w:r>
      <w:r w:rsidRPr="00C63860">
        <w:t xml:space="preserve"> December 2019 was chosen to minimise any impact that </w:t>
      </w:r>
      <w:r w:rsidR="00275EAE" w:rsidRPr="00C63860">
        <w:t>COVI</w:t>
      </w:r>
      <w:r w:rsidR="00C63860" w:rsidRPr="00C63860">
        <w:rPr>
          <w:color w:val="00B0F0"/>
        </w:rPr>
        <w:t>D-1</w:t>
      </w:r>
      <w:r w:rsidRPr="00C63860">
        <w:t>9 might have on the 90-day follow-up period used for the study</w:t>
      </w:r>
      <w:r w:rsidR="00C63860" w:rsidRPr="00C63860">
        <w:rPr>
          <w:color w:val="00B0F0"/>
        </w:rPr>
        <w:t>’</w:t>
      </w:r>
      <w:r w:rsidRPr="00C63860">
        <w:t>s primary outcome.</w:t>
      </w:r>
    </w:p>
    <w:p w14:paraId="023454F7" w14:textId="71358B4C" w:rsidR="00C63860" w:rsidRPr="00C63860" w:rsidRDefault="00C87DCA" w:rsidP="0010341C">
      <w:pPr>
        <w:numPr>
          <w:ilvl w:val="0"/>
          <w:numId w:val="24"/>
        </w:numPr>
        <w:tabs>
          <w:tab w:val="clear" w:pos="360"/>
        </w:tabs>
        <w:spacing w:before="240" w:after="240" w:line="276" w:lineRule="auto"/>
        <w:ind w:left="1134" w:hanging="567"/>
        <w:contextualSpacing/>
      </w:pPr>
      <w:r w:rsidRPr="00C63860">
        <w:t>The index episode included a primary diagnosis with an IC</w:t>
      </w:r>
      <w:r w:rsidR="00C63860" w:rsidRPr="00C63860">
        <w:rPr>
          <w:color w:val="00B0F0"/>
        </w:rPr>
        <w:t>D-1</w:t>
      </w:r>
      <w:r w:rsidRPr="00C63860">
        <w:t>0 diagnosis code that was judged relevant according to the consensus of a clinical panel. For the intestinal obstruction cohort, a relevant diagnosis was allowed in the second HES diagnosis field if the primary diagnosis was colorectal cancer.</w:t>
      </w:r>
    </w:p>
    <w:p w14:paraId="760FAAD3" w14:textId="410BF149" w:rsidR="00C87DCA" w:rsidRPr="00C63860" w:rsidRDefault="00C87DCA" w:rsidP="0010341C">
      <w:pPr>
        <w:numPr>
          <w:ilvl w:val="0"/>
          <w:numId w:val="24"/>
        </w:numPr>
        <w:tabs>
          <w:tab w:val="clear" w:pos="360"/>
        </w:tabs>
        <w:spacing w:before="240" w:after="240" w:line="276" w:lineRule="auto"/>
        <w:ind w:left="1134" w:hanging="567"/>
        <w:contextualSpacing/>
      </w:pPr>
      <w:r w:rsidRPr="00C63860">
        <w:t>The index admission was an emergency admission through the Emergency Department, or from a primary care referral. This was to ensure the cohorts included typical admissions and that that transfers from other NHS trusts (for example, to a more specialist tertiary referral centre) were excluded</w:t>
      </w:r>
    </w:p>
    <w:p w14:paraId="6642D39B" w14:textId="77777777" w:rsidR="00C63860" w:rsidRPr="00C63860" w:rsidRDefault="00C87DCA" w:rsidP="0010341C">
      <w:pPr>
        <w:numPr>
          <w:ilvl w:val="0"/>
          <w:numId w:val="24"/>
        </w:numPr>
        <w:tabs>
          <w:tab w:val="clear" w:pos="360"/>
        </w:tabs>
        <w:spacing w:before="240" w:after="240" w:line="276" w:lineRule="auto"/>
        <w:ind w:left="1134" w:hanging="567"/>
        <w:contextualSpacing/>
      </w:pPr>
      <w:r w:rsidRPr="00C63860">
        <w:t>The index episode was under a consultant general surgeon, sub-</w:t>
      </w:r>
      <w:r w:rsidRPr="00C63860">
        <w:rPr>
          <w:highlight w:val="magenta"/>
        </w:rPr>
        <w:t>speciality</w:t>
      </w:r>
      <w:r w:rsidRPr="00C63860">
        <w:t xml:space="preserve"> general surgeon, or a surgeon working in the general surgery specialty.</w:t>
      </w:r>
    </w:p>
    <w:p w14:paraId="0AB3E249" w14:textId="77777777" w:rsidR="00C63860" w:rsidRPr="00C63860" w:rsidRDefault="00C87DCA" w:rsidP="0010341C">
      <w:pPr>
        <w:numPr>
          <w:ilvl w:val="0"/>
          <w:numId w:val="24"/>
        </w:numPr>
        <w:tabs>
          <w:tab w:val="clear" w:pos="360"/>
        </w:tabs>
        <w:spacing w:before="240" w:after="240" w:line="276" w:lineRule="auto"/>
        <w:ind w:left="1134" w:hanging="567"/>
        <w:contextualSpacing/>
      </w:pPr>
      <w:r w:rsidRPr="00C63860">
        <w:t xml:space="preserve">The </w:t>
      </w:r>
      <w:bookmarkStart w:id="32" w:name="_Hlk85041938"/>
      <w:r w:rsidRPr="00C63860">
        <w:t>index episode was the first or second episode within the admission.</w:t>
      </w:r>
      <w:bookmarkEnd w:id="32"/>
    </w:p>
    <w:p w14:paraId="55857DCA" w14:textId="3CCFCB37" w:rsidR="00C87DCA" w:rsidRPr="00C63860" w:rsidRDefault="00C87DCA" w:rsidP="0010341C">
      <w:pPr>
        <w:spacing w:before="240" w:after="240" w:line="276" w:lineRule="auto"/>
      </w:pPr>
      <w:r w:rsidRPr="00C63860">
        <w:t>An index episode was deemed ineligible if any of the following criteria was met:</w:t>
      </w:r>
    </w:p>
    <w:p w14:paraId="7D378CB7" w14:textId="77777777" w:rsidR="00C87DCA" w:rsidRPr="00C63860" w:rsidRDefault="00C87DCA" w:rsidP="0010341C">
      <w:pPr>
        <w:numPr>
          <w:ilvl w:val="0"/>
          <w:numId w:val="22"/>
        </w:numPr>
        <w:spacing w:before="240" w:after="240" w:line="276" w:lineRule="auto"/>
        <w:ind w:left="1134" w:hanging="567"/>
        <w:contextualSpacing/>
      </w:pPr>
      <w:r w:rsidRPr="00C63860">
        <w:t>An emergency admission that included a relevant main diagnosis had occurred in the 12 months prior to the index episode.</w:t>
      </w:r>
    </w:p>
    <w:p w14:paraId="571E3C9E" w14:textId="2A045676" w:rsidR="00C87DCA" w:rsidRPr="00C63860" w:rsidRDefault="00C87DCA" w:rsidP="0010341C">
      <w:pPr>
        <w:numPr>
          <w:ilvl w:val="0"/>
          <w:numId w:val="22"/>
        </w:numPr>
        <w:spacing w:before="240" w:after="240" w:line="276" w:lineRule="auto"/>
        <w:ind w:left="1134" w:hanging="567"/>
        <w:contextualSpacing/>
      </w:pPr>
      <w:r w:rsidRPr="00C63860">
        <w:t>An IC</w:t>
      </w:r>
      <w:r w:rsidR="00C63860" w:rsidRPr="00C63860">
        <w:rPr>
          <w:color w:val="00B0F0"/>
        </w:rPr>
        <w:t>D-1</w:t>
      </w:r>
      <w:r w:rsidRPr="00C63860">
        <w:t>0 diagnosis for a condition deemed as an exclusion criterion according to the consensus of a clinical panel appeared in the index episode or any earlier episode within the index admission.</w:t>
      </w:r>
    </w:p>
    <w:p w14:paraId="3E086838" w14:textId="77777777" w:rsidR="00C87DCA" w:rsidRPr="00C63860" w:rsidRDefault="00C87DCA" w:rsidP="0010341C">
      <w:pPr>
        <w:numPr>
          <w:ilvl w:val="0"/>
          <w:numId w:val="22"/>
        </w:numPr>
        <w:spacing w:before="240" w:after="240" w:line="276" w:lineRule="auto"/>
        <w:ind w:left="1134" w:hanging="567"/>
        <w:contextualSpacing/>
      </w:pPr>
      <w:r w:rsidRPr="00C63860">
        <w:t>The index admission included a transfer between hospitals within a NHS trust before the index episode.</w:t>
      </w:r>
    </w:p>
    <w:p w14:paraId="6392F89E" w14:textId="77777777" w:rsidR="00C87DCA" w:rsidRPr="00C63860" w:rsidRDefault="00C87DCA" w:rsidP="0010341C">
      <w:pPr>
        <w:numPr>
          <w:ilvl w:val="0"/>
          <w:numId w:val="22"/>
        </w:numPr>
        <w:spacing w:before="240" w:after="240" w:line="276" w:lineRule="auto"/>
        <w:ind w:left="1134" w:hanging="567"/>
        <w:contextualSpacing/>
      </w:pPr>
      <w:r w:rsidRPr="00C63860">
        <w:t>A procedure defined as ES by consensus of a clinical panel occurred in any elective or emergency admission up to 90 days before the start of the index episode.</w:t>
      </w:r>
    </w:p>
    <w:p w14:paraId="4B648B07" w14:textId="35CB29F4" w:rsidR="00C63860" w:rsidRPr="00C63860" w:rsidRDefault="00C87DCA" w:rsidP="0010341C">
      <w:pPr>
        <w:numPr>
          <w:ilvl w:val="0"/>
          <w:numId w:val="22"/>
        </w:numPr>
        <w:spacing w:before="240" w:after="240" w:line="276" w:lineRule="auto"/>
        <w:ind w:left="1134" w:hanging="567"/>
        <w:contextualSpacing/>
      </w:pPr>
      <w:r w:rsidRPr="00C63860">
        <w:t xml:space="preserve">The index admission lacked a final episode </w:t>
      </w:r>
      <w:r w:rsidR="00F24009" w:rsidRPr="00C63860">
        <w:t xml:space="preserve">that </w:t>
      </w:r>
      <w:r w:rsidRPr="00C63860">
        <w:t>indicat</w:t>
      </w:r>
      <w:r w:rsidR="00F24009" w:rsidRPr="00C63860">
        <w:t>ed</w:t>
      </w:r>
      <w:r w:rsidRPr="00C63860">
        <w:t xml:space="preserve"> </w:t>
      </w:r>
      <w:r w:rsidR="00F24009" w:rsidRPr="00C63860">
        <w:t xml:space="preserve">the </w:t>
      </w:r>
      <w:r w:rsidRPr="00C63860">
        <w:t xml:space="preserve">admission was complete and </w:t>
      </w:r>
      <w:r w:rsidR="00F24009" w:rsidRPr="00C63860">
        <w:t xml:space="preserve">provided </w:t>
      </w:r>
      <w:r w:rsidRPr="00C63860">
        <w:t>the patient</w:t>
      </w:r>
      <w:r w:rsidR="00C63860" w:rsidRPr="00C63860">
        <w:rPr>
          <w:color w:val="00B0F0"/>
        </w:rPr>
        <w:t>’</w:t>
      </w:r>
      <w:r w:rsidRPr="00C63860">
        <w:t>s status at discharge.</w:t>
      </w:r>
    </w:p>
    <w:p w14:paraId="1CA95DD2" w14:textId="31FCD42D" w:rsidR="00C87DCA" w:rsidRPr="00C63860" w:rsidRDefault="00C87DCA" w:rsidP="0010341C">
      <w:pPr>
        <w:spacing w:before="240" w:after="240" w:line="276" w:lineRule="auto"/>
        <w:rPr>
          <w:b/>
          <w:bCs/>
        </w:rPr>
      </w:pPr>
      <w:bookmarkStart w:id="33" w:name="_Hlk85050223"/>
      <w:r w:rsidRPr="00C63860">
        <w:rPr>
          <w:b/>
          <w:bCs/>
        </w:rPr>
        <w:t>2.</w:t>
      </w:r>
      <w:r w:rsidR="00255F95" w:rsidRPr="00C63860">
        <w:rPr>
          <w:b/>
          <w:bCs/>
        </w:rPr>
        <w:t>2.3</w:t>
      </w:r>
      <w:r w:rsidRPr="00C63860">
        <w:rPr>
          <w:b/>
          <w:bCs/>
        </w:rPr>
        <w:t xml:space="preserve"> Clinical Panel criteria</w:t>
      </w:r>
    </w:p>
    <w:bookmarkEnd w:id="33"/>
    <w:p w14:paraId="4844275C" w14:textId="3F549A18" w:rsidR="00C87DCA" w:rsidRPr="00C63860" w:rsidRDefault="2C56D6D4" w:rsidP="0010341C">
      <w:pPr>
        <w:spacing w:before="240" w:after="240" w:line="276" w:lineRule="auto"/>
      </w:pPr>
      <w:r w:rsidRPr="00C63860">
        <w:t xml:space="preserve">A clinical panel of 11 surgeons and one anaesthetist was convened and met twice in March and April 2020. The panel had three main purposes: (i) to refine the inclusion and exclusion criteria for defining the study population; (ii) to refine the list of procedures within the definition of </w:t>
      </w:r>
      <w:r w:rsidR="00C63860" w:rsidRPr="00C63860">
        <w:rPr>
          <w:color w:val="00B0F0"/>
        </w:rPr>
        <w:t>‘</w:t>
      </w:r>
      <w:r w:rsidR="006F6056" w:rsidRPr="00C63860">
        <w:t>ES</w:t>
      </w:r>
      <w:r w:rsidR="00C63860" w:rsidRPr="00C63860">
        <w:rPr>
          <w:color w:val="00B0F0"/>
        </w:rPr>
        <w:t>’</w:t>
      </w:r>
      <w:r w:rsidRPr="00C63860">
        <w:t xml:space="preserve">; and (iii) to define </w:t>
      </w:r>
      <w:r w:rsidR="006F6056" w:rsidRPr="00C63860">
        <w:rPr>
          <w:color w:val="00B0F0"/>
          <w:highlight w:val="green"/>
        </w:rPr>
        <w:t>‘</w:t>
      </w:r>
      <w:r w:rsidR="006F6056" w:rsidRPr="00C63860">
        <w:rPr>
          <w:highlight w:val="green"/>
        </w:rPr>
        <w:t>the most appropriate</w:t>
      </w:r>
      <w:r w:rsidR="006F6056" w:rsidRPr="00C63860">
        <w:rPr>
          <w:color w:val="00B0F0"/>
          <w:highlight w:val="green"/>
        </w:rPr>
        <w:t>’</w:t>
      </w:r>
      <w:r w:rsidRPr="00C63860">
        <w:t xml:space="preserve"> time window that constitutes </w:t>
      </w:r>
      <w:r w:rsidR="00C63860" w:rsidRPr="00C63860">
        <w:rPr>
          <w:color w:val="00B0F0"/>
        </w:rPr>
        <w:t>‘</w:t>
      </w:r>
      <w:r w:rsidR="006F6056" w:rsidRPr="00C63860">
        <w:t>ES</w:t>
      </w:r>
      <w:r w:rsidR="00C63860" w:rsidRPr="00C63860">
        <w:rPr>
          <w:color w:val="00B0F0"/>
        </w:rPr>
        <w:t>’</w:t>
      </w:r>
      <w:r w:rsidRPr="00C63860">
        <w:t>. Results from the panel</w:t>
      </w:r>
      <w:r w:rsidR="00C63860" w:rsidRPr="00C63860">
        <w:rPr>
          <w:color w:val="00B0F0"/>
        </w:rPr>
        <w:t>’</w:t>
      </w:r>
      <w:r w:rsidRPr="00C63860">
        <w:t>s first meeting were collated in a summary report and circulated to panelists prior to the second meeting.</w:t>
      </w:r>
    </w:p>
    <w:p w14:paraId="35E87CCE" w14:textId="33285470" w:rsidR="00C63860" w:rsidRPr="00C63860" w:rsidRDefault="00C87DCA" w:rsidP="0010341C">
      <w:pPr>
        <w:spacing w:before="240" w:after="240" w:line="276" w:lineRule="auto"/>
      </w:pPr>
      <w:r w:rsidRPr="00C63860">
        <w:t>Cohort inclusion and exclusion criteria for each condition except hernia were discussed at the first meeting (panelists</w:t>
      </w:r>
      <w:r w:rsidR="00C63860" w:rsidRPr="00C63860">
        <w:rPr>
          <w:color w:val="00B0F0"/>
        </w:rPr>
        <w:t>’</w:t>
      </w:r>
      <w:r w:rsidRPr="00C63860">
        <w:t xml:space="preserve"> views on criteria for hernia were elicited by </w:t>
      </w:r>
      <w:r w:rsidR="00C63860" w:rsidRPr="00C63860">
        <w:rPr>
          <w:color w:val="00B0F0"/>
        </w:rPr>
        <w:t>e-mail</w:t>
      </w:r>
      <w:r w:rsidRPr="00C63860">
        <w:t xml:space="preserve"> after the meeting and incorporated in the summary report.) A list of IC</w:t>
      </w:r>
      <w:r w:rsidR="00C63860" w:rsidRPr="00C63860">
        <w:rPr>
          <w:color w:val="00B0F0"/>
        </w:rPr>
        <w:t>D-1</w:t>
      </w:r>
      <w:r w:rsidRPr="00C63860">
        <w:t>0 diagnosis codes and potential reasons for exclusion were compiled and discussed at the second meeting. Panelists privately indicated their agreement or otherwise with each potential inclusion or exclusion criterion. Inclusion criteria required at least 75% panel support</w:t>
      </w:r>
      <w:r w:rsidR="000C56D0" w:rsidRPr="00C63860">
        <w:t>,</w:t>
      </w:r>
      <w:r w:rsidRPr="00C63860">
        <w:t xml:space="preserve"> and exclusion criteria at least 25% panel support.</w:t>
      </w:r>
    </w:p>
    <w:p w14:paraId="6FBEF16D" w14:textId="314E77DE" w:rsidR="00C63860" w:rsidRPr="00C63860" w:rsidRDefault="00C87DCA" w:rsidP="0010341C">
      <w:pPr>
        <w:spacing w:before="240" w:after="240" w:line="276" w:lineRule="auto"/>
      </w:pPr>
      <w:r w:rsidRPr="00C63860">
        <w:t>The panel</w:t>
      </w:r>
      <w:r w:rsidR="00C63860" w:rsidRPr="00C63860">
        <w:rPr>
          <w:color w:val="00B0F0"/>
        </w:rPr>
        <w:t>’</w:t>
      </w:r>
      <w:r w:rsidRPr="00C63860">
        <w:t>s assessment of procedures counting as ES followed a Delphi process. A list of OPCS procedure codes was drawn up and presented at the first meeting. Panelists discussed and then privately rated the list of procedures. Panelists were also asked to indicate the time window, that is, the number of days from time zero (</w:t>
      </w:r>
      <w:r w:rsidRPr="00C63860" w:rsidDel="2A8B3879">
        <w:t>the</w:t>
      </w:r>
      <w:r w:rsidRPr="00C63860">
        <w:t xml:space="preserve"> first day of the index episode under the care of a general surgeon) within which surgery must occur to be regarded as ES. The time window question was asked separately for surgery in the index admission and surgery </w:t>
      </w:r>
      <w:r w:rsidR="0084181A" w:rsidRPr="00C63860">
        <w:t>within</w:t>
      </w:r>
      <w:r w:rsidRPr="00C63860">
        <w:t xml:space="preserve"> a readmission. This was to allow for </w:t>
      </w:r>
      <w:r w:rsidR="0084181A" w:rsidRPr="00C63860">
        <w:t xml:space="preserve">a </w:t>
      </w:r>
      <w:r w:rsidRPr="00C63860">
        <w:t>panelist</w:t>
      </w:r>
      <w:r w:rsidR="00C63860" w:rsidRPr="00C63860">
        <w:rPr>
          <w:color w:val="00B0F0"/>
        </w:rPr>
        <w:t>’</w:t>
      </w:r>
      <w:r w:rsidR="0084181A" w:rsidRPr="00C63860">
        <w:t>s</w:t>
      </w:r>
      <w:r w:rsidRPr="00C63860">
        <w:t xml:space="preserve"> opinions </w:t>
      </w:r>
      <w:r w:rsidR="0084181A" w:rsidRPr="00C63860">
        <w:t>to differ according to</w:t>
      </w:r>
      <w:r w:rsidRPr="00C63860">
        <w:t xml:space="preserve"> whether surgery in a discharged and readmitted patient could count as ES</w:t>
      </w:r>
      <w:r w:rsidR="0084181A" w:rsidRPr="00C63860">
        <w:t>, versus one for whom surgery took place within the index admission</w:t>
      </w:r>
      <w:r w:rsidRPr="00C63860">
        <w:t xml:space="preserve">. ES was defined as procedures with at least 50% panel support </w:t>
      </w:r>
      <w:r w:rsidR="0084181A" w:rsidRPr="00C63860">
        <w:t xml:space="preserve">that </w:t>
      </w:r>
      <w:r w:rsidRPr="00C63860">
        <w:t>f</w:t>
      </w:r>
      <w:r w:rsidR="0084181A" w:rsidRPr="00C63860">
        <w:t>ell</w:t>
      </w:r>
      <w:r w:rsidRPr="00C63860">
        <w:t xml:space="preserve"> within a time window </w:t>
      </w:r>
      <w:r w:rsidR="0084181A" w:rsidRPr="00C63860">
        <w:t>defined</w:t>
      </w:r>
      <w:r w:rsidRPr="00C63860">
        <w:t xml:space="preserve"> </w:t>
      </w:r>
      <w:r w:rsidR="0084181A" w:rsidRPr="00C63860">
        <w:t>according to</w:t>
      </w:r>
      <w:r w:rsidRPr="00C63860">
        <w:t xml:space="preserve"> the median panel rating. The results from the panel survey were used to define the main (base case) analyses</w:t>
      </w:r>
      <w:r w:rsidR="0084181A" w:rsidRPr="00C63860">
        <w:t xml:space="preserve"> for the subsequent assessment of clinical effectiveness</w:t>
      </w:r>
      <w:r w:rsidRPr="00C63860">
        <w:t xml:space="preserve">, with differences of opinion reflected in sensitivity analyses (see </w:t>
      </w:r>
      <w:r w:rsidR="004B3E24" w:rsidRPr="00C63860">
        <w:t>S</w:t>
      </w:r>
      <w:r w:rsidRPr="00C63860">
        <w:t xml:space="preserve">ection </w:t>
      </w:r>
      <w:r w:rsidR="004B3E24" w:rsidRPr="00C63860">
        <w:t>3.2.5</w:t>
      </w:r>
      <w:r w:rsidRPr="00C63860">
        <w:t>).</w:t>
      </w:r>
    </w:p>
    <w:p w14:paraId="12F3254F" w14:textId="098005DB" w:rsidR="00C63860" w:rsidRPr="00C63860" w:rsidRDefault="00C87DCA" w:rsidP="0010341C">
      <w:pPr>
        <w:spacing w:before="240" w:after="240" w:line="276" w:lineRule="auto"/>
        <w:rPr>
          <w:rFonts w:eastAsia="Calibri"/>
        </w:rPr>
      </w:pPr>
      <w:r w:rsidRPr="00C63860">
        <w:rPr>
          <w:bCs/>
        </w:rPr>
        <w:t xml:space="preserve">A full list of panel ratings for all diagnoses and procedures for the five conditions is included in supplementary material </w:t>
      </w:r>
      <w:r w:rsidR="004B50DD" w:rsidRPr="00C63860">
        <w:rPr>
          <w:bCs/>
        </w:rPr>
        <w:t xml:space="preserve">(see </w:t>
      </w:r>
      <w:r w:rsidR="00C92932" w:rsidRPr="00C63860">
        <w:rPr>
          <w:bCs/>
          <w:i/>
          <w:iCs/>
        </w:rPr>
        <w:t>Report</w:t>
      </w:r>
      <w:r w:rsidR="00C92932" w:rsidRPr="00C63860">
        <w:rPr>
          <w:bCs/>
        </w:rPr>
        <w:t xml:space="preserve"> </w:t>
      </w:r>
      <w:r w:rsidR="004B50DD" w:rsidRPr="00C63860">
        <w:rPr>
          <w:bCs/>
          <w:i/>
        </w:rPr>
        <w:t xml:space="preserve">Supplementary Material </w:t>
      </w:r>
      <w:r w:rsidR="00C92932" w:rsidRPr="00C63860">
        <w:rPr>
          <w:bCs/>
          <w:i/>
        </w:rPr>
        <w:t>4</w:t>
      </w:r>
      <w:r w:rsidR="004B50DD" w:rsidRPr="00C63860">
        <w:rPr>
          <w:bCs/>
        </w:rPr>
        <w:t>).</w:t>
      </w:r>
      <w:r w:rsidRPr="00C63860">
        <w:rPr>
          <w:bCs/>
        </w:rPr>
        <w:t xml:space="preserve"> A summary of panel decisions on inclusion and exclusion criteria is shown in </w:t>
      </w:r>
      <w:r w:rsidR="00C63860" w:rsidRPr="00C63860">
        <w:rPr>
          <w:bCs/>
          <w:i/>
          <w:color w:val="FF0000"/>
        </w:rPr>
        <w:t>Table 1</w:t>
      </w:r>
      <w:r w:rsidRPr="00C63860">
        <w:rPr>
          <w:bCs/>
        </w:rPr>
        <w:t>. Decisions of the panel resulted in the cholelithiasis cohort including only calculus of the gall bladder and the diverticular disease cohort only including diverticular disease of the large intestine. Incisional and parastomal hernias were not included in the hernia cohort. The panel supported exclusions to three cohorts (appendicitis, hernia and intestinal obstruction) for reasons such as pregnancy, ischaemia, and specific cancer diagnoses.</w:t>
      </w:r>
    </w:p>
    <w:p w14:paraId="29D13B96" w14:textId="00D18828" w:rsidR="00C87DCA" w:rsidRPr="00C63860" w:rsidRDefault="00C63860" w:rsidP="00531ECC">
      <w:pPr>
        <w:pStyle w:val="Caption"/>
        <w:keepNext/>
        <w:rPr>
          <w:b/>
          <w:bCs/>
          <w:color w:val="auto"/>
          <w:sz w:val="22"/>
        </w:rPr>
      </w:pPr>
      <w:bookmarkStart w:id="34" w:name="_Toc86670773"/>
      <w:r w:rsidRPr="00C63860">
        <w:rPr>
          <w:b/>
          <w:bCs/>
          <w:color w:val="FF0000"/>
          <w:sz w:val="22"/>
        </w:rPr>
        <w:t xml:space="preserve">Table </w:t>
      </w:r>
      <w:r w:rsidRPr="00C63860">
        <w:rPr>
          <w:b/>
          <w:bCs/>
          <w:noProof/>
          <w:color w:val="FF0000"/>
          <w:sz w:val="22"/>
        </w:rPr>
        <w:t>1</w:t>
      </w:r>
      <w:r w:rsidR="008B560E" w:rsidRPr="00C63860">
        <w:rPr>
          <w:b/>
          <w:bCs/>
          <w:color w:val="auto"/>
          <w:sz w:val="22"/>
        </w:rPr>
        <w:t>: Clinical panel-derived diagnostic inclusion and exclusion criteria summary</w:t>
      </w:r>
      <w:bookmarkEnd w:id="34"/>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095"/>
        <w:gridCol w:w="1386"/>
        <w:gridCol w:w="1556"/>
        <w:gridCol w:w="1592"/>
        <w:gridCol w:w="1297"/>
        <w:gridCol w:w="2100"/>
      </w:tblGrid>
      <w:tr w:rsidR="00C87DCA" w:rsidRPr="00C63860" w14:paraId="26002AEE" w14:textId="77777777" w:rsidTr="00C63860">
        <w:trPr>
          <w:cantSplit/>
        </w:trPr>
        <w:tc>
          <w:tcPr>
            <w:tcW w:w="0" w:type="auto"/>
            <w:shd w:val="clear" w:color="auto" w:fill="auto"/>
            <w:hideMark/>
          </w:tcPr>
          <w:p w14:paraId="5AE7C308" w14:textId="77777777" w:rsidR="00C87DCA" w:rsidRPr="00C63860" w:rsidRDefault="00C87DCA" w:rsidP="00C87DCA">
            <w:pPr>
              <w:jc w:val="center"/>
              <w:rPr>
                <w:b/>
              </w:rPr>
            </w:pPr>
            <w:r w:rsidRPr="00C63860">
              <w:rPr>
                <w:b/>
              </w:rPr>
              <w:t>Inclusion criteria</w:t>
            </w:r>
          </w:p>
        </w:tc>
        <w:tc>
          <w:tcPr>
            <w:tcW w:w="0" w:type="auto"/>
            <w:shd w:val="clear" w:color="auto" w:fill="auto"/>
            <w:hideMark/>
          </w:tcPr>
          <w:p w14:paraId="0831E612" w14:textId="77777777" w:rsidR="00C87DCA" w:rsidRPr="00C63860" w:rsidRDefault="00C87DCA" w:rsidP="00C87DCA">
            <w:pPr>
              <w:jc w:val="center"/>
              <w:rPr>
                <w:b/>
              </w:rPr>
            </w:pPr>
            <w:r w:rsidRPr="00C63860">
              <w:rPr>
                <w:b/>
              </w:rPr>
              <w:t>Appendicitis</w:t>
            </w:r>
          </w:p>
        </w:tc>
        <w:tc>
          <w:tcPr>
            <w:tcW w:w="0" w:type="auto"/>
            <w:shd w:val="clear" w:color="auto" w:fill="auto"/>
            <w:hideMark/>
          </w:tcPr>
          <w:p w14:paraId="7D54040C" w14:textId="77777777" w:rsidR="00C87DCA" w:rsidRPr="00C63860" w:rsidRDefault="00C87DCA" w:rsidP="00C87DCA">
            <w:pPr>
              <w:jc w:val="center"/>
              <w:rPr>
                <w:b/>
              </w:rPr>
            </w:pPr>
            <w:r w:rsidRPr="00C63860">
              <w:rPr>
                <w:b/>
              </w:rPr>
              <w:t>Cholelithiasis</w:t>
            </w:r>
          </w:p>
        </w:tc>
        <w:tc>
          <w:tcPr>
            <w:tcW w:w="0" w:type="auto"/>
            <w:shd w:val="clear" w:color="auto" w:fill="auto"/>
            <w:hideMark/>
          </w:tcPr>
          <w:p w14:paraId="1B2C3374" w14:textId="77777777" w:rsidR="00C87DCA" w:rsidRPr="00C63860" w:rsidRDefault="00C87DCA" w:rsidP="00C87DCA">
            <w:pPr>
              <w:jc w:val="center"/>
              <w:rPr>
                <w:b/>
              </w:rPr>
            </w:pPr>
            <w:r w:rsidRPr="00C63860">
              <w:rPr>
                <w:b/>
              </w:rPr>
              <w:t>Diverticular disease</w:t>
            </w:r>
          </w:p>
        </w:tc>
        <w:tc>
          <w:tcPr>
            <w:tcW w:w="0" w:type="auto"/>
            <w:shd w:val="clear" w:color="auto" w:fill="auto"/>
            <w:hideMark/>
          </w:tcPr>
          <w:p w14:paraId="09BE9C9F" w14:textId="77777777" w:rsidR="00C87DCA" w:rsidRPr="00C63860" w:rsidRDefault="00C87DCA" w:rsidP="00C87DCA">
            <w:pPr>
              <w:jc w:val="center"/>
              <w:rPr>
                <w:b/>
              </w:rPr>
            </w:pPr>
            <w:r w:rsidRPr="00C63860">
              <w:rPr>
                <w:b/>
              </w:rPr>
              <w:t>Hernia</w:t>
            </w:r>
          </w:p>
        </w:tc>
        <w:tc>
          <w:tcPr>
            <w:tcW w:w="0" w:type="auto"/>
            <w:shd w:val="clear" w:color="auto" w:fill="auto"/>
            <w:hideMark/>
          </w:tcPr>
          <w:p w14:paraId="708B2B11" w14:textId="77777777" w:rsidR="00C87DCA" w:rsidRPr="00C63860" w:rsidRDefault="00C87DCA" w:rsidP="00C87DCA">
            <w:pPr>
              <w:jc w:val="center"/>
              <w:rPr>
                <w:b/>
              </w:rPr>
            </w:pPr>
            <w:r w:rsidRPr="00C63860">
              <w:rPr>
                <w:b/>
              </w:rPr>
              <w:t>Intestinal obstruction</w:t>
            </w:r>
          </w:p>
        </w:tc>
      </w:tr>
      <w:tr w:rsidR="00C87DCA" w:rsidRPr="00C63860" w14:paraId="7AD9AE2E" w14:textId="77777777" w:rsidTr="00C63860">
        <w:trPr>
          <w:cantSplit/>
        </w:trPr>
        <w:tc>
          <w:tcPr>
            <w:tcW w:w="0" w:type="auto"/>
            <w:shd w:val="clear" w:color="auto" w:fill="auto"/>
            <w:hideMark/>
          </w:tcPr>
          <w:p w14:paraId="6F7BBAC2" w14:textId="77777777" w:rsidR="00C87DCA" w:rsidRPr="00C63860" w:rsidRDefault="00C87DCA" w:rsidP="00C87DCA">
            <w:pPr>
              <w:jc w:val="center"/>
              <w:rPr>
                <w:bCs/>
              </w:rPr>
            </w:pPr>
            <w:r w:rsidRPr="00C63860">
              <w:rPr>
                <w:bCs/>
              </w:rPr>
              <w:t>Agreed for inclusion</w:t>
            </w:r>
          </w:p>
        </w:tc>
        <w:tc>
          <w:tcPr>
            <w:tcW w:w="0" w:type="auto"/>
            <w:shd w:val="clear" w:color="auto" w:fill="auto"/>
            <w:hideMark/>
          </w:tcPr>
          <w:p w14:paraId="78B89D8F" w14:textId="77777777" w:rsidR="00C87DCA" w:rsidRPr="00C63860" w:rsidRDefault="00C87DCA" w:rsidP="00C87DCA">
            <w:pPr>
              <w:jc w:val="center"/>
              <w:rPr>
                <w:bCs/>
              </w:rPr>
            </w:pPr>
            <w:r w:rsidRPr="00C63860">
              <w:rPr>
                <w:bCs/>
              </w:rPr>
              <w:t>All included</w:t>
            </w:r>
          </w:p>
        </w:tc>
        <w:tc>
          <w:tcPr>
            <w:tcW w:w="0" w:type="auto"/>
            <w:shd w:val="clear" w:color="auto" w:fill="auto"/>
            <w:hideMark/>
          </w:tcPr>
          <w:p w14:paraId="5D81652B" w14:textId="77777777" w:rsidR="00C87DCA" w:rsidRPr="00C63860" w:rsidRDefault="00C87DCA" w:rsidP="00C87DCA">
            <w:pPr>
              <w:jc w:val="center"/>
              <w:rPr>
                <w:bCs/>
              </w:rPr>
            </w:pPr>
            <w:r w:rsidRPr="00C63860">
              <w:rPr>
                <w:bCs/>
              </w:rPr>
              <w:t>Calculus of gall bladder</w:t>
            </w:r>
          </w:p>
        </w:tc>
        <w:tc>
          <w:tcPr>
            <w:tcW w:w="0" w:type="auto"/>
            <w:shd w:val="clear" w:color="auto" w:fill="auto"/>
            <w:hideMark/>
          </w:tcPr>
          <w:p w14:paraId="481303F4" w14:textId="77777777" w:rsidR="00C87DCA" w:rsidRPr="00C63860" w:rsidRDefault="00C87DCA" w:rsidP="00C87DCA">
            <w:pPr>
              <w:jc w:val="center"/>
              <w:rPr>
                <w:bCs/>
              </w:rPr>
            </w:pPr>
            <w:r w:rsidRPr="00C63860">
              <w:rPr>
                <w:bCs/>
              </w:rPr>
              <w:t>Large intestine</w:t>
            </w:r>
          </w:p>
        </w:tc>
        <w:tc>
          <w:tcPr>
            <w:tcW w:w="0" w:type="auto"/>
            <w:shd w:val="clear" w:color="auto" w:fill="auto"/>
            <w:hideMark/>
          </w:tcPr>
          <w:p w14:paraId="1C8B7F9C" w14:textId="77777777" w:rsidR="00C87DCA" w:rsidRPr="00C63860" w:rsidRDefault="00C87DCA" w:rsidP="00C87DCA">
            <w:pPr>
              <w:jc w:val="center"/>
              <w:rPr>
                <w:bCs/>
              </w:rPr>
            </w:pPr>
            <w:r w:rsidRPr="00C63860">
              <w:rPr>
                <w:bCs/>
              </w:rPr>
              <w:t>Inguinal; Femoral; Umbilical; Ventral</w:t>
            </w:r>
          </w:p>
        </w:tc>
        <w:tc>
          <w:tcPr>
            <w:tcW w:w="0" w:type="auto"/>
            <w:shd w:val="clear" w:color="auto" w:fill="auto"/>
            <w:hideMark/>
          </w:tcPr>
          <w:p w14:paraId="2EAB4097" w14:textId="77777777" w:rsidR="00C87DCA" w:rsidRPr="00C63860" w:rsidRDefault="00C87DCA" w:rsidP="00C87DCA">
            <w:pPr>
              <w:jc w:val="center"/>
              <w:rPr>
                <w:bCs/>
              </w:rPr>
            </w:pPr>
            <w:r w:rsidRPr="00C63860">
              <w:rPr>
                <w:bCs/>
              </w:rPr>
              <w:t>Intestinal adhesions, Intussusception; Volvulus; Gallstone ileus; Other obstruction</w:t>
            </w:r>
          </w:p>
        </w:tc>
      </w:tr>
      <w:tr w:rsidR="00C87DCA" w:rsidRPr="00C63860" w14:paraId="4A95EC38" w14:textId="77777777" w:rsidTr="00C63860">
        <w:trPr>
          <w:cantSplit/>
        </w:trPr>
        <w:tc>
          <w:tcPr>
            <w:tcW w:w="0" w:type="auto"/>
            <w:shd w:val="clear" w:color="auto" w:fill="auto"/>
            <w:hideMark/>
          </w:tcPr>
          <w:p w14:paraId="0BFC05F0" w14:textId="77777777" w:rsidR="00C87DCA" w:rsidRPr="00C63860" w:rsidRDefault="00C87DCA" w:rsidP="00C87DCA">
            <w:pPr>
              <w:jc w:val="center"/>
              <w:rPr>
                <w:bCs/>
              </w:rPr>
            </w:pPr>
            <w:r w:rsidRPr="00C63860">
              <w:rPr>
                <w:bCs/>
              </w:rPr>
              <w:t>Dropped from inclusion</w:t>
            </w:r>
          </w:p>
        </w:tc>
        <w:tc>
          <w:tcPr>
            <w:tcW w:w="0" w:type="auto"/>
            <w:shd w:val="clear" w:color="auto" w:fill="auto"/>
            <w:hideMark/>
          </w:tcPr>
          <w:p w14:paraId="5E7C78F7" w14:textId="77777777" w:rsidR="00C87DCA" w:rsidRPr="00C63860" w:rsidRDefault="00C87DCA" w:rsidP="00C87DCA">
            <w:pPr>
              <w:jc w:val="center"/>
              <w:rPr>
                <w:bCs/>
              </w:rPr>
            </w:pPr>
            <w:r w:rsidRPr="00C63860">
              <w:rPr>
                <w:bCs/>
              </w:rPr>
              <w:t>None</w:t>
            </w:r>
          </w:p>
        </w:tc>
        <w:tc>
          <w:tcPr>
            <w:tcW w:w="0" w:type="auto"/>
            <w:shd w:val="clear" w:color="auto" w:fill="auto"/>
            <w:hideMark/>
          </w:tcPr>
          <w:p w14:paraId="68397F15" w14:textId="77777777" w:rsidR="00C87DCA" w:rsidRPr="00C63860" w:rsidRDefault="00C87DCA" w:rsidP="00C87DCA">
            <w:pPr>
              <w:jc w:val="center"/>
              <w:rPr>
                <w:bCs/>
              </w:rPr>
            </w:pPr>
            <w:r w:rsidRPr="00C63860">
              <w:rPr>
                <w:bCs/>
              </w:rPr>
              <w:t>Calculus of bile duct; Other cholelithiasis</w:t>
            </w:r>
          </w:p>
        </w:tc>
        <w:tc>
          <w:tcPr>
            <w:tcW w:w="0" w:type="auto"/>
            <w:shd w:val="clear" w:color="auto" w:fill="auto"/>
            <w:hideMark/>
          </w:tcPr>
          <w:p w14:paraId="00CD434A" w14:textId="77777777" w:rsidR="00C87DCA" w:rsidRPr="00C63860" w:rsidRDefault="00C87DCA" w:rsidP="00C87DCA">
            <w:pPr>
              <w:jc w:val="center"/>
              <w:rPr>
                <w:bCs/>
              </w:rPr>
            </w:pPr>
            <w:r w:rsidRPr="00C63860">
              <w:rPr>
                <w:bCs/>
              </w:rPr>
              <w:t>Small intestine; Small and large intestine; Unspecified</w:t>
            </w:r>
          </w:p>
        </w:tc>
        <w:tc>
          <w:tcPr>
            <w:tcW w:w="0" w:type="auto"/>
            <w:shd w:val="clear" w:color="auto" w:fill="auto"/>
            <w:hideMark/>
          </w:tcPr>
          <w:p w14:paraId="5D9B2E9F" w14:textId="77777777" w:rsidR="00C87DCA" w:rsidRPr="00C63860" w:rsidRDefault="00C87DCA" w:rsidP="00C87DCA">
            <w:pPr>
              <w:jc w:val="center"/>
              <w:rPr>
                <w:bCs/>
              </w:rPr>
            </w:pPr>
            <w:r w:rsidRPr="00C63860">
              <w:rPr>
                <w:bCs/>
              </w:rPr>
              <w:t>Incisional; Parastomal</w:t>
            </w:r>
          </w:p>
        </w:tc>
        <w:tc>
          <w:tcPr>
            <w:tcW w:w="0" w:type="auto"/>
            <w:shd w:val="clear" w:color="auto" w:fill="auto"/>
            <w:hideMark/>
          </w:tcPr>
          <w:p w14:paraId="25586135" w14:textId="77777777" w:rsidR="00C87DCA" w:rsidRPr="00C63860" w:rsidRDefault="00C87DCA" w:rsidP="00C87DCA">
            <w:pPr>
              <w:jc w:val="center"/>
              <w:rPr>
                <w:bCs/>
              </w:rPr>
            </w:pPr>
            <w:r w:rsidRPr="00C63860">
              <w:t>Paralytic ileus; Other impaction; Ileus, unspecified</w:t>
            </w:r>
          </w:p>
        </w:tc>
      </w:tr>
      <w:tr w:rsidR="00C87DCA" w:rsidRPr="00C63860" w14:paraId="235697DA" w14:textId="77777777" w:rsidTr="00C63860">
        <w:trPr>
          <w:cantSplit/>
        </w:trPr>
        <w:tc>
          <w:tcPr>
            <w:tcW w:w="0" w:type="auto"/>
            <w:shd w:val="clear" w:color="auto" w:fill="auto"/>
            <w:hideMark/>
          </w:tcPr>
          <w:p w14:paraId="7494027F" w14:textId="77777777" w:rsidR="00C87DCA" w:rsidRPr="00C63860" w:rsidRDefault="00C87DCA" w:rsidP="00C87DCA">
            <w:pPr>
              <w:jc w:val="center"/>
              <w:rPr>
                <w:b/>
              </w:rPr>
            </w:pPr>
            <w:r w:rsidRPr="00C63860">
              <w:rPr>
                <w:b/>
              </w:rPr>
              <w:t>Exclusion criteria</w:t>
            </w:r>
          </w:p>
        </w:tc>
        <w:tc>
          <w:tcPr>
            <w:tcW w:w="0" w:type="auto"/>
            <w:shd w:val="clear" w:color="auto" w:fill="auto"/>
          </w:tcPr>
          <w:p w14:paraId="6D30C063" w14:textId="77777777" w:rsidR="00C87DCA" w:rsidRPr="00C63860" w:rsidRDefault="00C87DCA" w:rsidP="00C87DCA">
            <w:pPr>
              <w:jc w:val="center"/>
              <w:rPr>
                <w:b/>
              </w:rPr>
            </w:pPr>
          </w:p>
        </w:tc>
        <w:tc>
          <w:tcPr>
            <w:tcW w:w="0" w:type="auto"/>
            <w:shd w:val="clear" w:color="auto" w:fill="auto"/>
          </w:tcPr>
          <w:p w14:paraId="025198B8" w14:textId="77777777" w:rsidR="00C87DCA" w:rsidRPr="00C63860" w:rsidRDefault="00C87DCA" w:rsidP="00C87DCA">
            <w:pPr>
              <w:jc w:val="center"/>
              <w:rPr>
                <w:b/>
              </w:rPr>
            </w:pPr>
          </w:p>
        </w:tc>
        <w:tc>
          <w:tcPr>
            <w:tcW w:w="0" w:type="auto"/>
            <w:shd w:val="clear" w:color="auto" w:fill="auto"/>
          </w:tcPr>
          <w:p w14:paraId="0F5C7CF9" w14:textId="77777777" w:rsidR="00C87DCA" w:rsidRPr="00C63860" w:rsidRDefault="00C87DCA" w:rsidP="00C87DCA">
            <w:pPr>
              <w:jc w:val="center"/>
              <w:rPr>
                <w:b/>
              </w:rPr>
            </w:pPr>
          </w:p>
        </w:tc>
        <w:tc>
          <w:tcPr>
            <w:tcW w:w="0" w:type="auto"/>
            <w:shd w:val="clear" w:color="auto" w:fill="auto"/>
          </w:tcPr>
          <w:p w14:paraId="6A3323CA" w14:textId="77777777" w:rsidR="00C87DCA" w:rsidRPr="00C63860" w:rsidRDefault="00C87DCA" w:rsidP="00C87DCA">
            <w:pPr>
              <w:jc w:val="center"/>
              <w:rPr>
                <w:b/>
              </w:rPr>
            </w:pPr>
          </w:p>
        </w:tc>
        <w:tc>
          <w:tcPr>
            <w:tcW w:w="0" w:type="auto"/>
            <w:shd w:val="clear" w:color="auto" w:fill="auto"/>
          </w:tcPr>
          <w:p w14:paraId="46F0EA3A" w14:textId="77777777" w:rsidR="00C87DCA" w:rsidRPr="00C63860" w:rsidRDefault="00C87DCA" w:rsidP="00C87DCA">
            <w:pPr>
              <w:jc w:val="center"/>
              <w:rPr>
                <w:b/>
              </w:rPr>
            </w:pPr>
          </w:p>
        </w:tc>
      </w:tr>
      <w:tr w:rsidR="00C87DCA" w:rsidRPr="00C63860" w14:paraId="09F6424C" w14:textId="77777777" w:rsidTr="00C63860">
        <w:trPr>
          <w:cantSplit/>
        </w:trPr>
        <w:tc>
          <w:tcPr>
            <w:tcW w:w="0" w:type="auto"/>
            <w:shd w:val="clear" w:color="auto" w:fill="auto"/>
            <w:hideMark/>
          </w:tcPr>
          <w:p w14:paraId="4C0C456F" w14:textId="77777777" w:rsidR="00C87DCA" w:rsidRPr="00C63860" w:rsidRDefault="00C87DCA" w:rsidP="00C87DCA">
            <w:pPr>
              <w:jc w:val="center"/>
              <w:rPr>
                <w:bCs/>
              </w:rPr>
            </w:pPr>
            <w:r w:rsidRPr="00C63860">
              <w:rPr>
                <w:bCs/>
              </w:rPr>
              <w:t>Agreed for exclusion</w:t>
            </w:r>
          </w:p>
        </w:tc>
        <w:tc>
          <w:tcPr>
            <w:tcW w:w="0" w:type="auto"/>
            <w:shd w:val="clear" w:color="auto" w:fill="auto"/>
            <w:hideMark/>
          </w:tcPr>
          <w:p w14:paraId="0DD098DB" w14:textId="77777777" w:rsidR="00C87DCA" w:rsidRPr="00C63860" w:rsidRDefault="00C87DCA" w:rsidP="00C87DCA">
            <w:pPr>
              <w:jc w:val="center"/>
              <w:rPr>
                <w:bCs/>
              </w:rPr>
            </w:pPr>
            <w:r w:rsidRPr="00C63860">
              <w:rPr>
                <w:bCs/>
              </w:rPr>
              <w:t>Pregnancy; Appendiceal cancer</w:t>
            </w:r>
          </w:p>
        </w:tc>
        <w:tc>
          <w:tcPr>
            <w:tcW w:w="0" w:type="auto"/>
            <w:shd w:val="clear" w:color="auto" w:fill="auto"/>
          </w:tcPr>
          <w:p w14:paraId="1684C1C2" w14:textId="77777777" w:rsidR="00C87DCA" w:rsidRPr="00C63860" w:rsidRDefault="00C87DCA" w:rsidP="00C87DCA">
            <w:pPr>
              <w:jc w:val="center"/>
              <w:rPr>
                <w:bCs/>
              </w:rPr>
            </w:pPr>
          </w:p>
        </w:tc>
        <w:tc>
          <w:tcPr>
            <w:tcW w:w="0" w:type="auto"/>
            <w:shd w:val="clear" w:color="auto" w:fill="auto"/>
          </w:tcPr>
          <w:p w14:paraId="7E09EBCA" w14:textId="77777777" w:rsidR="00C87DCA" w:rsidRPr="00C63860" w:rsidRDefault="00C87DCA" w:rsidP="00C87DCA">
            <w:pPr>
              <w:jc w:val="center"/>
              <w:rPr>
                <w:bCs/>
              </w:rPr>
            </w:pPr>
          </w:p>
        </w:tc>
        <w:tc>
          <w:tcPr>
            <w:tcW w:w="0" w:type="auto"/>
            <w:shd w:val="clear" w:color="auto" w:fill="auto"/>
            <w:hideMark/>
          </w:tcPr>
          <w:p w14:paraId="5DA7AD0D" w14:textId="77777777" w:rsidR="00C87DCA" w:rsidRPr="00C63860" w:rsidRDefault="00C87DCA" w:rsidP="00C87DCA">
            <w:pPr>
              <w:jc w:val="center"/>
              <w:rPr>
                <w:bCs/>
              </w:rPr>
            </w:pPr>
            <w:r w:rsidRPr="00C63860">
              <w:rPr>
                <w:bCs/>
              </w:rPr>
              <w:t>Pregnancy; Ischaemia; Cancer.</w:t>
            </w:r>
          </w:p>
        </w:tc>
        <w:tc>
          <w:tcPr>
            <w:tcW w:w="0" w:type="auto"/>
            <w:shd w:val="clear" w:color="auto" w:fill="auto"/>
            <w:hideMark/>
          </w:tcPr>
          <w:p w14:paraId="04A6B18E" w14:textId="77777777" w:rsidR="00C87DCA" w:rsidRPr="00C63860" w:rsidRDefault="00C87DCA" w:rsidP="00C87DCA">
            <w:pPr>
              <w:jc w:val="center"/>
              <w:rPr>
                <w:bCs/>
              </w:rPr>
            </w:pPr>
            <w:r w:rsidRPr="00C63860">
              <w:rPr>
                <w:bCs/>
              </w:rPr>
              <w:t>Colorectal cancer with metastases; Gynaecological cancer; Ischaemia</w:t>
            </w:r>
          </w:p>
        </w:tc>
      </w:tr>
      <w:tr w:rsidR="00C87DCA" w:rsidRPr="00C63860" w14:paraId="2FAA03A4" w14:textId="77777777" w:rsidTr="00C63860">
        <w:trPr>
          <w:cantSplit/>
        </w:trPr>
        <w:tc>
          <w:tcPr>
            <w:tcW w:w="0" w:type="auto"/>
            <w:shd w:val="clear" w:color="auto" w:fill="auto"/>
            <w:hideMark/>
          </w:tcPr>
          <w:p w14:paraId="475A0971" w14:textId="77777777" w:rsidR="00C87DCA" w:rsidRPr="00C63860" w:rsidRDefault="00C87DCA" w:rsidP="00C87DCA">
            <w:pPr>
              <w:jc w:val="center"/>
              <w:rPr>
                <w:bCs/>
              </w:rPr>
            </w:pPr>
            <w:r w:rsidRPr="00C63860">
              <w:rPr>
                <w:bCs/>
              </w:rPr>
              <w:t>Dropped for exclusion</w:t>
            </w:r>
          </w:p>
        </w:tc>
        <w:tc>
          <w:tcPr>
            <w:tcW w:w="0" w:type="auto"/>
            <w:shd w:val="clear" w:color="auto" w:fill="auto"/>
          </w:tcPr>
          <w:p w14:paraId="642917DA" w14:textId="77777777" w:rsidR="00C87DCA" w:rsidRPr="00C63860" w:rsidRDefault="00C87DCA" w:rsidP="00C87DCA">
            <w:pPr>
              <w:jc w:val="center"/>
              <w:rPr>
                <w:bCs/>
              </w:rPr>
            </w:pPr>
          </w:p>
        </w:tc>
        <w:tc>
          <w:tcPr>
            <w:tcW w:w="0" w:type="auto"/>
            <w:shd w:val="clear" w:color="auto" w:fill="auto"/>
          </w:tcPr>
          <w:p w14:paraId="1785044D" w14:textId="77777777" w:rsidR="00C87DCA" w:rsidRPr="00C63860" w:rsidRDefault="00C87DCA" w:rsidP="00C87DCA">
            <w:pPr>
              <w:jc w:val="center"/>
              <w:rPr>
                <w:bCs/>
              </w:rPr>
            </w:pPr>
          </w:p>
        </w:tc>
        <w:tc>
          <w:tcPr>
            <w:tcW w:w="0" w:type="auto"/>
            <w:shd w:val="clear" w:color="auto" w:fill="auto"/>
          </w:tcPr>
          <w:p w14:paraId="6502CC59" w14:textId="77777777" w:rsidR="00C87DCA" w:rsidRPr="00C63860" w:rsidRDefault="00C87DCA" w:rsidP="00C87DCA">
            <w:pPr>
              <w:jc w:val="center"/>
              <w:rPr>
                <w:bCs/>
              </w:rPr>
            </w:pPr>
          </w:p>
        </w:tc>
        <w:tc>
          <w:tcPr>
            <w:tcW w:w="0" w:type="auto"/>
            <w:shd w:val="clear" w:color="auto" w:fill="auto"/>
          </w:tcPr>
          <w:p w14:paraId="37664C06" w14:textId="77777777" w:rsidR="00C87DCA" w:rsidRPr="00C63860" w:rsidRDefault="00C87DCA" w:rsidP="00C87DCA">
            <w:pPr>
              <w:jc w:val="center"/>
              <w:rPr>
                <w:bCs/>
              </w:rPr>
            </w:pPr>
          </w:p>
        </w:tc>
        <w:tc>
          <w:tcPr>
            <w:tcW w:w="0" w:type="auto"/>
            <w:shd w:val="clear" w:color="auto" w:fill="auto"/>
          </w:tcPr>
          <w:p w14:paraId="6A7F45EA" w14:textId="77777777" w:rsidR="00C87DCA" w:rsidRPr="00C63860" w:rsidRDefault="00C87DCA" w:rsidP="00C87DCA">
            <w:pPr>
              <w:jc w:val="center"/>
              <w:rPr>
                <w:bCs/>
              </w:rPr>
            </w:pPr>
          </w:p>
        </w:tc>
      </w:tr>
    </w:tbl>
    <w:p w14:paraId="285A780E" w14:textId="77777777" w:rsidR="00C87DCA" w:rsidRPr="00C63860" w:rsidRDefault="00C87DCA" w:rsidP="00C87DCA">
      <w:pPr>
        <w:spacing w:after="160" w:line="256" w:lineRule="auto"/>
        <w:rPr>
          <w:bCs/>
          <w:sz w:val="24"/>
          <w:szCs w:val="24"/>
        </w:rPr>
      </w:pPr>
    </w:p>
    <w:p w14:paraId="1BB3C5C8" w14:textId="76CE4211" w:rsidR="00114784" w:rsidRPr="00C63860" w:rsidRDefault="00C87DCA" w:rsidP="0020028A">
      <w:pPr>
        <w:spacing w:after="160" w:line="276" w:lineRule="auto"/>
        <w:rPr>
          <w:bCs/>
        </w:rPr>
      </w:pPr>
      <w:r w:rsidRPr="00C63860">
        <w:rPr>
          <w:bCs/>
        </w:rPr>
        <w:t>A majority of procedures rated by the panel were defined as ES for four of the conditions (</w:t>
      </w:r>
      <w:r w:rsidR="00C63860" w:rsidRPr="00C63860">
        <w:rPr>
          <w:bCs/>
          <w:i/>
          <w:color w:val="FF0000"/>
        </w:rPr>
        <w:t>Table 2</w:t>
      </w:r>
      <w:r w:rsidRPr="00C63860">
        <w:rPr>
          <w:bCs/>
        </w:rPr>
        <w:t>). The exception was cholelithiasis</w:t>
      </w:r>
      <w:r w:rsidR="00114784" w:rsidRPr="00C63860">
        <w:rPr>
          <w:bCs/>
        </w:rPr>
        <w:t xml:space="preserve"> for which</w:t>
      </w:r>
      <w:r w:rsidRPr="00C63860">
        <w:rPr>
          <w:bCs/>
        </w:rPr>
        <w:t xml:space="preserve"> less than a quarter of procedures were defined as ES. Two post-hoc changes to the panel</w:t>
      </w:r>
      <w:r w:rsidR="00C63860" w:rsidRPr="00C63860">
        <w:rPr>
          <w:bCs/>
          <w:color w:val="00B0F0"/>
        </w:rPr>
        <w:t>’</w:t>
      </w:r>
      <w:r w:rsidRPr="00C63860">
        <w:rPr>
          <w:bCs/>
        </w:rPr>
        <w:t xml:space="preserve">s classification of ES procedures were made, see footnotes to </w:t>
      </w:r>
      <w:r w:rsidR="00C63860" w:rsidRPr="00C63860">
        <w:rPr>
          <w:bCs/>
          <w:i/>
          <w:color w:val="FF0000"/>
        </w:rPr>
        <w:t>Table 2</w:t>
      </w:r>
      <w:r w:rsidRPr="00C63860">
        <w:rPr>
          <w:bCs/>
        </w:rPr>
        <w:t>.</w:t>
      </w:r>
    </w:p>
    <w:p w14:paraId="69048C2D" w14:textId="77777777" w:rsidR="00C63860" w:rsidRPr="00C63860" w:rsidRDefault="00C87DCA" w:rsidP="0020028A">
      <w:pPr>
        <w:spacing w:after="160" w:line="276" w:lineRule="auto"/>
        <w:rPr>
          <w:bCs/>
        </w:rPr>
      </w:pPr>
      <w:r w:rsidRPr="00C63860">
        <w:rPr>
          <w:bCs/>
        </w:rPr>
        <w:t xml:space="preserve">Hernia surgery had the strictest timing threshold of three days for both an ES procedure in the index admission or in a readmission. The threshold for intestinal obstruction, cholelithiasis and appendicitis was seven days in either an index or readmission. </w:t>
      </w:r>
      <w:r w:rsidR="0015533A" w:rsidRPr="00C63860">
        <w:rPr>
          <w:bCs/>
        </w:rPr>
        <w:t>For diverticular disease</w:t>
      </w:r>
      <w:r w:rsidR="00114784" w:rsidRPr="00C63860">
        <w:rPr>
          <w:bCs/>
        </w:rPr>
        <w:t>,</w:t>
      </w:r>
      <w:r w:rsidR="0015533A" w:rsidRPr="00C63860">
        <w:rPr>
          <w:bCs/>
        </w:rPr>
        <w:t xml:space="preserve"> s</w:t>
      </w:r>
      <w:r w:rsidRPr="00C63860">
        <w:rPr>
          <w:bCs/>
        </w:rPr>
        <w:t xml:space="preserve">urgery could be classified as ES if it occurred at any time in an index admission or within </w:t>
      </w:r>
      <w:r w:rsidR="0015533A" w:rsidRPr="00C63860">
        <w:rPr>
          <w:bCs/>
        </w:rPr>
        <w:t>14</w:t>
      </w:r>
      <w:r w:rsidRPr="00C63860">
        <w:rPr>
          <w:bCs/>
        </w:rPr>
        <w:t xml:space="preserve"> days in a readmission.</w:t>
      </w:r>
    </w:p>
    <w:p w14:paraId="5F66B83B" w14:textId="453AB078" w:rsidR="00C87DCA" w:rsidRPr="00C63860" w:rsidRDefault="00C63860" w:rsidP="007B7FC1">
      <w:pPr>
        <w:pStyle w:val="Caption"/>
        <w:keepNext/>
        <w:rPr>
          <w:b/>
          <w:bCs/>
          <w:color w:val="auto"/>
          <w:sz w:val="22"/>
          <w:szCs w:val="22"/>
        </w:rPr>
      </w:pPr>
      <w:bookmarkStart w:id="35" w:name="_Toc86670774"/>
      <w:r w:rsidRPr="00C63860">
        <w:rPr>
          <w:b/>
          <w:bCs/>
          <w:color w:val="FF0000"/>
          <w:sz w:val="22"/>
          <w:szCs w:val="22"/>
        </w:rPr>
        <w:t xml:space="preserve">Table </w:t>
      </w:r>
      <w:r w:rsidRPr="00C63860">
        <w:rPr>
          <w:b/>
          <w:bCs/>
          <w:noProof/>
          <w:color w:val="FF0000"/>
          <w:sz w:val="22"/>
          <w:szCs w:val="22"/>
        </w:rPr>
        <w:t>2</w:t>
      </w:r>
      <w:r w:rsidR="00531ECC" w:rsidRPr="00C63860">
        <w:rPr>
          <w:b/>
          <w:bCs/>
          <w:color w:val="auto"/>
          <w:sz w:val="22"/>
          <w:szCs w:val="22"/>
        </w:rPr>
        <w:t>: Clinical panel-derived definitions of emergency surgery for each condition</w:t>
      </w:r>
      <w:bookmarkEnd w:id="35"/>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973"/>
        <w:gridCol w:w="1709"/>
        <w:gridCol w:w="1600"/>
        <w:gridCol w:w="1690"/>
        <w:gridCol w:w="750"/>
        <w:gridCol w:w="1304"/>
      </w:tblGrid>
      <w:tr w:rsidR="00C87DCA" w:rsidRPr="00C63860" w14:paraId="2268FBF6" w14:textId="77777777" w:rsidTr="00C63860">
        <w:trPr>
          <w:cantSplit/>
        </w:trPr>
        <w:tc>
          <w:tcPr>
            <w:tcW w:w="0" w:type="auto"/>
            <w:shd w:val="clear" w:color="auto" w:fill="auto"/>
          </w:tcPr>
          <w:p w14:paraId="02B6A72C" w14:textId="77777777" w:rsidR="00C87DCA" w:rsidRPr="00C63860" w:rsidRDefault="00C87DCA" w:rsidP="00C87DCA">
            <w:pPr>
              <w:rPr>
                <w:b/>
              </w:rPr>
            </w:pPr>
          </w:p>
        </w:tc>
        <w:tc>
          <w:tcPr>
            <w:tcW w:w="0" w:type="auto"/>
            <w:shd w:val="clear" w:color="auto" w:fill="auto"/>
            <w:hideMark/>
          </w:tcPr>
          <w:p w14:paraId="34380080" w14:textId="77777777" w:rsidR="00C87DCA" w:rsidRPr="00C63860" w:rsidRDefault="00C87DCA" w:rsidP="00C87DCA">
            <w:pPr>
              <w:jc w:val="center"/>
              <w:rPr>
                <w:b/>
              </w:rPr>
            </w:pPr>
            <w:r w:rsidRPr="00C63860">
              <w:rPr>
                <w:b/>
              </w:rPr>
              <w:t>Appendicitis</w:t>
            </w:r>
          </w:p>
        </w:tc>
        <w:tc>
          <w:tcPr>
            <w:tcW w:w="0" w:type="auto"/>
            <w:shd w:val="clear" w:color="auto" w:fill="auto"/>
            <w:hideMark/>
          </w:tcPr>
          <w:p w14:paraId="63780D36" w14:textId="77777777" w:rsidR="00C87DCA" w:rsidRPr="00C63860" w:rsidRDefault="00C87DCA" w:rsidP="00C87DCA">
            <w:pPr>
              <w:jc w:val="center"/>
              <w:rPr>
                <w:b/>
              </w:rPr>
            </w:pPr>
            <w:r w:rsidRPr="00C63860">
              <w:rPr>
                <w:b/>
              </w:rPr>
              <w:t>Cholelithiasis</w:t>
            </w:r>
          </w:p>
        </w:tc>
        <w:tc>
          <w:tcPr>
            <w:tcW w:w="0" w:type="auto"/>
            <w:shd w:val="clear" w:color="auto" w:fill="auto"/>
            <w:hideMark/>
          </w:tcPr>
          <w:p w14:paraId="0F9FB1E1" w14:textId="77777777" w:rsidR="00C87DCA" w:rsidRPr="00C63860" w:rsidRDefault="00C87DCA" w:rsidP="00C87DCA">
            <w:pPr>
              <w:jc w:val="center"/>
              <w:rPr>
                <w:b/>
              </w:rPr>
            </w:pPr>
            <w:r w:rsidRPr="00C63860">
              <w:rPr>
                <w:b/>
              </w:rPr>
              <w:t>Diverticular disease</w:t>
            </w:r>
          </w:p>
        </w:tc>
        <w:tc>
          <w:tcPr>
            <w:tcW w:w="0" w:type="auto"/>
            <w:shd w:val="clear" w:color="auto" w:fill="auto"/>
            <w:hideMark/>
          </w:tcPr>
          <w:p w14:paraId="7C77AF5E" w14:textId="77777777" w:rsidR="00C87DCA" w:rsidRPr="00C63860" w:rsidRDefault="00C87DCA" w:rsidP="00C87DCA">
            <w:pPr>
              <w:jc w:val="center"/>
              <w:rPr>
                <w:b/>
              </w:rPr>
            </w:pPr>
            <w:r w:rsidRPr="00C63860">
              <w:rPr>
                <w:b/>
              </w:rPr>
              <w:t>Hernia</w:t>
            </w:r>
          </w:p>
        </w:tc>
        <w:tc>
          <w:tcPr>
            <w:tcW w:w="0" w:type="auto"/>
            <w:shd w:val="clear" w:color="auto" w:fill="auto"/>
            <w:hideMark/>
          </w:tcPr>
          <w:p w14:paraId="168FB6EA" w14:textId="77777777" w:rsidR="00C87DCA" w:rsidRPr="00C63860" w:rsidRDefault="00C87DCA" w:rsidP="00C87DCA">
            <w:pPr>
              <w:jc w:val="center"/>
              <w:rPr>
                <w:b/>
              </w:rPr>
            </w:pPr>
            <w:r w:rsidRPr="00C63860">
              <w:rPr>
                <w:b/>
              </w:rPr>
              <w:t>Intestinal obstruction</w:t>
            </w:r>
          </w:p>
        </w:tc>
      </w:tr>
      <w:tr w:rsidR="00C87DCA" w:rsidRPr="00C63860" w14:paraId="5540AF6F" w14:textId="77777777" w:rsidTr="00C63860">
        <w:trPr>
          <w:cantSplit/>
        </w:trPr>
        <w:tc>
          <w:tcPr>
            <w:tcW w:w="0" w:type="auto"/>
            <w:shd w:val="clear" w:color="auto" w:fill="auto"/>
            <w:hideMark/>
          </w:tcPr>
          <w:p w14:paraId="3096D4C0" w14:textId="77777777" w:rsidR="00C87DCA" w:rsidRPr="00C63860" w:rsidRDefault="00C87DCA" w:rsidP="00C87DCA">
            <w:pPr>
              <w:rPr>
                <w:bCs/>
              </w:rPr>
            </w:pPr>
            <w:r w:rsidRPr="00C63860">
              <w:rPr>
                <w:bCs/>
              </w:rPr>
              <w:t>Procedures defined as ES</w:t>
            </w:r>
          </w:p>
        </w:tc>
        <w:tc>
          <w:tcPr>
            <w:tcW w:w="0" w:type="auto"/>
            <w:shd w:val="clear" w:color="auto" w:fill="auto"/>
            <w:hideMark/>
          </w:tcPr>
          <w:p w14:paraId="256C8F10" w14:textId="77777777" w:rsidR="00C87DCA" w:rsidRPr="00C63860" w:rsidRDefault="00C87DCA" w:rsidP="00C87DCA">
            <w:pPr>
              <w:jc w:val="center"/>
              <w:rPr>
                <w:bCs/>
              </w:rPr>
            </w:pPr>
            <w:r w:rsidRPr="00C63860">
              <w:rPr>
                <w:bCs/>
              </w:rPr>
              <w:t>21 of 33</w:t>
            </w:r>
          </w:p>
        </w:tc>
        <w:tc>
          <w:tcPr>
            <w:tcW w:w="0" w:type="auto"/>
            <w:shd w:val="clear" w:color="auto" w:fill="auto"/>
            <w:hideMark/>
          </w:tcPr>
          <w:p w14:paraId="50B90CF6" w14:textId="77777777" w:rsidR="00C87DCA" w:rsidRPr="00C63860" w:rsidRDefault="00C87DCA" w:rsidP="00C87DCA">
            <w:pPr>
              <w:jc w:val="center"/>
              <w:rPr>
                <w:bCs/>
              </w:rPr>
            </w:pPr>
            <w:r w:rsidRPr="00C63860">
              <w:rPr>
                <w:bCs/>
              </w:rPr>
              <w:t>11 of 48</w:t>
            </w:r>
          </w:p>
        </w:tc>
        <w:tc>
          <w:tcPr>
            <w:tcW w:w="0" w:type="auto"/>
            <w:shd w:val="clear" w:color="auto" w:fill="auto"/>
            <w:hideMark/>
          </w:tcPr>
          <w:p w14:paraId="66332364" w14:textId="77777777" w:rsidR="00C87DCA" w:rsidRPr="00C63860" w:rsidRDefault="00C87DCA" w:rsidP="00C87DCA">
            <w:pPr>
              <w:jc w:val="center"/>
              <w:rPr>
                <w:bCs/>
              </w:rPr>
            </w:pPr>
            <w:r w:rsidRPr="00C63860">
              <w:rPr>
                <w:bCs/>
              </w:rPr>
              <w:t>45 of 57</w:t>
            </w:r>
          </w:p>
        </w:tc>
        <w:tc>
          <w:tcPr>
            <w:tcW w:w="0" w:type="auto"/>
            <w:shd w:val="clear" w:color="auto" w:fill="auto"/>
            <w:hideMark/>
          </w:tcPr>
          <w:p w14:paraId="52E18DFE" w14:textId="77777777" w:rsidR="00C87DCA" w:rsidRPr="00C63860" w:rsidRDefault="00C87DCA" w:rsidP="00C87DCA">
            <w:pPr>
              <w:jc w:val="center"/>
              <w:rPr>
                <w:bCs/>
              </w:rPr>
            </w:pPr>
            <w:r w:rsidRPr="00C63860">
              <w:rPr>
                <w:bCs/>
              </w:rPr>
              <w:t>52 of 59</w:t>
            </w:r>
            <w:r w:rsidRPr="00C63860">
              <w:rPr>
                <w:bCs/>
                <w:vertAlign w:val="superscript"/>
              </w:rPr>
              <w:t>a</w:t>
            </w:r>
          </w:p>
        </w:tc>
        <w:tc>
          <w:tcPr>
            <w:tcW w:w="0" w:type="auto"/>
            <w:shd w:val="clear" w:color="auto" w:fill="auto"/>
            <w:hideMark/>
          </w:tcPr>
          <w:p w14:paraId="32111ADF" w14:textId="77777777" w:rsidR="00C87DCA" w:rsidRPr="00C63860" w:rsidRDefault="00C87DCA" w:rsidP="00C87DCA">
            <w:pPr>
              <w:jc w:val="center"/>
              <w:rPr>
                <w:bCs/>
              </w:rPr>
            </w:pPr>
            <w:r w:rsidRPr="00C63860">
              <w:rPr>
                <w:bCs/>
              </w:rPr>
              <w:t>111 of 140</w:t>
            </w:r>
          </w:p>
        </w:tc>
      </w:tr>
      <w:tr w:rsidR="00C87DCA" w:rsidRPr="00C63860" w14:paraId="209F73D9" w14:textId="77777777" w:rsidTr="00C63860">
        <w:trPr>
          <w:cantSplit/>
        </w:trPr>
        <w:tc>
          <w:tcPr>
            <w:tcW w:w="0" w:type="auto"/>
            <w:shd w:val="clear" w:color="auto" w:fill="auto"/>
            <w:hideMark/>
          </w:tcPr>
          <w:p w14:paraId="2D9707AC" w14:textId="77777777" w:rsidR="00C87DCA" w:rsidRPr="00C63860" w:rsidRDefault="00C87DCA" w:rsidP="00C87DCA">
            <w:pPr>
              <w:rPr>
                <w:bCs/>
              </w:rPr>
            </w:pPr>
            <w:r w:rsidRPr="00C63860">
              <w:rPr>
                <w:bCs/>
              </w:rPr>
              <w:t xml:space="preserve">Common procedures excluded from definition of ES </w:t>
            </w:r>
          </w:p>
        </w:tc>
        <w:tc>
          <w:tcPr>
            <w:tcW w:w="0" w:type="auto"/>
            <w:shd w:val="clear" w:color="auto" w:fill="auto"/>
            <w:hideMark/>
          </w:tcPr>
          <w:p w14:paraId="160E1CDD" w14:textId="77777777" w:rsidR="00C87DCA" w:rsidRPr="00C63860" w:rsidRDefault="00C87DCA" w:rsidP="00C87DCA">
            <w:pPr>
              <w:jc w:val="center"/>
              <w:rPr>
                <w:bCs/>
              </w:rPr>
            </w:pPr>
            <w:r w:rsidRPr="00C63860">
              <w:rPr>
                <w:bCs/>
              </w:rPr>
              <w:t>Unspecified other excision of appendix</w:t>
            </w:r>
            <w:r w:rsidRPr="00C63860">
              <w:rPr>
                <w:bCs/>
                <w:vertAlign w:val="superscript"/>
              </w:rPr>
              <w:t>b</w:t>
            </w:r>
          </w:p>
        </w:tc>
        <w:tc>
          <w:tcPr>
            <w:tcW w:w="0" w:type="auto"/>
            <w:shd w:val="clear" w:color="auto" w:fill="auto"/>
            <w:hideMark/>
          </w:tcPr>
          <w:p w14:paraId="367619C9" w14:textId="77777777" w:rsidR="00C87DCA" w:rsidRPr="00C63860" w:rsidRDefault="00C87DCA" w:rsidP="00C87DCA">
            <w:pPr>
              <w:jc w:val="center"/>
              <w:rPr>
                <w:bCs/>
              </w:rPr>
            </w:pPr>
            <w:r w:rsidRPr="00C63860">
              <w:rPr>
                <w:bCs/>
              </w:rPr>
              <w:t>Endoscopic sphincterotomy</w:t>
            </w:r>
          </w:p>
        </w:tc>
        <w:tc>
          <w:tcPr>
            <w:tcW w:w="0" w:type="auto"/>
            <w:shd w:val="clear" w:color="auto" w:fill="auto"/>
            <w:hideMark/>
          </w:tcPr>
          <w:p w14:paraId="6BC80324" w14:textId="77777777" w:rsidR="00C87DCA" w:rsidRPr="00C63860" w:rsidRDefault="00C87DCA" w:rsidP="00C87DCA">
            <w:pPr>
              <w:jc w:val="center"/>
              <w:rPr>
                <w:bCs/>
              </w:rPr>
            </w:pPr>
            <w:r w:rsidRPr="00C63860">
              <w:rPr>
                <w:bCs/>
              </w:rPr>
              <w:t>Image controlled percutaneous drainage</w:t>
            </w:r>
          </w:p>
        </w:tc>
        <w:tc>
          <w:tcPr>
            <w:tcW w:w="0" w:type="auto"/>
            <w:shd w:val="clear" w:color="auto" w:fill="auto"/>
            <w:hideMark/>
          </w:tcPr>
          <w:p w14:paraId="732D7516" w14:textId="19AB2FCD" w:rsidR="00C87DCA" w:rsidRPr="00C63860" w:rsidRDefault="00114784" w:rsidP="00C87DCA">
            <w:pPr>
              <w:jc w:val="center"/>
              <w:rPr>
                <w:bCs/>
              </w:rPr>
            </w:pPr>
            <w:r w:rsidRPr="00C63860">
              <w:rPr>
                <w:bCs/>
              </w:rPr>
              <w:t>N</w:t>
            </w:r>
            <w:r w:rsidR="00C87DCA" w:rsidRPr="00C63860">
              <w:rPr>
                <w:bCs/>
              </w:rPr>
              <w:t>one</w:t>
            </w:r>
          </w:p>
        </w:tc>
        <w:tc>
          <w:tcPr>
            <w:tcW w:w="0" w:type="auto"/>
            <w:shd w:val="clear" w:color="auto" w:fill="auto"/>
            <w:hideMark/>
          </w:tcPr>
          <w:p w14:paraId="31F1B452" w14:textId="77777777" w:rsidR="00C87DCA" w:rsidRPr="00C63860" w:rsidRDefault="00C87DCA" w:rsidP="00C87DCA">
            <w:pPr>
              <w:jc w:val="center"/>
              <w:rPr>
                <w:bCs/>
              </w:rPr>
            </w:pPr>
            <w:r w:rsidRPr="00C63860">
              <w:rPr>
                <w:bCs/>
              </w:rPr>
              <w:t>none</w:t>
            </w:r>
          </w:p>
        </w:tc>
      </w:tr>
      <w:tr w:rsidR="00C87DCA" w:rsidRPr="00C63860" w14:paraId="733C68A7" w14:textId="77777777" w:rsidTr="00C63860">
        <w:trPr>
          <w:cantSplit/>
        </w:trPr>
        <w:tc>
          <w:tcPr>
            <w:tcW w:w="0" w:type="auto"/>
            <w:shd w:val="clear" w:color="auto" w:fill="auto"/>
            <w:hideMark/>
          </w:tcPr>
          <w:p w14:paraId="202C1F4E" w14:textId="77777777" w:rsidR="00C87DCA" w:rsidRPr="00C63860" w:rsidRDefault="00C87DCA" w:rsidP="00C87DCA">
            <w:pPr>
              <w:rPr>
                <w:bCs/>
              </w:rPr>
            </w:pPr>
            <w:r w:rsidRPr="00C63860">
              <w:rPr>
                <w:bCs/>
              </w:rPr>
              <w:t>Threshold for a procedure in the index admission to be ES</w:t>
            </w:r>
          </w:p>
        </w:tc>
        <w:tc>
          <w:tcPr>
            <w:tcW w:w="0" w:type="auto"/>
            <w:shd w:val="clear" w:color="auto" w:fill="auto"/>
            <w:hideMark/>
          </w:tcPr>
          <w:p w14:paraId="57B9B426" w14:textId="77777777" w:rsidR="00C87DCA" w:rsidRPr="00C63860" w:rsidRDefault="00C87DCA" w:rsidP="00C87DCA">
            <w:pPr>
              <w:jc w:val="center"/>
              <w:rPr>
                <w:bCs/>
              </w:rPr>
            </w:pPr>
            <w:r w:rsidRPr="00C63860">
              <w:rPr>
                <w:bCs/>
              </w:rPr>
              <w:t>7 days</w:t>
            </w:r>
          </w:p>
        </w:tc>
        <w:tc>
          <w:tcPr>
            <w:tcW w:w="0" w:type="auto"/>
            <w:shd w:val="clear" w:color="auto" w:fill="auto"/>
            <w:hideMark/>
          </w:tcPr>
          <w:p w14:paraId="0A40F438" w14:textId="77777777" w:rsidR="00C87DCA" w:rsidRPr="00C63860" w:rsidRDefault="00C87DCA" w:rsidP="00C87DCA">
            <w:pPr>
              <w:jc w:val="center"/>
              <w:rPr>
                <w:bCs/>
              </w:rPr>
            </w:pPr>
            <w:r w:rsidRPr="00C63860">
              <w:rPr>
                <w:bCs/>
              </w:rPr>
              <w:t>7 days</w:t>
            </w:r>
          </w:p>
        </w:tc>
        <w:tc>
          <w:tcPr>
            <w:tcW w:w="0" w:type="auto"/>
            <w:shd w:val="clear" w:color="auto" w:fill="auto"/>
            <w:hideMark/>
          </w:tcPr>
          <w:p w14:paraId="78E5B6B9" w14:textId="77777777" w:rsidR="00C87DCA" w:rsidRPr="00C63860" w:rsidRDefault="00C87DCA" w:rsidP="00C87DCA">
            <w:pPr>
              <w:jc w:val="center"/>
              <w:rPr>
                <w:bCs/>
              </w:rPr>
            </w:pPr>
            <w:r w:rsidRPr="00C63860">
              <w:rPr>
                <w:bCs/>
              </w:rPr>
              <w:t>Any time</w:t>
            </w:r>
          </w:p>
        </w:tc>
        <w:tc>
          <w:tcPr>
            <w:tcW w:w="0" w:type="auto"/>
            <w:shd w:val="clear" w:color="auto" w:fill="auto"/>
            <w:hideMark/>
          </w:tcPr>
          <w:p w14:paraId="1F9FC1C2" w14:textId="77777777" w:rsidR="00C87DCA" w:rsidRPr="00C63860" w:rsidRDefault="00C87DCA" w:rsidP="00C87DCA">
            <w:pPr>
              <w:jc w:val="center"/>
              <w:rPr>
                <w:bCs/>
              </w:rPr>
            </w:pPr>
            <w:r w:rsidRPr="00C63860">
              <w:rPr>
                <w:bCs/>
              </w:rPr>
              <w:t>3 days</w:t>
            </w:r>
          </w:p>
        </w:tc>
        <w:tc>
          <w:tcPr>
            <w:tcW w:w="0" w:type="auto"/>
            <w:shd w:val="clear" w:color="auto" w:fill="auto"/>
            <w:hideMark/>
          </w:tcPr>
          <w:p w14:paraId="4ED8EE57" w14:textId="77777777" w:rsidR="00C87DCA" w:rsidRPr="00C63860" w:rsidRDefault="00C87DCA" w:rsidP="00C87DCA">
            <w:pPr>
              <w:jc w:val="center"/>
              <w:rPr>
                <w:bCs/>
              </w:rPr>
            </w:pPr>
            <w:r w:rsidRPr="00C63860">
              <w:rPr>
                <w:bCs/>
              </w:rPr>
              <w:t>7 days</w:t>
            </w:r>
          </w:p>
        </w:tc>
      </w:tr>
      <w:tr w:rsidR="00C87DCA" w:rsidRPr="00C63860" w14:paraId="3CF2EB93" w14:textId="77777777" w:rsidTr="00C63860">
        <w:trPr>
          <w:cantSplit/>
        </w:trPr>
        <w:tc>
          <w:tcPr>
            <w:tcW w:w="0" w:type="auto"/>
            <w:shd w:val="clear" w:color="auto" w:fill="auto"/>
            <w:hideMark/>
          </w:tcPr>
          <w:p w14:paraId="6F87C1D5" w14:textId="77777777" w:rsidR="00C87DCA" w:rsidRPr="00C63860" w:rsidRDefault="00C87DCA" w:rsidP="00C87DCA">
            <w:pPr>
              <w:rPr>
                <w:bCs/>
              </w:rPr>
            </w:pPr>
            <w:r w:rsidRPr="00C63860">
              <w:rPr>
                <w:bCs/>
              </w:rPr>
              <w:t>Threshold for a procedure in a readmission to be ES</w:t>
            </w:r>
          </w:p>
        </w:tc>
        <w:tc>
          <w:tcPr>
            <w:tcW w:w="0" w:type="auto"/>
            <w:shd w:val="clear" w:color="auto" w:fill="auto"/>
            <w:hideMark/>
          </w:tcPr>
          <w:p w14:paraId="4623E943" w14:textId="77777777" w:rsidR="00C87DCA" w:rsidRPr="00C63860" w:rsidRDefault="00C87DCA" w:rsidP="00C87DCA">
            <w:pPr>
              <w:jc w:val="center"/>
              <w:rPr>
                <w:bCs/>
              </w:rPr>
            </w:pPr>
            <w:r w:rsidRPr="00C63860">
              <w:rPr>
                <w:bCs/>
              </w:rPr>
              <w:t>7 days</w:t>
            </w:r>
          </w:p>
        </w:tc>
        <w:tc>
          <w:tcPr>
            <w:tcW w:w="0" w:type="auto"/>
            <w:shd w:val="clear" w:color="auto" w:fill="auto"/>
            <w:hideMark/>
          </w:tcPr>
          <w:p w14:paraId="6AB883EE" w14:textId="77777777" w:rsidR="00C87DCA" w:rsidRPr="00C63860" w:rsidRDefault="00C87DCA" w:rsidP="00C87DCA">
            <w:pPr>
              <w:jc w:val="center"/>
              <w:rPr>
                <w:bCs/>
              </w:rPr>
            </w:pPr>
            <w:r w:rsidRPr="00C63860">
              <w:rPr>
                <w:bCs/>
              </w:rPr>
              <w:t>7 days</w:t>
            </w:r>
          </w:p>
        </w:tc>
        <w:tc>
          <w:tcPr>
            <w:tcW w:w="0" w:type="auto"/>
            <w:shd w:val="clear" w:color="auto" w:fill="auto"/>
            <w:hideMark/>
          </w:tcPr>
          <w:p w14:paraId="43AA4470" w14:textId="77777777" w:rsidR="00C87DCA" w:rsidRPr="00C63860" w:rsidRDefault="00C87DCA" w:rsidP="00C87DCA">
            <w:pPr>
              <w:jc w:val="center"/>
              <w:rPr>
                <w:bCs/>
              </w:rPr>
            </w:pPr>
            <w:r w:rsidRPr="00C63860">
              <w:rPr>
                <w:bCs/>
              </w:rPr>
              <w:t>14 days</w:t>
            </w:r>
          </w:p>
        </w:tc>
        <w:tc>
          <w:tcPr>
            <w:tcW w:w="0" w:type="auto"/>
            <w:shd w:val="clear" w:color="auto" w:fill="auto"/>
            <w:hideMark/>
          </w:tcPr>
          <w:p w14:paraId="761043A4" w14:textId="77777777" w:rsidR="00C87DCA" w:rsidRPr="00C63860" w:rsidRDefault="00C87DCA" w:rsidP="00C87DCA">
            <w:pPr>
              <w:jc w:val="center"/>
              <w:rPr>
                <w:bCs/>
              </w:rPr>
            </w:pPr>
            <w:r w:rsidRPr="00C63860">
              <w:rPr>
                <w:bCs/>
              </w:rPr>
              <w:t>3 days</w:t>
            </w:r>
          </w:p>
        </w:tc>
        <w:tc>
          <w:tcPr>
            <w:tcW w:w="0" w:type="auto"/>
            <w:shd w:val="clear" w:color="auto" w:fill="auto"/>
            <w:hideMark/>
          </w:tcPr>
          <w:p w14:paraId="68FFEB4E" w14:textId="77777777" w:rsidR="00C87DCA" w:rsidRPr="00C63860" w:rsidRDefault="00C87DCA" w:rsidP="00C87DCA">
            <w:pPr>
              <w:jc w:val="center"/>
              <w:rPr>
                <w:bCs/>
              </w:rPr>
            </w:pPr>
            <w:r w:rsidRPr="00C63860">
              <w:rPr>
                <w:bCs/>
              </w:rPr>
              <w:t>7 days</w:t>
            </w:r>
          </w:p>
        </w:tc>
      </w:tr>
    </w:tbl>
    <w:p w14:paraId="4E4430E1" w14:textId="1DC6BC50" w:rsidR="00C87DCA" w:rsidRPr="00C63860" w:rsidRDefault="00C87DCA" w:rsidP="00C87DCA">
      <w:pPr>
        <w:rPr>
          <w:rFonts w:cstheme="minorHAnsi"/>
          <w:sz w:val="18"/>
          <w:szCs w:val="18"/>
        </w:rPr>
      </w:pPr>
      <w:r w:rsidRPr="00C63860">
        <w:rPr>
          <w:rFonts w:cstheme="minorHAnsi"/>
          <w:sz w:val="18"/>
          <w:szCs w:val="18"/>
          <w:vertAlign w:val="superscript"/>
        </w:rPr>
        <w:t>a</w:t>
      </w:r>
      <w:r w:rsidRPr="00C63860">
        <w:rPr>
          <w:rFonts w:cstheme="minorHAnsi"/>
          <w:sz w:val="18"/>
          <w:szCs w:val="18"/>
        </w:rPr>
        <w:t xml:space="preserve"> Six additional umbilical hernia procedures were added to the list of ES procedures (T241 Repair of umbilical hernia using insert of natural material; T248 Other specified primary repair of umbilical hernia; T971 Repair of recurrent umbilical hernia using insert of natural material; T973 Repair of recurrent umbilical hernia using sutures; T978 Other specified repair of recurrent umbilical hernia; T979 Unspecified repair of recurrent umbilical hernia). These were not included in the original list of procedures reviewed by the panel because umbilical hernia was not included in the earlier version of the HES </w:t>
      </w:r>
      <w:r w:rsidR="00C63860" w:rsidRPr="00C63860">
        <w:rPr>
          <w:rFonts w:cstheme="minorHAnsi"/>
          <w:color w:val="00B0F0"/>
          <w:sz w:val="18"/>
          <w:szCs w:val="18"/>
          <w:highlight w:val="magenta"/>
        </w:rPr>
        <w:t>data</w:t>
      </w:r>
      <w:r w:rsidR="00C63860" w:rsidRPr="00C63860">
        <w:rPr>
          <w:rFonts w:cstheme="minorHAnsi"/>
          <w:color w:val="00B0F0"/>
          <w:sz w:val="18"/>
          <w:szCs w:val="18"/>
        </w:rPr>
        <w:t xml:space="preserve"> set</w:t>
      </w:r>
      <w:r w:rsidRPr="00C63860">
        <w:rPr>
          <w:rFonts w:cstheme="minorHAnsi"/>
          <w:sz w:val="18"/>
          <w:szCs w:val="18"/>
        </w:rPr>
        <w:t xml:space="preserve"> used to identify potential ES procedures. The six procedures were added after the exercise for consistency with similar procedures for inguinal, femoral and ventral hernias.</w:t>
      </w:r>
    </w:p>
    <w:p w14:paraId="46518F01" w14:textId="77777777" w:rsidR="00C63860" w:rsidRPr="00C63860" w:rsidRDefault="00C87DCA" w:rsidP="00C87DCA">
      <w:pPr>
        <w:rPr>
          <w:rFonts w:cstheme="minorHAnsi"/>
          <w:sz w:val="18"/>
          <w:szCs w:val="18"/>
        </w:rPr>
      </w:pPr>
      <w:r w:rsidRPr="00C63860">
        <w:rPr>
          <w:rFonts w:cstheme="minorHAnsi"/>
          <w:sz w:val="18"/>
          <w:szCs w:val="18"/>
          <w:vertAlign w:val="superscript"/>
        </w:rPr>
        <w:t>b</w:t>
      </w:r>
      <w:r w:rsidRPr="00C63860">
        <w:rPr>
          <w:rFonts w:cstheme="minorHAnsi"/>
          <w:sz w:val="18"/>
          <w:szCs w:val="18"/>
        </w:rPr>
        <w:t xml:space="preserve"> H029 Unspecified other excision of appendix was supported by 5/12 panellists and was initially left out of the list of ES procedures. Later review of use of this code across hospitals identified some hospitals routinely using H029 for a majority of emergency appendicitis admissions. It was subsequently decided to include H029 as an ES procedure instead.</w:t>
      </w:r>
    </w:p>
    <w:p w14:paraId="7C021132" w14:textId="77777777" w:rsidR="00C63860" w:rsidRPr="00C63860" w:rsidRDefault="00C87DCA" w:rsidP="0020028A">
      <w:pPr>
        <w:spacing w:line="276" w:lineRule="auto"/>
        <w:rPr>
          <w:rFonts w:cstheme="minorBidi"/>
        </w:rPr>
      </w:pPr>
      <w:r w:rsidRPr="00C63860">
        <w:rPr>
          <w:rFonts w:cstheme="minorBidi"/>
        </w:rPr>
        <w:t xml:space="preserve">A cohort patient </w:t>
      </w:r>
      <w:r w:rsidRPr="00C63860">
        <w:rPr>
          <w:rFonts w:cstheme="minorBidi"/>
          <w:sz w:val="24"/>
          <w:szCs w:val="24"/>
        </w:rPr>
        <w:t>who</w:t>
      </w:r>
      <w:r w:rsidRPr="00C63860">
        <w:rPr>
          <w:rFonts w:cstheme="minorBidi"/>
        </w:rPr>
        <w:t xml:space="preserve"> did not meet the criteria for ES was categorised as having </w:t>
      </w:r>
      <w:r w:rsidR="00114784" w:rsidRPr="00C63860">
        <w:rPr>
          <w:rFonts w:cstheme="minorBidi"/>
        </w:rPr>
        <w:t xml:space="preserve">had a </w:t>
      </w:r>
      <w:r w:rsidRPr="00C63860">
        <w:rPr>
          <w:rFonts w:cstheme="minorBidi"/>
        </w:rPr>
        <w:t>NES strategy which could involve medical management, another operative procedure</w:t>
      </w:r>
      <w:r w:rsidR="00114784" w:rsidRPr="00C63860">
        <w:rPr>
          <w:rFonts w:cstheme="minorBidi"/>
        </w:rPr>
        <w:t>,</w:t>
      </w:r>
      <w:r w:rsidRPr="00C63860">
        <w:rPr>
          <w:rFonts w:cstheme="minorBidi"/>
        </w:rPr>
        <w:t xml:space="preserve"> or an ES procedure </w:t>
      </w:r>
      <w:r w:rsidR="00114784" w:rsidRPr="00C63860">
        <w:rPr>
          <w:rFonts w:cstheme="minorBidi"/>
        </w:rPr>
        <w:t>after</w:t>
      </w:r>
      <w:r w:rsidRPr="00C63860">
        <w:rPr>
          <w:rFonts w:cstheme="minorBidi"/>
        </w:rPr>
        <w:t xml:space="preserve"> the </w:t>
      </w:r>
      <w:r w:rsidR="00114784" w:rsidRPr="00C63860">
        <w:rPr>
          <w:rFonts w:cstheme="minorBidi"/>
        </w:rPr>
        <w:t xml:space="preserve">requisite </w:t>
      </w:r>
      <w:r w:rsidRPr="00C63860">
        <w:rPr>
          <w:rFonts w:cstheme="minorBidi"/>
        </w:rPr>
        <w:t>time window.</w:t>
      </w:r>
    </w:p>
    <w:p w14:paraId="0DE6187D" w14:textId="77777777" w:rsidR="00C63860" w:rsidRPr="00C63860" w:rsidRDefault="3CB5ECA1" w:rsidP="1043B06C">
      <w:pPr>
        <w:spacing w:line="276" w:lineRule="auto"/>
        <w:rPr>
          <w:rFonts w:eastAsia="Calibri"/>
          <w:b/>
        </w:rPr>
      </w:pPr>
      <w:r w:rsidRPr="00C63860">
        <w:rPr>
          <w:rFonts w:eastAsia="Calibri"/>
          <w:b/>
        </w:rPr>
        <w:t>2.2.4. Definition of day (time) zero</w:t>
      </w:r>
    </w:p>
    <w:p w14:paraId="500CB29F" w14:textId="3D70657A" w:rsidR="00C63860" w:rsidRPr="00C63860" w:rsidRDefault="526679D0" w:rsidP="1043B06C">
      <w:pPr>
        <w:spacing w:line="276" w:lineRule="auto"/>
        <w:rPr>
          <w:rFonts w:eastAsia="Calibri"/>
          <w:b/>
        </w:rPr>
      </w:pPr>
      <w:r w:rsidRPr="00C63860">
        <w:rPr>
          <w:rFonts w:eastAsia="Calibri"/>
        </w:rPr>
        <w:t xml:space="preserve">One challenge the study faced was to define day zero, the analogue in a non-randomised study to the </w:t>
      </w:r>
      <w:r w:rsidR="78738C1B" w:rsidRPr="00C63860">
        <w:rPr>
          <w:rFonts w:eastAsia="Calibri"/>
        </w:rPr>
        <w:t>time of randomisation. Day zero should correspond to the time when the eligibility criteria are met</w:t>
      </w:r>
      <w:r w:rsidR="1D1F0C46" w:rsidRPr="00C63860">
        <w:rPr>
          <w:rFonts w:eastAsia="Calibri"/>
        </w:rPr>
        <w:t>,</w:t>
      </w:r>
      <w:r w:rsidR="78738C1B" w:rsidRPr="00C63860">
        <w:rPr>
          <w:rFonts w:eastAsia="Calibri"/>
        </w:rPr>
        <w:t xml:space="preserve"> and the treatment strategies commence. </w:t>
      </w:r>
      <w:r w:rsidR="1D1F0C46" w:rsidRPr="00C63860">
        <w:rPr>
          <w:rFonts w:eastAsia="Calibri"/>
        </w:rPr>
        <w:t xml:space="preserve">By establishing day zero, this can help the study reduce </w:t>
      </w:r>
      <w:r w:rsidR="6393AA21" w:rsidRPr="00C63860">
        <w:rPr>
          <w:rFonts w:eastAsia="Calibri"/>
        </w:rPr>
        <w:t xml:space="preserve">confounding by indication </w:t>
      </w:r>
      <w:r w:rsidR="6393AA21" w:rsidRPr="00C63860">
        <w:rPr>
          <w:rFonts w:eastAsia="Calibri"/>
          <w:highlight w:val="magenta"/>
        </w:rPr>
        <w:t>due to</w:t>
      </w:r>
      <w:r w:rsidR="6393AA21" w:rsidRPr="00C63860">
        <w:rPr>
          <w:rFonts w:eastAsia="Calibri"/>
        </w:rPr>
        <w:t xml:space="preserve"> prognostic difference </w:t>
      </w:r>
      <w:r w:rsidR="018C20C9" w:rsidRPr="00C63860">
        <w:rPr>
          <w:rFonts w:eastAsia="Calibri"/>
        </w:rPr>
        <w:t>between the comparison groups.</w:t>
      </w:r>
      <w:r w:rsidR="7EEBB744" w:rsidRPr="00C63860">
        <w:rPr>
          <w:rFonts w:eastAsia="Calibri"/>
        </w:rPr>
        <w:t xml:space="preserve"> In ESORT, emulating the target trial</w:t>
      </w:r>
      <w:r w:rsidR="00C63860" w:rsidRPr="00C63860">
        <w:rPr>
          <w:rFonts w:eastAsia="Calibri"/>
          <w:color w:val="00B0F0"/>
        </w:rPr>
        <w:t>’</w:t>
      </w:r>
      <w:r w:rsidR="7EEBB744" w:rsidRPr="00C63860">
        <w:rPr>
          <w:rFonts w:eastAsia="Calibri"/>
        </w:rPr>
        <w:t>s day zero raised several challenges.</w:t>
      </w:r>
    </w:p>
    <w:p w14:paraId="70A33F52" w14:textId="2E1E32BD" w:rsidR="00C63860" w:rsidRPr="00C63860" w:rsidRDefault="018C20C9" w:rsidP="1043B06C">
      <w:pPr>
        <w:spacing w:line="276" w:lineRule="auto"/>
        <w:rPr>
          <w:rFonts w:eastAsia="Calibri"/>
        </w:rPr>
      </w:pPr>
      <w:r w:rsidRPr="00C63860">
        <w:rPr>
          <w:rFonts w:eastAsia="Calibri"/>
        </w:rPr>
        <w:t xml:space="preserve">While for patients who had ES; the date of surgery was available from the HES inpatient </w:t>
      </w:r>
      <w:r w:rsidRPr="00C63860">
        <w:rPr>
          <w:rFonts w:eastAsia="Calibri"/>
          <w:highlight w:val="magenta"/>
        </w:rPr>
        <w:t>data</w:t>
      </w:r>
      <w:r w:rsidR="08FBA457" w:rsidRPr="00C63860">
        <w:rPr>
          <w:rFonts w:eastAsia="Calibri"/>
        </w:rPr>
        <w:t xml:space="preserve">, for patient who had NES, the date of initiation of non-operative strategies such as </w:t>
      </w:r>
      <w:r w:rsidR="71E78BCD" w:rsidRPr="00C63860">
        <w:rPr>
          <w:rFonts w:eastAsia="Calibri"/>
        </w:rPr>
        <w:t>antibiotic therapy was not recorded.</w:t>
      </w:r>
      <w:r w:rsidR="5FFB1DEF" w:rsidRPr="00C63860">
        <w:rPr>
          <w:rFonts w:eastAsia="Calibri"/>
        </w:rPr>
        <w:t xml:space="preserve"> </w:t>
      </w:r>
      <w:r w:rsidR="6B3C0A2E" w:rsidRPr="00C63860">
        <w:rPr>
          <w:rFonts w:eastAsia="Calibri"/>
        </w:rPr>
        <w:t xml:space="preserve">Likewise, information on the date of diagnostic imaging procedures, which could be used to inform treatment assignment, was not available for all patients. </w:t>
      </w:r>
      <w:r w:rsidR="630B82AB" w:rsidRPr="00C63860">
        <w:rPr>
          <w:rFonts w:eastAsia="Calibri"/>
        </w:rPr>
        <w:t xml:space="preserve">Faced with these challenges, there was no perfect choice for day zero. </w:t>
      </w:r>
      <w:r w:rsidR="0E075A81" w:rsidRPr="00C63860">
        <w:rPr>
          <w:rFonts w:eastAsia="Calibri"/>
        </w:rPr>
        <w:t xml:space="preserve">If day zero was defined as the date of admission, this could have led to a high risk of confounding as, for some patients, </w:t>
      </w:r>
      <w:r w:rsidR="566C0245" w:rsidRPr="00C63860">
        <w:rPr>
          <w:rFonts w:eastAsia="Calibri"/>
        </w:rPr>
        <w:t xml:space="preserve">it would </w:t>
      </w:r>
      <w:r w:rsidR="00C63860" w:rsidRPr="00C63860">
        <w:rPr>
          <w:rFonts w:eastAsia="Calibri"/>
          <w:color w:val="00B0F0"/>
        </w:rPr>
        <w:t>‘</w:t>
      </w:r>
      <w:r w:rsidR="006F6056" w:rsidRPr="00C63860">
        <w:rPr>
          <w:rFonts w:eastAsia="Calibri"/>
        </w:rPr>
        <w:t>pre-date</w:t>
      </w:r>
      <w:r w:rsidR="00C63860" w:rsidRPr="00C63860">
        <w:rPr>
          <w:rFonts w:eastAsia="Calibri"/>
          <w:color w:val="00B0F0"/>
        </w:rPr>
        <w:t>’</w:t>
      </w:r>
      <w:r w:rsidR="566C0245" w:rsidRPr="00C63860">
        <w:rPr>
          <w:rFonts w:eastAsia="Calibri"/>
        </w:rPr>
        <w:t xml:space="preserve"> the assessment of </w:t>
      </w:r>
      <w:r w:rsidR="1CADE123" w:rsidRPr="00C63860">
        <w:rPr>
          <w:rFonts w:eastAsia="Calibri"/>
        </w:rPr>
        <w:t>eligibility</w:t>
      </w:r>
      <w:r w:rsidR="566C0245" w:rsidRPr="00C63860">
        <w:rPr>
          <w:rFonts w:eastAsia="Calibri"/>
        </w:rPr>
        <w:t xml:space="preserve">, and so their prognosis could differ prior to the selection of the treatment </w:t>
      </w:r>
      <w:r w:rsidR="1CADE123" w:rsidRPr="00C63860">
        <w:rPr>
          <w:rFonts w:eastAsia="Calibri"/>
        </w:rPr>
        <w:t>strategy</w:t>
      </w:r>
      <w:r w:rsidR="1CADE123" w:rsidRPr="00C63860">
        <w:rPr>
          <w:rFonts w:eastAsia="Calibri"/>
          <w:vertAlign w:val="superscript"/>
        </w:rPr>
        <w:t>31</w:t>
      </w:r>
      <w:r w:rsidR="1AC65C38" w:rsidRPr="00C63860">
        <w:rPr>
          <w:rFonts w:eastAsia="Calibri"/>
        </w:rPr>
        <w:t xml:space="preserve"> Instead, the study used as day zero the date within the first eligible hospital episode </w:t>
      </w:r>
      <w:r w:rsidR="16C75E8D" w:rsidRPr="00C63860">
        <w:rPr>
          <w:rFonts w:eastAsia="Calibri"/>
        </w:rPr>
        <w:t xml:space="preserve">from which the patient was first under the care of a consultant </w:t>
      </w:r>
      <w:r w:rsidR="0429C6CB" w:rsidRPr="00C63860">
        <w:rPr>
          <w:rFonts w:eastAsia="Calibri"/>
        </w:rPr>
        <w:t>surgeon.</w:t>
      </w:r>
    </w:p>
    <w:p w14:paraId="2A6963B6" w14:textId="77777777" w:rsidR="00C63860" w:rsidRPr="00C63860" w:rsidRDefault="0429C6CB" w:rsidP="1043B06C">
      <w:pPr>
        <w:spacing w:line="276" w:lineRule="auto"/>
        <w:rPr>
          <w:rFonts w:eastAsia="Calibri"/>
        </w:rPr>
      </w:pPr>
      <w:r w:rsidRPr="00C63860">
        <w:rPr>
          <w:rFonts w:eastAsia="Calibri"/>
        </w:rPr>
        <w:t>The rationale for this choice of day zero was threefold:</w:t>
      </w:r>
      <w:r w:rsidR="5ABFF2D4" w:rsidRPr="00C63860">
        <w:rPr>
          <w:rFonts w:eastAsia="Calibri"/>
        </w:rPr>
        <w:t xml:space="preserve"> (</w:t>
      </w:r>
      <w:r w:rsidR="52B4A566" w:rsidRPr="00C63860">
        <w:rPr>
          <w:rFonts w:eastAsia="Calibri"/>
        </w:rPr>
        <w:t>i</w:t>
      </w:r>
      <w:r w:rsidR="5ABFF2D4" w:rsidRPr="00C63860">
        <w:rPr>
          <w:rFonts w:eastAsia="Calibri"/>
        </w:rPr>
        <w:t>) this date marks the end of the eligibility assessment period,</w:t>
      </w:r>
      <w:r w:rsidR="4A76FB8D" w:rsidRPr="00C63860">
        <w:rPr>
          <w:rFonts w:eastAsia="Calibri"/>
        </w:rPr>
        <w:t xml:space="preserve"> which reduces the risk of confounding </w:t>
      </w:r>
      <w:r w:rsidR="4A76FB8D" w:rsidRPr="00C63860">
        <w:rPr>
          <w:rFonts w:eastAsia="Calibri"/>
          <w:highlight w:val="magenta"/>
        </w:rPr>
        <w:t>due to</w:t>
      </w:r>
      <w:r w:rsidR="4A76FB8D" w:rsidRPr="00C63860">
        <w:rPr>
          <w:rFonts w:eastAsia="Calibri"/>
        </w:rPr>
        <w:t xml:space="preserve"> a change in prognosis prior to treatment selection</w:t>
      </w:r>
      <w:r w:rsidR="5F8AE7A5" w:rsidRPr="00C63860">
        <w:rPr>
          <w:rFonts w:eastAsia="Calibri"/>
        </w:rPr>
        <w:t>;</w:t>
      </w:r>
      <w:r w:rsidR="5ABFF2D4" w:rsidRPr="00C63860">
        <w:rPr>
          <w:rFonts w:eastAsia="Calibri"/>
        </w:rPr>
        <w:t xml:space="preserve"> </w:t>
      </w:r>
      <w:r w:rsidR="5F8AE7A5" w:rsidRPr="00C63860">
        <w:rPr>
          <w:rFonts w:eastAsia="Calibri"/>
        </w:rPr>
        <w:t xml:space="preserve">(ii) given the acute nature of these conditions, </w:t>
      </w:r>
      <w:r w:rsidR="3EB8B5CC" w:rsidRPr="00C63860">
        <w:rPr>
          <w:rFonts w:eastAsia="Calibri"/>
        </w:rPr>
        <w:t xml:space="preserve">the </w:t>
      </w:r>
      <w:r w:rsidR="6F78D9EC" w:rsidRPr="00C63860">
        <w:rPr>
          <w:rFonts w:eastAsia="Calibri"/>
        </w:rPr>
        <w:t xml:space="preserve">delay between </w:t>
      </w:r>
      <w:r w:rsidR="5F8AE7A5" w:rsidRPr="00C63860">
        <w:rPr>
          <w:rFonts w:eastAsia="Calibri"/>
        </w:rPr>
        <w:t>assessment</w:t>
      </w:r>
      <w:r w:rsidR="6F78D9EC" w:rsidRPr="00C63860">
        <w:rPr>
          <w:rFonts w:eastAsia="Calibri"/>
        </w:rPr>
        <w:t xml:space="preserve"> by the surgeon</w:t>
      </w:r>
      <w:r w:rsidR="5F8AE7A5" w:rsidRPr="00C63860">
        <w:rPr>
          <w:rFonts w:eastAsia="Calibri"/>
        </w:rPr>
        <w:t xml:space="preserve"> to the end of the time window </w:t>
      </w:r>
      <w:r w:rsidR="0A27B096" w:rsidRPr="00C63860">
        <w:rPr>
          <w:rFonts w:eastAsia="Calibri"/>
        </w:rPr>
        <w:t xml:space="preserve">for </w:t>
      </w:r>
      <w:r w:rsidR="5F8AE7A5" w:rsidRPr="00C63860">
        <w:rPr>
          <w:rFonts w:eastAsia="Calibri"/>
        </w:rPr>
        <w:t>defining the two strategies is short, and therefore, the risk of immortal time bias is minimal</w:t>
      </w:r>
      <w:r w:rsidR="6C3018A2" w:rsidRPr="00C63860">
        <w:rPr>
          <w:rFonts w:eastAsia="Calibri"/>
        </w:rPr>
        <w:t>;</w:t>
      </w:r>
      <w:r w:rsidR="1CADE123" w:rsidRPr="00C63860">
        <w:rPr>
          <w:rFonts w:eastAsia="Calibri"/>
          <w:vertAlign w:val="superscript"/>
        </w:rPr>
        <w:t xml:space="preserve"> 31</w:t>
      </w:r>
      <w:r w:rsidR="5F8AE7A5" w:rsidRPr="00C63860">
        <w:rPr>
          <w:rFonts w:eastAsia="Calibri"/>
        </w:rPr>
        <w:t xml:space="preserve"> </w:t>
      </w:r>
      <w:r w:rsidR="5ABFF2D4" w:rsidRPr="00C63860">
        <w:rPr>
          <w:rFonts w:eastAsia="Calibri"/>
        </w:rPr>
        <w:t>(i</w:t>
      </w:r>
      <w:r w:rsidR="6C3018A2" w:rsidRPr="00C63860">
        <w:rPr>
          <w:rFonts w:eastAsia="Calibri"/>
        </w:rPr>
        <w:t>i</w:t>
      </w:r>
      <w:r w:rsidR="5ABFF2D4" w:rsidRPr="00C63860">
        <w:rPr>
          <w:rFonts w:eastAsia="Calibri"/>
        </w:rPr>
        <w:t>i) info</w:t>
      </w:r>
      <w:r w:rsidR="5A6E65F7" w:rsidRPr="00C63860">
        <w:rPr>
          <w:rFonts w:eastAsia="Calibri"/>
        </w:rPr>
        <w:t>rmation on this variable</w:t>
      </w:r>
      <w:r w:rsidR="5ABFF2D4" w:rsidRPr="00C63860">
        <w:rPr>
          <w:rFonts w:eastAsia="Calibri"/>
        </w:rPr>
        <w:t xml:space="preserve"> is available for all patients</w:t>
      </w:r>
      <w:r w:rsidR="753E8128" w:rsidRPr="00C63860">
        <w:rPr>
          <w:rFonts w:eastAsia="Calibri"/>
        </w:rPr>
        <w:t>,</w:t>
      </w:r>
      <w:r w:rsidR="5ABFF2D4" w:rsidRPr="00C63860">
        <w:rPr>
          <w:rFonts w:eastAsia="Calibri"/>
        </w:rPr>
        <w:t xml:space="preserve"> since our eligibility criteria require that all patients were at some point under the care of a </w:t>
      </w:r>
      <w:r w:rsidR="4A76FB8D" w:rsidRPr="00C63860">
        <w:rPr>
          <w:rFonts w:eastAsia="Calibri"/>
        </w:rPr>
        <w:t xml:space="preserve">consultant </w:t>
      </w:r>
      <w:r w:rsidR="5ABFF2D4" w:rsidRPr="00C63860">
        <w:rPr>
          <w:rFonts w:eastAsia="Calibri"/>
        </w:rPr>
        <w:t>surgeon (criteria iv in section 2.2.2)</w:t>
      </w:r>
    </w:p>
    <w:p w14:paraId="649C2D87" w14:textId="77777777" w:rsidR="00C63860" w:rsidRPr="00C63860" w:rsidRDefault="00C87DCA" w:rsidP="0020028A">
      <w:pPr>
        <w:spacing w:line="276" w:lineRule="auto"/>
        <w:rPr>
          <w:b/>
          <w:bCs/>
        </w:rPr>
      </w:pPr>
      <w:r w:rsidRPr="00C63860">
        <w:rPr>
          <w:b/>
          <w:bCs/>
        </w:rPr>
        <w:t>2.</w:t>
      </w:r>
      <w:r w:rsidR="00255F95" w:rsidRPr="00C63860">
        <w:rPr>
          <w:b/>
          <w:bCs/>
        </w:rPr>
        <w:t>2.</w:t>
      </w:r>
      <w:r w:rsidR="00162963" w:rsidRPr="00C63860">
        <w:rPr>
          <w:b/>
          <w:bCs/>
        </w:rPr>
        <w:t>5</w:t>
      </w:r>
      <w:r w:rsidRPr="00C63860">
        <w:rPr>
          <w:b/>
          <w:bCs/>
        </w:rPr>
        <w:t xml:space="preserve"> Hospital eligibility</w:t>
      </w:r>
    </w:p>
    <w:p w14:paraId="41EE7BA4" w14:textId="0BBE093A" w:rsidR="00C63860" w:rsidRPr="00C63860" w:rsidRDefault="00C87DCA" w:rsidP="0020028A">
      <w:pPr>
        <w:spacing w:line="276" w:lineRule="auto"/>
      </w:pPr>
      <w:r w:rsidRPr="00C63860">
        <w:t xml:space="preserve">The </w:t>
      </w:r>
      <w:r w:rsidR="00114784" w:rsidRPr="00C63860">
        <w:t>IV</w:t>
      </w:r>
      <w:r w:rsidRPr="00C63860">
        <w:t>, the tendency to operate</w:t>
      </w:r>
      <w:r w:rsidR="00114784" w:rsidRPr="00C63860">
        <w:t xml:space="preserve"> (TTO)</w:t>
      </w:r>
      <w:r w:rsidRPr="00C63860">
        <w:t xml:space="preserve">, was calculated at the level of the hospital. A total of 175 acute general hospitals with at least 200 emergency general surgery admissions per year were included. These hospitals were identified using the </w:t>
      </w:r>
      <w:r w:rsidRPr="00C63860">
        <w:rPr>
          <w:highlight w:val="magenta"/>
        </w:rPr>
        <w:t>site</w:t>
      </w:r>
      <w:r w:rsidRPr="00C63860">
        <w:t xml:space="preserve"> of treatment or 5-character provider codes in HES. Identification of hospitals allowed for changes to codes owing to organisational changes, for example, mergers of NHS trusts or the replacement of a hospital with a </w:t>
      </w:r>
      <w:r w:rsidR="00C63860" w:rsidRPr="00C63860">
        <w:rPr>
          <w:color w:val="00B0F0"/>
        </w:rPr>
        <w:t>‘</w:t>
      </w:r>
      <w:r w:rsidR="006F6056" w:rsidRPr="00C63860">
        <w:t>new build</w:t>
      </w:r>
      <w:r w:rsidR="00C63860" w:rsidRPr="00C63860">
        <w:rPr>
          <w:color w:val="00B0F0"/>
        </w:rPr>
        <w:t>’</w:t>
      </w:r>
      <w:r w:rsidRPr="00C63860">
        <w:t xml:space="preserve"> hospital on a different </w:t>
      </w:r>
      <w:r w:rsidRPr="00C63860">
        <w:rPr>
          <w:highlight w:val="magenta"/>
        </w:rPr>
        <w:t>site</w:t>
      </w:r>
      <w:r w:rsidRPr="00C63860">
        <w:t xml:space="preserve"> nearby. Reconfiguration of hospital services within and between NHS trusts has led to some hospitals closing permanently or routine emergency general surgery activity stopping before 31 December 2019. Monthly emergency general surgery activity in these hospitals was examined and </w:t>
      </w:r>
      <w:r w:rsidR="00C63860" w:rsidRPr="00C63860">
        <w:rPr>
          <w:color w:val="00B0F0"/>
        </w:rPr>
        <w:t>judgement</w:t>
      </w:r>
      <w:r w:rsidRPr="00C63860">
        <w:t xml:space="preserve"> used to identify a date when routine activity ceased. Seventeen such hospitals were identified and only contributed cohort patients up to the date routine activity was deemed to have ceased. One new hospital, a specialist emergency centre, started </w:t>
      </w:r>
      <w:r w:rsidR="009D5A67" w:rsidRPr="00C63860">
        <w:t xml:space="preserve">ES </w:t>
      </w:r>
      <w:r w:rsidRPr="00C63860">
        <w:t>activity after 1 April 2010. Thus</w:t>
      </w:r>
      <w:r w:rsidR="009F5BFA" w:rsidRPr="00C63860">
        <w:t>,</w:t>
      </w:r>
      <w:r w:rsidRPr="00C63860">
        <w:t xml:space="preserve"> 174 hospitals were contributing cohort patients in April 2010 and 158 hospitals were contributing patients in December 2019.</w:t>
      </w:r>
    </w:p>
    <w:p w14:paraId="37634B4E" w14:textId="568B8808" w:rsidR="00903112" w:rsidRPr="00C63860" w:rsidRDefault="00C87DCA" w:rsidP="0020028A">
      <w:pPr>
        <w:spacing w:after="160" w:line="276" w:lineRule="auto"/>
        <w:rPr>
          <w:b/>
          <w:bCs/>
          <w:sz w:val="28"/>
          <w:szCs w:val="28"/>
        </w:rPr>
      </w:pPr>
      <w:r w:rsidRPr="00C63860">
        <w:rPr>
          <w:b/>
          <w:bCs/>
          <w:sz w:val="28"/>
          <w:szCs w:val="28"/>
        </w:rPr>
        <w:t>2.</w:t>
      </w:r>
      <w:r w:rsidR="00903112" w:rsidRPr="00C63860">
        <w:rPr>
          <w:b/>
          <w:bCs/>
          <w:sz w:val="28"/>
          <w:szCs w:val="28"/>
        </w:rPr>
        <w:t>3</w:t>
      </w:r>
      <w:r w:rsidRPr="00C63860">
        <w:rPr>
          <w:b/>
          <w:bCs/>
          <w:sz w:val="28"/>
          <w:szCs w:val="28"/>
        </w:rPr>
        <w:t xml:space="preserve"> </w:t>
      </w:r>
      <w:r w:rsidR="00903112" w:rsidRPr="00C63860">
        <w:rPr>
          <w:b/>
          <w:bCs/>
          <w:sz w:val="28"/>
          <w:szCs w:val="28"/>
        </w:rPr>
        <w:t>Results</w:t>
      </w:r>
    </w:p>
    <w:p w14:paraId="1D0E47C8" w14:textId="77777777" w:rsidR="00C63860" w:rsidRPr="00C63860" w:rsidRDefault="00903112" w:rsidP="0020028A">
      <w:pPr>
        <w:spacing w:line="276" w:lineRule="auto"/>
        <w:rPr>
          <w:b/>
          <w:bCs/>
        </w:rPr>
      </w:pPr>
      <w:r w:rsidRPr="00C63860">
        <w:rPr>
          <w:b/>
          <w:bCs/>
        </w:rPr>
        <w:t xml:space="preserve">2.3.1 </w:t>
      </w:r>
      <w:r w:rsidR="00C87DCA" w:rsidRPr="00C63860">
        <w:rPr>
          <w:b/>
          <w:bCs/>
        </w:rPr>
        <w:t>Characteristics of the cohorts</w:t>
      </w:r>
    </w:p>
    <w:p w14:paraId="33BC2B6E" w14:textId="41E1843C" w:rsidR="00903112" w:rsidRPr="00C63860" w:rsidRDefault="00C87DCA" w:rsidP="0020028A">
      <w:pPr>
        <w:spacing w:after="100" w:afterAutospacing="1" w:line="276" w:lineRule="auto"/>
      </w:pPr>
      <w:r w:rsidRPr="00C63860">
        <w:t>The number of emergency admissions who met the inclusion criteria were:</w:t>
      </w:r>
      <w:r w:rsidRPr="00C63860">
        <w:rPr>
          <w:b/>
          <w:bCs/>
        </w:rPr>
        <w:t xml:space="preserve"> </w:t>
      </w:r>
      <w:r w:rsidRPr="00C63860">
        <w:t>268,144 (appendicitis), 240,977 (cholelithiasis), 138,869 (diverticular disease), 106,432 (hernia), and 133,073 (intestinal obstruction) (</w:t>
      </w:r>
      <w:r w:rsidR="00C63860" w:rsidRPr="00C63860">
        <w:rPr>
          <w:i/>
          <w:color w:val="FF0000"/>
        </w:rPr>
        <w:t>Table 3</w:t>
      </w:r>
      <w:r w:rsidRPr="00C63860">
        <w:t>). The most common reasons for excluding emergency admissions from the cohort were that the patient was not under the care of a general surgeon (15.6% of cholelithiasis admissions, 13.3% of diverticular disease admissions and 14.6% of intestinal obstruction admissions) or that the patient had been admitted as an emergency for the same condition in the previous 12 months (10.6% of cholelithiasis admissions, 13.4% of intestinal obstruction admissions).</w:t>
      </w:r>
    </w:p>
    <w:p w14:paraId="06FBCC7C" w14:textId="29B7E8B0" w:rsidR="00903112" w:rsidRPr="00C63860" w:rsidRDefault="00903112" w:rsidP="0020028A">
      <w:pPr>
        <w:spacing w:after="100" w:afterAutospacing="1" w:line="276" w:lineRule="auto"/>
        <w:rPr>
          <w:iCs/>
        </w:rPr>
      </w:pPr>
      <w:r w:rsidRPr="00C63860">
        <w:rPr>
          <w:iCs/>
        </w:rPr>
        <w:t xml:space="preserve">Patient characteristics in the five cohorts are shown in </w:t>
      </w:r>
      <w:r w:rsidR="00C63860" w:rsidRPr="00C63860">
        <w:rPr>
          <w:i/>
          <w:iCs/>
          <w:color w:val="FF0000"/>
        </w:rPr>
        <w:t>Table 4</w:t>
      </w:r>
      <w:r w:rsidRPr="00C63860">
        <w:rPr>
          <w:iCs/>
        </w:rPr>
        <w:t>. Appendicitis patients were typically younger</w:t>
      </w:r>
      <w:r w:rsidR="00FA493A" w:rsidRPr="00C63860">
        <w:rPr>
          <w:iCs/>
        </w:rPr>
        <w:t>,</w:t>
      </w:r>
      <w:r w:rsidRPr="00C63860">
        <w:rPr>
          <w:iCs/>
        </w:rPr>
        <w:t xml:space="preserve"> with around half under 35 years old and less than </w:t>
      </w:r>
      <w:r w:rsidR="00C63860" w:rsidRPr="00C63860">
        <w:rPr>
          <w:iCs/>
          <w:color w:val="00B0F0"/>
        </w:rPr>
        <w:t xml:space="preserve">1% </w:t>
      </w:r>
      <w:r w:rsidRPr="00C63860">
        <w:rPr>
          <w:iCs/>
        </w:rPr>
        <w:t>aged 85 years or older. The other four cohorts included a higher percentage of patients aged 85 years or older (5.6% cholelithiasis, 9.9% diverticular disease, 12.3% hernia and 15.1% intestinal obstruction.) There were substantially more females in the cholelithiasis and diverticular disease cohorts and substantially more males in the hernia cohort.</w:t>
      </w:r>
    </w:p>
    <w:p w14:paraId="04E05DC8" w14:textId="77777777" w:rsidR="00903112" w:rsidRPr="00C63860" w:rsidRDefault="00903112" w:rsidP="0020028A">
      <w:pPr>
        <w:spacing w:after="100" w:afterAutospacing="1" w:line="276" w:lineRule="auto"/>
        <w:rPr>
          <w:iCs/>
        </w:rPr>
      </w:pPr>
      <w:r w:rsidRPr="00C63860">
        <w:rPr>
          <w:iCs/>
        </w:rPr>
        <w:t xml:space="preserve">The majority of emergency admissions with appendicitis had no comorbidity and only 2.1% had at least two comorbidities. The percentage of patients with at least two comorbidities was higher for the other four conditions </w:t>
      </w:r>
      <w:bookmarkStart w:id="36" w:name="_Hlk85193906"/>
      <w:r w:rsidRPr="00C63860">
        <w:rPr>
          <w:iCs/>
        </w:rPr>
        <w:t>(8.9% cholelithiasis, 11.5% diverticular disease, 10.6% hernia and 16.0% intestinal obstruction)</w:t>
      </w:r>
      <w:bookmarkEnd w:id="36"/>
      <w:r w:rsidRPr="00C63860">
        <w:rPr>
          <w:iCs/>
        </w:rPr>
        <w:t>.</w:t>
      </w:r>
    </w:p>
    <w:p w14:paraId="2E7A85FE" w14:textId="5557BEF0" w:rsidR="00903112" w:rsidRPr="00C63860" w:rsidRDefault="00903112" w:rsidP="0020028A">
      <w:pPr>
        <w:spacing w:after="100" w:afterAutospacing="1" w:line="276" w:lineRule="auto"/>
        <w:rPr>
          <w:iCs/>
        </w:rPr>
      </w:pPr>
      <w:r w:rsidRPr="00C63860">
        <w:rPr>
          <w:iCs/>
        </w:rPr>
        <w:t xml:space="preserve">Appendicitis patients were also least likely to be categorised as having any frailty and less than </w:t>
      </w:r>
      <w:r w:rsidR="00C63860" w:rsidRPr="00C63860">
        <w:rPr>
          <w:iCs/>
          <w:color w:val="00B0F0"/>
        </w:rPr>
        <w:t xml:space="preserve">1% </w:t>
      </w:r>
      <w:r w:rsidRPr="00C63860">
        <w:rPr>
          <w:iCs/>
        </w:rPr>
        <w:t>were categorised as having severe frailty. The percentage of patients with any frailty were 17.3% with appendicitis,</w:t>
      </w:r>
      <w:r w:rsidRPr="00C63860">
        <w:t xml:space="preserve"> </w:t>
      </w:r>
      <w:r w:rsidRPr="00C63860">
        <w:rPr>
          <w:iCs/>
        </w:rPr>
        <w:t>38.2% with cholelithiasis, 48.1% with diverticular disease, 46.5% with hernia and 54.6%</w:t>
      </w:r>
      <w:r w:rsidR="00E425D6" w:rsidRPr="00C63860">
        <w:rPr>
          <w:iCs/>
        </w:rPr>
        <w:t xml:space="preserve"> with intestinal obstruction</w:t>
      </w:r>
      <w:r w:rsidRPr="00C63860">
        <w:rPr>
          <w:iCs/>
        </w:rPr>
        <w:t>. Severe frailty was less common and reported in 2.6% with cholelithiasis, 4.4% with diverticular disease, 4.2% with hernia and 6.5% with intestinal obstruction.</w:t>
      </w:r>
    </w:p>
    <w:p w14:paraId="262ABD74" w14:textId="02217323" w:rsidR="00C63860" w:rsidRPr="00C63860" w:rsidRDefault="00903112" w:rsidP="0020028A">
      <w:pPr>
        <w:spacing w:after="100" w:afterAutospacing="1" w:line="276" w:lineRule="auto"/>
        <w:rPr>
          <w:iCs/>
        </w:rPr>
      </w:pPr>
      <w:r w:rsidRPr="00C63860">
        <w:rPr>
          <w:iCs/>
        </w:rPr>
        <w:t>The proportion of emergency admissions in the cohort that met the criteria for ES was highest for acute appendicitis (92.3%), lower for hernia (58.8%), intestinal obstruction (30.5%) and cholelithiasis (21.6%), and lowest for diverticular disease (11.4%) (</w:t>
      </w:r>
      <w:r w:rsidR="00C63860" w:rsidRPr="00C63860">
        <w:rPr>
          <w:i/>
          <w:iCs/>
          <w:color w:val="FF0000"/>
        </w:rPr>
        <w:t>Table 5</w:t>
      </w:r>
      <w:r w:rsidRPr="00C63860">
        <w:rPr>
          <w:iCs/>
        </w:rPr>
        <w:t xml:space="preserve">). For two conditions (appendicitis and cholelithiasis) the patients </w:t>
      </w:r>
      <w:r w:rsidR="00114784" w:rsidRPr="00C63860">
        <w:rPr>
          <w:iCs/>
        </w:rPr>
        <w:t>who had</w:t>
      </w:r>
      <w:r w:rsidRPr="00C63860">
        <w:rPr>
          <w:iCs/>
        </w:rPr>
        <w:t xml:space="preserve"> ES were, on average, younger than the patients </w:t>
      </w:r>
      <w:r w:rsidR="00114784" w:rsidRPr="00C63860">
        <w:rPr>
          <w:iCs/>
        </w:rPr>
        <w:t>who had</w:t>
      </w:r>
      <w:r w:rsidRPr="00C63860">
        <w:rPr>
          <w:iCs/>
        </w:rPr>
        <w:t xml:space="preserve"> NES strategies.</w:t>
      </w:r>
    </w:p>
    <w:p w14:paraId="51523135" w14:textId="20DE6E47" w:rsidR="00C63860" w:rsidRPr="00C63860" w:rsidRDefault="00C63860" w:rsidP="000D4D73">
      <w:pPr>
        <w:pStyle w:val="Caption"/>
        <w:keepNext/>
        <w:rPr>
          <w:b/>
          <w:bCs/>
          <w:color w:val="auto"/>
          <w:sz w:val="22"/>
        </w:rPr>
      </w:pPr>
      <w:bookmarkStart w:id="37" w:name="_Toc86670775"/>
      <w:r w:rsidRPr="00C63860">
        <w:rPr>
          <w:b/>
          <w:bCs/>
          <w:color w:val="FF0000"/>
          <w:sz w:val="22"/>
        </w:rPr>
        <w:t xml:space="preserve">Table </w:t>
      </w:r>
      <w:r w:rsidRPr="00C63860">
        <w:rPr>
          <w:b/>
          <w:bCs/>
          <w:noProof/>
          <w:color w:val="FF0000"/>
          <w:sz w:val="22"/>
        </w:rPr>
        <w:t>3</w:t>
      </w:r>
      <w:r w:rsidR="000D4D73" w:rsidRPr="00C63860">
        <w:rPr>
          <w:b/>
          <w:bCs/>
          <w:color w:val="auto"/>
          <w:sz w:val="22"/>
        </w:rPr>
        <w:t>: Application of ESORT study inclusion and exclusion criteria for emergency admissions to 175 acute NHS hospitals in England from April 2010 to December 2019</w:t>
      </w:r>
      <w:bookmarkEnd w:id="37"/>
    </w:p>
    <w:p w14:paraId="18314402" w14:textId="7432862C" w:rsidR="00C87DCA" w:rsidRPr="00C63860" w:rsidRDefault="00C87DCA" w:rsidP="00C87DCA">
      <w:pPr>
        <w:rPr>
          <w:b/>
          <w:bCs/>
          <w:sz w:val="24"/>
          <w:szCs w:val="24"/>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847"/>
        <w:gridCol w:w="1199"/>
        <w:gridCol w:w="1276"/>
        <w:gridCol w:w="1412"/>
        <w:gridCol w:w="866"/>
        <w:gridCol w:w="1426"/>
      </w:tblGrid>
      <w:tr w:rsidR="00C87DCA" w:rsidRPr="00C63860" w14:paraId="659F3316" w14:textId="77777777" w:rsidTr="00C63860">
        <w:trPr>
          <w:cantSplit/>
        </w:trPr>
        <w:tc>
          <w:tcPr>
            <w:tcW w:w="0" w:type="auto"/>
            <w:shd w:val="clear" w:color="auto" w:fill="auto"/>
          </w:tcPr>
          <w:p w14:paraId="350ABCD2" w14:textId="77777777" w:rsidR="00C87DCA" w:rsidRPr="00C63860" w:rsidRDefault="00C87DCA" w:rsidP="00C87DCA">
            <w:pPr>
              <w:rPr>
                <w:b/>
                <w:bCs/>
              </w:rPr>
            </w:pPr>
          </w:p>
        </w:tc>
        <w:tc>
          <w:tcPr>
            <w:tcW w:w="0" w:type="auto"/>
            <w:shd w:val="clear" w:color="auto" w:fill="auto"/>
            <w:hideMark/>
          </w:tcPr>
          <w:p w14:paraId="77FA91B0" w14:textId="77777777" w:rsidR="00C87DCA" w:rsidRPr="00C63860" w:rsidRDefault="00C87DCA" w:rsidP="00C87DCA">
            <w:pPr>
              <w:jc w:val="center"/>
              <w:rPr>
                <w:b/>
              </w:rPr>
            </w:pPr>
            <w:r w:rsidRPr="00C63860">
              <w:rPr>
                <w:b/>
              </w:rPr>
              <w:t>Appendicitis</w:t>
            </w:r>
          </w:p>
        </w:tc>
        <w:tc>
          <w:tcPr>
            <w:tcW w:w="0" w:type="auto"/>
            <w:shd w:val="clear" w:color="auto" w:fill="auto"/>
            <w:hideMark/>
          </w:tcPr>
          <w:p w14:paraId="62B3FF20" w14:textId="77777777" w:rsidR="00C87DCA" w:rsidRPr="00C63860" w:rsidRDefault="00C87DCA" w:rsidP="00C87DCA">
            <w:pPr>
              <w:jc w:val="center"/>
              <w:rPr>
                <w:b/>
              </w:rPr>
            </w:pPr>
            <w:r w:rsidRPr="00C63860">
              <w:rPr>
                <w:b/>
              </w:rPr>
              <w:t xml:space="preserve">Cholelithiasis </w:t>
            </w:r>
          </w:p>
        </w:tc>
        <w:tc>
          <w:tcPr>
            <w:tcW w:w="0" w:type="auto"/>
            <w:shd w:val="clear" w:color="auto" w:fill="auto"/>
            <w:hideMark/>
          </w:tcPr>
          <w:p w14:paraId="2E4F67EF" w14:textId="77777777" w:rsidR="00C87DCA" w:rsidRPr="00C63860" w:rsidRDefault="00C87DCA" w:rsidP="00C87DCA">
            <w:pPr>
              <w:jc w:val="center"/>
              <w:rPr>
                <w:b/>
              </w:rPr>
            </w:pPr>
            <w:r w:rsidRPr="00C63860">
              <w:rPr>
                <w:b/>
              </w:rPr>
              <w:t>Diverticular disease</w:t>
            </w:r>
          </w:p>
        </w:tc>
        <w:tc>
          <w:tcPr>
            <w:tcW w:w="0" w:type="auto"/>
            <w:shd w:val="clear" w:color="auto" w:fill="auto"/>
            <w:hideMark/>
          </w:tcPr>
          <w:p w14:paraId="37531896" w14:textId="77777777" w:rsidR="00C87DCA" w:rsidRPr="00C63860" w:rsidRDefault="00C87DCA" w:rsidP="00C87DCA">
            <w:pPr>
              <w:jc w:val="center"/>
              <w:rPr>
                <w:b/>
              </w:rPr>
            </w:pPr>
            <w:r w:rsidRPr="00C63860">
              <w:rPr>
                <w:b/>
              </w:rPr>
              <w:t>Hernia</w:t>
            </w:r>
          </w:p>
        </w:tc>
        <w:tc>
          <w:tcPr>
            <w:tcW w:w="0" w:type="auto"/>
            <w:shd w:val="clear" w:color="auto" w:fill="auto"/>
            <w:hideMark/>
          </w:tcPr>
          <w:p w14:paraId="09E30764" w14:textId="77777777" w:rsidR="00C87DCA" w:rsidRPr="00C63860" w:rsidRDefault="00C87DCA" w:rsidP="00C87DCA">
            <w:pPr>
              <w:jc w:val="center"/>
              <w:rPr>
                <w:b/>
              </w:rPr>
            </w:pPr>
            <w:r w:rsidRPr="00C63860">
              <w:rPr>
                <w:b/>
              </w:rPr>
              <w:t>Intestinal obstruction</w:t>
            </w:r>
          </w:p>
        </w:tc>
      </w:tr>
      <w:tr w:rsidR="00C87DCA" w:rsidRPr="00C63860" w14:paraId="04D6FF3B" w14:textId="77777777" w:rsidTr="00C63860">
        <w:trPr>
          <w:cantSplit/>
        </w:trPr>
        <w:tc>
          <w:tcPr>
            <w:tcW w:w="0" w:type="auto"/>
            <w:shd w:val="clear" w:color="auto" w:fill="auto"/>
            <w:hideMark/>
          </w:tcPr>
          <w:p w14:paraId="2777AFD5" w14:textId="77777777" w:rsidR="00C87DCA" w:rsidRPr="00C63860" w:rsidRDefault="00C87DCA" w:rsidP="00C87DCA">
            <w:pPr>
              <w:rPr>
                <w:bCs/>
                <w:i/>
              </w:rPr>
            </w:pPr>
            <w:r w:rsidRPr="00C63860">
              <w:rPr>
                <w:bCs/>
                <w:i/>
              </w:rPr>
              <w:t>Meet panel inclusion criteria: n</w:t>
            </w:r>
          </w:p>
        </w:tc>
        <w:tc>
          <w:tcPr>
            <w:tcW w:w="0" w:type="auto"/>
            <w:shd w:val="clear" w:color="auto" w:fill="auto"/>
            <w:tcMar>
              <w:top w:w="113" w:type="dxa"/>
              <w:left w:w="108" w:type="dxa"/>
              <w:bottom w:w="113" w:type="dxa"/>
              <w:right w:w="108" w:type="dxa"/>
            </w:tcMar>
            <w:vAlign w:val="bottom"/>
            <w:hideMark/>
          </w:tcPr>
          <w:p w14:paraId="35A133E1" w14:textId="77777777" w:rsidR="00C87DCA" w:rsidRPr="00C63860" w:rsidRDefault="00C87DCA" w:rsidP="00C87DCA">
            <w:pPr>
              <w:jc w:val="center"/>
              <w:rPr>
                <w:b/>
                <w:bCs/>
                <w:i/>
              </w:rPr>
            </w:pPr>
            <w:r w:rsidRPr="00C63860">
              <w:rPr>
                <w:i/>
              </w:rPr>
              <w:t>307,890</w:t>
            </w:r>
          </w:p>
        </w:tc>
        <w:tc>
          <w:tcPr>
            <w:tcW w:w="0" w:type="auto"/>
            <w:shd w:val="clear" w:color="auto" w:fill="auto"/>
            <w:tcMar>
              <w:top w:w="113" w:type="dxa"/>
              <w:left w:w="108" w:type="dxa"/>
              <w:bottom w:w="113" w:type="dxa"/>
              <w:right w:w="108" w:type="dxa"/>
            </w:tcMar>
            <w:hideMark/>
          </w:tcPr>
          <w:p w14:paraId="04500CBE" w14:textId="77777777" w:rsidR="00C87DCA" w:rsidRPr="00C63860" w:rsidRDefault="00C87DCA" w:rsidP="00C87DCA">
            <w:pPr>
              <w:jc w:val="center"/>
              <w:rPr>
                <w:b/>
                <w:bCs/>
                <w:i/>
              </w:rPr>
            </w:pPr>
            <w:r w:rsidRPr="00C63860">
              <w:rPr>
                <w:i/>
              </w:rPr>
              <w:t>365,791</w:t>
            </w:r>
          </w:p>
        </w:tc>
        <w:tc>
          <w:tcPr>
            <w:tcW w:w="0" w:type="auto"/>
            <w:shd w:val="clear" w:color="auto" w:fill="auto"/>
            <w:tcMar>
              <w:top w:w="113" w:type="dxa"/>
              <w:left w:w="108" w:type="dxa"/>
              <w:bottom w:w="113" w:type="dxa"/>
              <w:right w:w="108" w:type="dxa"/>
            </w:tcMar>
            <w:hideMark/>
          </w:tcPr>
          <w:p w14:paraId="0E058BE0" w14:textId="77777777" w:rsidR="00C87DCA" w:rsidRPr="00C63860" w:rsidRDefault="00C87DCA" w:rsidP="00C87DCA">
            <w:pPr>
              <w:jc w:val="center"/>
              <w:rPr>
                <w:b/>
                <w:bCs/>
                <w:i/>
              </w:rPr>
            </w:pPr>
            <w:r w:rsidRPr="00C63860">
              <w:rPr>
                <w:i/>
              </w:rPr>
              <w:t>200,021</w:t>
            </w:r>
          </w:p>
        </w:tc>
        <w:tc>
          <w:tcPr>
            <w:tcW w:w="0" w:type="auto"/>
            <w:shd w:val="clear" w:color="auto" w:fill="auto"/>
            <w:tcMar>
              <w:top w:w="113" w:type="dxa"/>
              <w:left w:w="108" w:type="dxa"/>
              <w:bottom w:w="113" w:type="dxa"/>
              <w:right w:w="108" w:type="dxa"/>
            </w:tcMar>
            <w:hideMark/>
          </w:tcPr>
          <w:p w14:paraId="05D3C25B" w14:textId="77777777" w:rsidR="00C87DCA" w:rsidRPr="00C63860" w:rsidRDefault="00C87DCA" w:rsidP="00C87DCA">
            <w:pPr>
              <w:jc w:val="center"/>
              <w:rPr>
                <w:b/>
                <w:bCs/>
                <w:i/>
              </w:rPr>
            </w:pPr>
            <w:r w:rsidRPr="00C63860">
              <w:rPr>
                <w:i/>
              </w:rPr>
              <w:t>146,601</w:t>
            </w:r>
          </w:p>
        </w:tc>
        <w:tc>
          <w:tcPr>
            <w:tcW w:w="0" w:type="auto"/>
            <w:shd w:val="clear" w:color="auto" w:fill="auto"/>
            <w:tcMar>
              <w:top w:w="113" w:type="dxa"/>
              <w:left w:w="108" w:type="dxa"/>
              <w:bottom w:w="113" w:type="dxa"/>
              <w:right w:w="108" w:type="dxa"/>
            </w:tcMar>
            <w:hideMark/>
          </w:tcPr>
          <w:p w14:paraId="27D3D675" w14:textId="77777777" w:rsidR="00C87DCA" w:rsidRPr="00C63860" w:rsidRDefault="00C87DCA" w:rsidP="00C87DCA">
            <w:pPr>
              <w:jc w:val="center"/>
              <w:rPr>
                <w:b/>
                <w:bCs/>
                <w:i/>
              </w:rPr>
            </w:pPr>
            <w:r w:rsidRPr="00C63860">
              <w:rPr>
                <w:i/>
              </w:rPr>
              <w:t>236,791</w:t>
            </w:r>
          </w:p>
        </w:tc>
      </w:tr>
      <w:tr w:rsidR="00C87DCA" w:rsidRPr="00C63860" w14:paraId="4D806C9D" w14:textId="77777777" w:rsidTr="00C63860">
        <w:trPr>
          <w:cantSplit/>
        </w:trPr>
        <w:tc>
          <w:tcPr>
            <w:tcW w:w="0" w:type="auto"/>
            <w:shd w:val="clear" w:color="auto" w:fill="auto"/>
            <w:hideMark/>
          </w:tcPr>
          <w:p w14:paraId="470A1ACD" w14:textId="77777777" w:rsidR="00C87DCA" w:rsidRPr="00C63860" w:rsidRDefault="00C87DCA" w:rsidP="00C87DCA">
            <w:pPr>
              <w:rPr>
                <w:b/>
                <w:bCs/>
              </w:rPr>
            </w:pPr>
            <w:r w:rsidRPr="00C63860">
              <w:rPr>
                <w:b/>
                <w:bCs/>
              </w:rPr>
              <w:t xml:space="preserve">Exclusions: </w:t>
            </w:r>
            <w:r w:rsidRPr="00C63860">
              <w:rPr>
                <w:b/>
                <w:bCs/>
                <w:i/>
                <w:color w:val="00B0F0"/>
              </w:rPr>
              <w:t>n</w:t>
            </w:r>
            <w:r w:rsidRPr="00C63860">
              <w:rPr>
                <w:b/>
                <w:bCs/>
              </w:rPr>
              <w:t xml:space="preserve"> (%)</w:t>
            </w:r>
          </w:p>
        </w:tc>
        <w:tc>
          <w:tcPr>
            <w:tcW w:w="0" w:type="auto"/>
            <w:shd w:val="clear" w:color="auto" w:fill="auto"/>
            <w:vAlign w:val="bottom"/>
          </w:tcPr>
          <w:p w14:paraId="69B3164B" w14:textId="77777777" w:rsidR="00C87DCA" w:rsidRPr="00C63860" w:rsidRDefault="00C87DCA" w:rsidP="00C87DCA">
            <w:pPr>
              <w:jc w:val="center"/>
              <w:rPr>
                <w:b/>
                <w:bCs/>
              </w:rPr>
            </w:pPr>
          </w:p>
        </w:tc>
        <w:tc>
          <w:tcPr>
            <w:tcW w:w="0" w:type="auto"/>
            <w:shd w:val="clear" w:color="auto" w:fill="auto"/>
            <w:vAlign w:val="bottom"/>
          </w:tcPr>
          <w:p w14:paraId="166B23B3" w14:textId="77777777" w:rsidR="00C87DCA" w:rsidRPr="00C63860" w:rsidRDefault="00C87DCA" w:rsidP="00C87DCA">
            <w:pPr>
              <w:jc w:val="center"/>
              <w:rPr>
                <w:b/>
                <w:bCs/>
              </w:rPr>
            </w:pPr>
          </w:p>
        </w:tc>
        <w:tc>
          <w:tcPr>
            <w:tcW w:w="0" w:type="auto"/>
            <w:shd w:val="clear" w:color="auto" w:fill="auto"/>
            <w:vAlign w:val="bottom"/>
          </w:tcPr>
          <w:p w14:paraId="27454573" w14:textId="77777777" w:rsidR="00C87DCA" w:rsidRPr="00C63860" w:rsidRDefault="00C87DCA" w:rsidP="00C87DCA">
            <w:pPr>
              <w:jc w:val="center"/>
              <w:rPr>
                <w:b/>
                <w:bCs/>
              </w:rPr>
            </w:pPr>
          </w:p>
        </w:tc>
        <w:tc>
          <w:tcPr>
            <w:tcW w:w="0" w:type="auto"/>
            <w:shd w:val="clear" w:color="auto" w:fill="auto"/>
            <w:vAlign w:val="bottom"/>
          </w:tcPr>
          <w:p w14:paraId="278601D4" w14:textId="77777777" w:rsidR="00C87DCA" w:rsidRPr="00C63860" w:rsidRDefault="00C87DCA" w:rsidP="00C87DCA">
            <w:pPr>
              <w:jc w:val="center"/>
              <w:rPr>
                <w:b/>
                <w:bCs/>
              </w:rPr>
            </w:pPr>
          </w:p>
        </w:tc>
        <w:tc>
          <w:tcPr>
            <w:tcW w:w="0" w:type="auto"/>
            <w:shd w:val="clear" w:color="auto" w:fill="auto"/>
            <w:vAlign w:val="bottom"/>
          </w:tcPr>
          <w:p w14:paraId="5B00EC91" w14:textId="77777777" w:rsidR="00C87DCA" w:rsidRPr="00C63860" w:rsidRDefault="00C87DCA" w:rsidP="00C87DCA">
            <w:pPr>
              <w:jc w:val="center"/>
              <w:rPr>
                <w:b/>
                <w:bCs/>
              </w:rPr>
            </w:pPr>
          </w:p>
        </w:tc>
      </w:tr>
      <w:tr w:rsidR="00C87DCA" w:rsidRPr="00C63860" w14:paraId="3494D7DD" w14:textId="77777777" w:rsidTr="00C63860">
        <w:trPr>
          <w:cantSplit/>
        </w:trPr>
        <w:tc>
          <w:tcPr>
            <w:tcW w:w="0" w:type="auto"/>
            <w:shd w:val="clear" w:color="auto" w:fill="auto"/>
            <w:vAlign w:val="center"/>
            <w:hideMark/>
          </w:tcPr>
          <w:p w14:paraId="52D39920" w14:textId="77777777" w:rsidR="00C87DCA" w:rsidRPr="00C63860" w:rsidRDefault="00C87DCA" w:rsidP="00C87DCA">
            <w:pPr>
              <w:ind w:left="170"/>
            </w:pPr>
            <w:r w:rsidRPr="00C63860">
              <w:t>No episode with a consultant surgeon</w:t>
            </w:r>
          </w:p>
        </w:tc>
        <w:tc>
          <w:tcPr>
            <w:tcW w:w="0" w:type="auto"/>
            <w:shd w:val="clear" w:color="auto" w:fill="auto"/>
            <w:tcMar>
              <w:top w:w="57" w:type="dxa"/>
              <w:left w:w="108" w:type="dxa"/>
              <w:bottom w:w="57" w:type="dxa"/>
              <w:right w:w="108" w:type="dxa"/>
            </w:tcMar>
            <w:vAlign w:val="center"/>
            <w:hideMark/>
          </w:tcPr>
          <w:p w14:paraId="1AA65584" w14:textId="77777777" w:rsidR="00C87DCA" w:rsidRPr="00C63860" w:rsidRDefault="00C87DCA" w:rsidP="00C87DCA">
            <w:pPr>
              <w:jc w:val="center"/>
            </w:pPr>
            <w:r w:rsidRPr="00C63860">
              <w:t>8,582</w:t>
            </w:r>
          </w:p>
          <w:p w14:paraId="7A2B6A36" w14:textId="77777777" w:rsidR="00C87DCA" w:rsidRPr="00C63860" w:rsidRDefault="00C87DCA" w:rsidP="00C87DCA">
            <w:pPr>
              <w:jc w:val="center"/>
            </w:pPr>
            <w:r w:rsidRPr="00C63860">
              <w:t>(2.8)</w:t>
            </w:r>
          </w:p>
        </w:tc>
        <w:tc>
          <w:tcPr>
            <w:tcW w:w="0" w:type="auto"/>
            <w:shd w:val="clear" w:color="auto" w:fill="auto"/>
            <w:tcMar>
              <w:top w:w="57" w:type="dxa"/>
              <w:left w:w="108" w:type="dxa"/>
              <w:bottom w:w="57" w:type="dxa"/>
              <w:right w:w="108" w:type="dxa"/>
            </w:tcMar>
            <w:vAlign w:val="center"/>
            <w:hideMark/>
          </w:tcPr>
          <w:p w14:paraId="6E96A1D6" w14:textId="77777777" w:rsidR="00C87DCA" w:rsidRPr="00C63860" w:rsidRDefault="00C87DCA" w:rsidP="00C87DCA">
            <w:pPr>
              <w:jc w:val="center"/>
            </w:pPr>
            <w:r w:rsidRPr="00C63860">
              <w:t>56,913</w:t>
            </w:r>
          </w:p>
          <w:p w14:paraId="23CB7146" w14:textId="77777777" w:rsidR="00C87DCA" w:rsidRPr="00C63860" w:rsidRDefault="00C87DCA" w:rsidP="00C87DCA">
            <w:pPr>
              <w:jc w:val="center"/>
            </w:pPr>
            <w:r w:rsidRPr="00C63860">
              <w:t>(15.6)</w:t>
            </w:r>
          </w:p>
        </w:tc>
        <w:tc>
          <w:tcPr>
            <w:tcW w:w="0" w:type="auto"/>
            <w:shd w:val="clear" w:color="auto" w:fill="auto"/>
            <w:tcMar>
              <w:top w:w="57" w:type="dxa"/>
              <w:left w:w="108" w:type="dxa"/>
              <w:bottom w:w="57" w:type="dxa"/>
              <w:right w:w="108" w:type="dxa"/>
            </w:tcMar>
            <w:vAlign w:val="center"/>
            <w:hideMark/>
          </w:tcPr>
          <w:p w14:paraId="4EC55EE0" w14:textId="77777777" w:rsidR="00C87DCA" w:rsidRPr="00C63860" w:rsidRDefault="00C87DCA" w:rsidP="00C87DCA">
            <w:pPr>
              <w:jc w:val="center"/>
            </w:pPr>
            <w:r w:rsidRPr="00C63860">
              <w:t>26,606</w:t>
            </w:r>
          </w:p>
          <w:p w14:paraId="04D5860E" w14:textId="77777777" w:rsidR="00C87DCA" w:rsidRPr="00C63860" w:rsidRDefault="00C87DCA" w:rsidP="00C87DCA">
            <w:pPr>
              <w:jc w:val="center"/>
            </w:pPr>
            <w:r w:rsidRPr="00C63860">
              <w:t>(13.3)</w:t>
            </w:r>
          </w:p>
        </w:tc>
        <w:tc>
          <w:tcPr>
            <w:tcW w:w="0" w:type="auto"/>
            <w:shd w:val="clear" w:color="auto" w:fill="auto"/>
            <w:tcMar>
              <w:top w:w="57" w:type="dxa"/>
              <w:left w:w="108" w:type="dxa"/>
              <w:bottom w:w="57" w:type="dxa"/>
              <w:right w:w="108" w:type="dxa"/>
            </w:tcMar>
            <w:vAlign w:val="center"/>
            <w:hideMark/>
          </w:tcPr>
          <w:p w14:paraId="0E846FED" w14:textId="77777777" w:rsidR="00C87DCA" w:rsidRPr="00C63860" w:rsidRDefault="00C87DCA" w:rsidP="00C87DCA">
            <w:pPr>
              <w:jc w:val="center"/>
            </w:pPr>
            <w:r w:rsidRPr="00C63860">
              <w:t>9,457</w:t>
            </w:r>
          </w:p>
          <w:p w14:paraId="09C68A5A" w14:textId="77777777" w:rsidR="00C87DCA" w:rsidRPr="00C63860" w:rsidRDefault="00C87DCA" w:rsidP="00C87DCA">
            <w:pPr>
              <w:jc w:val="center"/>
            </w:pPr>
            <w:r w:rsidRPr="00C63860">
              <w:t>(6.5)</w:t>
            </w:r>
          </w:p>
        </w:tc>
        <w:tc>
          <w:tcPr>
            <w:tcW w:w="0" w:type="auto"/>
            <w:shd w:val="clear" w:color="auto" w:fill="auto"/>
            <w:tcMar>
              <w:top w:w="57" w:type="dxa"/>
              <w:left w:w="108" w:type="dxa"/>
              <w:bottom w:w="57" w:type="dxa"/>
              <w:right w:w="108" w:type="dxa"/>
            </w:tcMar>
            <w:vAlign w:val="center"/>
            <w:hideMark/>
          </w:tcPr>
          <w:p w14:paraId="20B65B77" w14:textId="77777777" w:rsidR="00C87DCA" w:rsidRPr="00C63860" w:rsidRDefault="00C87DCA" w:rsidP="00C87DCA">
            <w:pPr>
              <w:jc w:val="center"/>
            </w:pPr>
            <w:r w:rsidRPr="00C63860">
              <w:t>34,475</w:t>
            </w:r>
          </w:p>
          <w:p w14:paraId="0EDFA3A0" w14:textId="77777777" w:rsidR="00C87DCA" w:rsidRPr="00C63860" w:rsidRDefault="00C87DCA" w:rsidP="00C87DCA">
            <w:pPr>
              <w:jc w:val="center"/>
            </w:pPr>
            <w:r w:rsidRPr="00C63860">
              <w:t>(14.6)</w:t>
            </w:r>
          </w:p>
        </w:tc>
      </w:tr>
      <w:tr w:rsidR="00C87DCA" w:rsidRPr="00C63860" w14:paraId="245B600F" w14:textId="77777777" w:rsidTr="00C63860">
        <w:trPr>
          <w:cantSplit/>
        </w:trPr>
        <w:tc>
          <w:tcPr>
            <w:tcW w:w="0" w:type="auto"/>
            <w:shd w:val="clear" w:color="auto" w:fill="auto"/>
            <w:vAlign w:val="center"/>
            <w:hideMark/>
          </w:tcPr>
          <w:p w14:paraId="4D2A0F9A" w14:textId="77777777" w:rsidR="00C87DCA" w:rsidRPr="00C63860" w:rsidRDefault="00C87DCA" w:rsidP="00C87DCA">
            <w:pPr>
              <w:ind w:left="170"/>
            </w:pPr>
            <w:r w:rsidRPr="00C63860">
              <w:t>No eligible diagnosis in the first two episodes</w:t>
            </w:r>
          </w:p>
        </w:tc>
        <w:tc>
          <w:tcPr>
            <w:tcW w:w="0" w:type="auto"/>
            <w:shd w:val="clear" w:color="auto" w:fill="auto"/>
            <w:tcMar>
              <w:top w:w="57" w:type="dxa"/>
              <w:left w:w="108" w:type="dxa"/>
              <w:bottom w:w="57" w:type="dxa"/>
              <w:right w:w="108" w:type="dxa"/>
            </w:tcMar>
            <w:vAlign w:val="center"/>
            <w:hideMark/>
          </w:tcPr>
          <w:p w14:paraId="61A56A60" w14:textId="77777777" w:rsidR="00C87DCA" w:rsidRPr="00C63860" w:rsidRDefault="00C87DCA" w:rsidP="00C87DCA">
            <w:pPr>
              <w:jc w:val="center"/>
            </w:pPr>
            <w:r w:rsidRPr="00C63860">
              <w:t>1,492</w:t>
            </w:r>
          </w:p>
          <w:p w14:paraId="21EEC024" w14:textId="77777777" w:rsidR="00C87DCA" w:rsidRPr="00C63860" w:rsidRDefault="00C87DCA" w:rsidP="00C87DCA">
            <w:pPr>
              <w:jc w:val="center"/>
            </w:pPr>
            <w:r w:rsidRPr="00C63860">
              <w:t>(0.5)</w:t>
            </w:r>
          </w:p>
        </w:tc>
        <w:tc>
          <w:tcPr>
            <w:tcW w:w="0" w:type="auto"/>
            <w:shd w:val="clear" w:color="auto" w:fill="auto"/>
            <w:tcMar>
              <w:top w:w="57" w:type="dxa"/>
              <w:left w:w="108" w:type="dxa"/>
              <w:bottom w:w="57" w:type="dxa"/>
              <w:right w:w="108" w:type="dxa"/>
            </w:tcMar>
            <w:vAlign w:val="center"/>
            <w:hideMark/>
          </w:tcPr>
          <w:p w14:paraId="5F4DE1B2" w14:textId="77777777" w:rsidR="00C87DCA" w:rsidRPr="00C63860" w:rsidRDefault="00C87DCA" w:rsidP="00C87DCA">
            <w:pPr>
              <w:jc w:val="center"/>
            </w:pPr>
            <w:r w:rsidRPr="00C63860">
              <w:t>5,593</w:t>
            </w:r>
          </w:p>
          <w:p w14:paraId="49D8417B" w14:textId="77777777" w:rsidR="00C87DCA" w:rsidRPr="00C63860" w:rsidRDefault="00C87DCA" w:rsidP="00C87DCA">
            <w:pPr>
              <w:jc w:val="center"/>
            </w:pPr>
            <w:r w:rsidRPr="00C63860">
              <w:t>(1.5)</w:t>
            </w:r>
          </w:p>
        </w:tc>
        <w:tc>
          <w:tcPr>
            <w:tcW w:w="0" w:type="auto"/>
            <w:shd w:val="clear" w:color="auto" w:fill="auto"/>
            <w:tcMar>
              <w:top w:w="57" w:type="dxa"/>
              <w:left w:w="108" w:type="dxa"/>
              <w:bottom w:w="57" w:type="dxa"/>
              <w:right w:w="108" w:type="dxa"/>
            </w:tcMar>
            <w:vAlign w:val="center"/>
            <w:hideMark/>
          </w:tcPr>
          <w:p w14:paraId="0854E108" w14:textId="77777777" w:rsidR="00C87DCA" w:rsidRPr="00C63860" w:rsidRDefault="00C87DCA" w:rsidP="00C87DCA">
            <w:pPr>
              <w:jc w:val="center"/>
            </w:pPr>
            <w:r w:rsidRPr="00C63860">
              <w:t>5,501</w:t>
            </w:r>
          </w:p>
          <w:p w14:paraId="3B499F1D" w14:textId="77777777" w:rsidR="00C87DCA" w:rsidRPr="00C63860" w:rsidRDefault="00C87DCA" w:rsidP="00C87DCA">
            <w:pPr>
              <w:jc w:val="center"/>
            </w:pPr>
            <w:r w:rsidRPr="00C63860">
              <w:t>(2.8)</w:t>
            </w:r>
          </w:p>
        </w:tc>
        <w:tc>
          <w:tcPr>
            <w:tcW w:w="0" w:type="auto"/>
            <w:shd w:val="clear" w:color="auto" w:fill="auto"/>
            <w:tcMar>
              <w:top w:w="57" w:type="dxa"/>
              <w:left w:w="108" w:type="dxa"/>
              <w:bottom w:w="57" w:type="dxa"/>
              <w:right w:w="108" w:type="dxa"/>
            </w:tcMar>
            <w:vAlign w:val="center"/>
            <w:hideMark/>
          </w:tcPr>
          <w:p w14:paraId="1269DFA6" w14:textId="77777777" w:rsidR="00C87DCA" w:rsidRPr="00C63860" w:rsidRDefault="00C87DCA" w:rsidP="00C87DCA">
            <w:pPr>
              <w:jc w:val="center"/>
            </w:pPr>
            <w:r w:rsidRPr="00C63860">
              <w:t>1,761</w:t>
            </w:r>
          </w:p>
          <w:p w14:paraId="02B59B0E" w14:textId="77777777" w:rsidR="00C87DCA" w:rsidRPr="00C63860" w:rsidRDefault="00C87DCA" w:rsidP="00C87DCA">
            <w:pPr>
              <w:jc w:val="center"/>
            </w:pPr>
            <w:r w:rsidRPr="00C63860">
              <w:t>(1.2)</w:t>
            </w:r>
          </w:p>
        </w:tc>
        <w:tc>
          <w:tcPr>
            <w:tcW w:w="0" w:type="auto"/>
            <w:shd w:val="clear" w:color="auto" w:fill="auto"/>
            <w:tcMar>
              <w:top w:w="57" w:type="dxa"/>
              <w:left w:w="108" w:type="dxa"/>
              <w:bottom w:w="57" w:type="dxa"/>
              <w:right w:w="108" w:type="dxa"/>
            </w:tcMar>
            <w:vAlign w:val="center"/>
            <w:hideMark/>
          </w:tcPr>
          <w:p w14:paraId="0C0A20F6" w14:textId="77777777" w:rsidR="00C87DCA" w:rsidRPr="00C63860" w:rsidRDefault="00C87DCA" w:rsidP="00C87DCA">
            <w:pPr>
              <w:jc w:val="center"/>
            </w:pPr>
            <w:r w:rsidRPr="00C63860">
              <w:t>7,208</w:t>
            </w:r>
          </w:p>
          <w:p w14:paraId="7B9F2BAC" w14:textId="77777777" w:rsidR="00C87DCA" w:rsidRPr="00C63860" w:rsidRDefault="00C87DCA" w:rsidP="00C87DCA">
            <w:pPr>
              <w:jc w:val="center"/>
            </w:pPr>
            <w:r w:rsidRPr="00C63860">
              <w:t>(3.0)</w:t>
            </w:r>
          </w:p>
        </w:tc>
      </w:tr>
      <w:tr w:rsidR="00C87DCA" w:rsidRPr="00C63860" w14:paraId="1428A791" w14:textId="77777777" w:rsidTr="00C63860">
        <w:trPr>
          <w:cantSplit/>
        </w:trPr>
        <w:tc>
          <w:tcPr>
            <w:tcW w:w="0" w:type="auto"/>
            <w:shd w:val="clear" w:color="auto" w:fill="auto"/>
            <w:vAlign w:val="center"/>
            <w:hideMark/>
          </w:tcPr>
          <w:p w14:paraId="6080F072" w14:textId="77777777" w:rsidR="00C87DCA" w:rsidRPr="00C63860" w:rsidRDefault="00C87DCA" w:rsidP="00C87DCA">
            <w:pPr>
              <w:ind w:left="170"/>
            </w:pPr>
            <w:r w:rsidRPr="00C63860">
              <w:t>Not admitted through A&amp;E or GP</w:t>
            </w:r>
          </w:p>
        </w:tc>
        <w:tc>
          <w:tcPr>
            <w:tcW w:w="0" w:type="auto"/>
            <w:shd w:val="clear" w:color="auto" w:fill="auto"/>
            <w:tcMar>
              <w:top w:w="57" w:type="dxa"/>
              <w:left w:w="108" w:type="dxa"/>
              <w:bottom w:w="57" w:type="dxa"/>
              <w:right w:w="108" w:type="dxa"/>
            </w:tcMar>
            <w:vAlign w:val="center"/>
            <w:hideMark/>
          </w:tcPr>
          <w:p w14:paraId="4D952CD1" w14:textId="77777777" w:rsidR="00C87DCA" w:rsidRPr="00C63860" w:rsidRDefault="00C87DCA" w:rsidP="00C87DCA">
            <w:pPr>
              <w:jc w:val="center"/>
            </w:pPr>
            <w:r w:rsidRPr="00C63860">
              <w:t>21,053</w:t>
            </w:r>
          </w:p>
          <w:p w14:paraId="6EE51AE0" w14:textId="77777777" w:rsidR="00C87DCA" w:rsidRPr="00C63860" w:rsidRDefault="00C87DCA" w:rsidP="00C87DCA">
            <w:pPr>
              <w:jc w:val="center"/>
            </w:pPr>
            <w:r w:rsidRPr="00C63860">
              <w:t>(6.8)</w:t>
            </w:r>
          </w:p>
        </w:tc>
        <w:tc>
          <w:tcPr>
            <w:tcW w:w="0" w:type="auto"/>
            <w:shd w:val="clear" w:color="auto" w:fill="auto"/>
            <w:tcMar>
              <w:top w:w="57" w:type="dxa"/>
              <w:left w:w="108" w:type="dxa"/>
              <w:bottom w:w="57" w:type="dxa"/>
              <w:right w:w="108" w:type="dxa"/>
            </w:tcMar>
            <w:vAlign w:val="center"/>
            <w:hideMark/>
          </w:tcPr>
          <w:p w14:paraId="6644F21E" w14:textId="77777777" w:rsidR="00C87DCA" w:rsidRPr="00C63860" w:rsidRDefault="00C87DCA" w:rsidP="00C87DCA">
            <w:pPr>
              <w:jc w:val="center"/>
            </w:pPr>
            <w:r w:rsidRPr="00C63860">
              <w:t>21,637</w:t>
            </w:r>
          </w:p>
          <w:p w14:paraId="7E0954B7" w14:textId="77777777" w:rsidR="00C87DCA" w:rsidRPr="00C63860" w:rsidRDefault="00C87DCA" w:rsidP="00C87DCA">
            <w:pPr>
              <w:jc w:val="center"/>
            </w:pPr>
            <w:r w:rsidRPr="00C63860">
              <w:t>(5.9)</w:t>
            </w:r>
          </w:p>
        </w:tc>
        <w:tc>
          <w:tcPr>
            <w:tcW w:w="0" w:type="auto"/>
            <w:shd w:val="clear" w:color="auto" w:fill="auto"/>
            <w:tcMar>
              <w:top w:w="57" w:type="dxa"/>
              <w:left w:w="108" w:type="dxa"/>
              <w:bottom w:w="57" w:type="dxa"/>
              <w:right w:w="108" w:type="dxa"/>
            </w:tcMar>
            <w:vAlign w:val="center"/>
            <w:hideMark/>
          </w:tcPr>
          <w:p w14:paraId="4703FF4B" w14:textId="77777777" w:rsidR="00C87DCA" w:rsidRPr="00C63860" w:rsidRDefault="00C87DCA" w:rsidP="00C87DCA">
            <w:pPr>
              <w:jc w:val="center"/>
            </w:pPr>
            <w:r w:rsidRPr="00C63860">
              <w:t>12,182</w:t>
            </w:r>
          </w:p>
          <w:p w14:paraId="7F65C22C" w14:textId="77777777" w:rsidR="00C87DCA" w:rsidRPr="00C63860" w:rsidRDefault="00C87DCA" w:rsidP="00C87DCA">
            <w:pPr>
              <w:jc w:val="center"/>
            </w:pPr>
            <w:r w:rsidRPr="00C63860">
              <w:t>(6.1)</w:t>
            </w:r>
          </w:p>
        </w:tc>
        <w:tc>
          <w:tcPr>
            <w:tcW w:w="0" w:type="auto"/>
            <w:shd w:val="clear" w:color="auto" w:fill="auto"/>
            <w:tcMar>
              <w:top w:w="57" w:type="dxa"/>
              <w:left w:w="108" w:type="dxa"/>
              <w:bottom w:w="57" w:type="dxa"/>
              <w:right w:w="108" w:type="dxa"/>
            </w:tcMar>
            <w:vAlign w:val="center"/>
            <w:hideMark/>
          </w:tcPr>
          <w:p w14:paraId="7DD721B2" w14:textId="77777777" w:rsidR="00C87DCA" w:rsidRPr="00C63860" w:rsidRDefault="00C87DCA" w:rsidP="00C87DCA">
            <w:pPr>
              <w:jc w:val="center"/>
            </w:pPr>
            <w:r w:rsidRPr="00C63860">
              <w:t>11,477</w:t>
            </w:r>
          </w:p>
          <w:p w14:paraId="4134927D" w14:textId="77777777" w:rsidR="00C87DCA" w:rsidRPr="00C63860" w:rsidRDefault="00C87DCA" w:rsidP="00C87DCA">
            <w:pPr>
              <w:jc w:val="center"/>
            </w:pPr>
            <w:r w:rsidRPr="00C63860">
              <w:t>(7.8)</w:t>
            </w:r>
          </w:p>
        </w:tc>
        <w:tc>
          <w:tcPr>
            <w:tcW w:w="0" w:type="auto"/>
            <w:shd w:val="clear" w:color="auto" w:fill="auto"/>
            <w:tcMar>
              <w:top w:w="57" w:type="dxa"/>
              <w:left w:w="108" w:type="dxa"/>
              <w:bottom w:w="57" w:type="dxa"/>
              <w:right w:w="108" w:type="dxa"/>
            </w:tcMar>
            <w:vAlign w:val="center"/>
            <w:hideMark/>
          </w:tcPr>
          <w:p w14:paraId="18E4A3BF" w14:textId="77777777" w:rsidR="00C87DCA" w:rsidRPr="00C63860" w:rsidRDefault="00C87DCA" w:rsidP="00C87DCA">
            <w:pPr>
              <w:jc w:val="center"/>
            </w:pPr>
            <w:r w:rsidRPr="00C63860">
              <w:t>13,595</w:t>
            </w:r>
          </w:p>
          <w:p w14:paraId="166AA42A" w14:textId="77777777" w:rsidR="00C87DCA" w:rsidRPr="00C63860" w:rsidRDefault="00C87DCA" w:rsidP="00C87DCA">
            <w:pPr>
              <w:jc w:val="center"/>
            </w:pPr>
            <w:r w:rsidRPr="00C63860">
              <w:t>(5.7)</w:t>
            </w:r>
          </w:p>
        </w:tc>
      </w:tr>
      <w:tr w:rsidR="00C87DCA" w:rsidRPr="00C63860" w14:paraId="79ECC69E" w14:textId="77777777" w:rsidTr="00C63860">
        <w:trPr>
          <w:cantSplit/>
        </w:trPr>
        <w:tc>
          <w:tcPr>
            <w:tcW w:w="0" w:type="auto"/>
            <w:shd w:val="clear" w:color="auto" w:fill="auto"/>
            <w:vAlign w:val="center"/>
            <w:hideMark/>
          </w:tcPr>
          <w:p w14:paraId="76B12403" w14:textId="77777777" w:rsidR="00C87DCA" w:rsidRPr="00C63860" w:rsidRDefault="00C87DCA" w:rsidP="00C87DCA">
            <w:pPr>
              <w:ind w:left="170"/>
            </w:pPr>
            <w:r w:rsidRPr="00C63860">
              <w:t>Clinical panel exclusion criteria</w:t>
            </w:r>
          </w:p>
        </w:tc>
        <w:tc>
          <w:tcPr>
            <w:tcW w:w="0" w:type="auto"/>
            <w:shd w:val="clear" w:color="auto" w:fill="auto"/>
            <w:tcMar>
              <w:top w:w="57" w:type="dxa"/>
              <w:left w:w="108" w:type="dxa"/>
              <w:bottom w:w="57" w:type="dxa"/>
              <w:right w:w="108" w:type="dxa"/>
            </w:tcMar>
            <w:vAlign w:val="center"/>
            <w:hideMark/>
          </w:tcPr>
          <w:p w14:paraId="04BF8C17" w14:textId="77777777" w:rsidR="00C87DCA" w:rsidRPr="00C63860" w:rsidRDefault="00C87DCA" w:rsidP="00C87DCA">
            <w:pPr>
              <w:jc w:val="center"/>
            </w:pPr>
            <w:r w:rsidRPr="00C63860">
              <w:t>1,443</w:t>
            </w:r>
          </w:p>
          <w:p w14:paraId="436E11B7" w14:textId="77777777" w:rsidR="00C87DCA" w:rsidRPr="00C63860" w:rsidRDefault="00C87DCA" w:rsidP="00C87DCA">
            <w:pPr>
              <w:jc w:val="center"/>
            </w:pPr>
            <w:r w:rsidRPr="00C63860">
              <w:t>(0.5)</w:t>
            </w:r>
          </w:p>
        </w:tc>
        <w:tc>
          <w:tcPr>
            <w:tcW w:w="0" w:type="auto"/>
            <w:shd w:val="clear" w:color="auto" w:fill="auto"/>
            <w:tcMar>
              <w:top w:w="57" w:type="dxa"/>
              <w:left w:w="108" w:type="dxa"/>
              <w:bottom w:w="57" w:type="dxa"/>
              <w:right w:w="108" w:type="dxa"/>
            </w:tcMar>
            <w:vAlign w:val="center"/>
            <w:hideMark/>
          </w:tcPr>
          <w:p w14:paraId="70AA7EA2" w14:textId="77777777" w:rsidR="00C87DCA" w:rsidRPr="00C63860" w:rsidRDefault="00C87DCA" w:rsidP="00C87DCA">
            <w:pPr>
              <w:jc w:val="center"/>
            </w:pPr>
            <w:r w:rsidRPr="00C63860">
              <w:t>0</w:t>
            </w:r>
          </w:p>
          <w:p w14:paraId="57C8EEEE" w14:textId="77777777" w:rsidR="00C87DCA" w:rsidRPr="00C63860" w:rsidRDefault="00C87DCA" w:rsidP="00C87DCA">
            <w:pPr>
              <w:jc w:val="center"/>
            </w:pPr>
            <w:r w:rsidRPr="00C63860">
              <w:t>(0.0)</w:t>
            </w:r>
          </w:p>
        </w:tc>
        <w:tc>
          <w:tcPr>
            <w:tcW w:w="0" w:type="auto"/>
            <w:shd w:val="clear" w:color="auto" w:fill="auto"/>
            <w:tcMar>
              <w:top w:w="57" w:type="dxa"/>
              <w:left w:w="108" w:type="dxa"/>
              <w:bottom w:w="57" w:type="dxa"/>
              <w:right w:w="108" w:type="dxa"/>
            </w:tcMar>
            <w:vAlign w:val="center"/>
            <w:hideMark/>
          </w:tcPr>
          <w:p w14:paraId="528317D2" w14:textId="77777777" w:rsidR="00C87DCA" w:rsidRPr="00C63860" w:rsidRDefault="00C87DCA" w:rsidP="00C87DCA">
            <w:pPr>
              <w:jc w:val="center"/>
            </w:pPr>
            <w:r w:rsidRPr="00C63860">
              <w:t>0</w:t>
            </w:r>
          </w:p>
          <w:p w14:paraId="0A35BAB2" w14:textId="77777777" w:rsidR="00C87DCA" w:rsidRPr="00C63860" w:rsidRDefault="00C87DCA" w:rsidP="00C87DCA">
            <w:pPr>
              <w:jc w:val="center"/>
            </w:pPr>
            <w:r w:rsidRPr="00C63860">
              <w:t>(0.0)</w:t>
            </w:r>
          </w:p>
        </w:tc>
        <w:tc>
          <w:tcPr>
            <w:tcW w:w="0" w:type="auto"/>
            <w:shd w:val="clear" w:color="auto" w:fill="auto"/>
            <w:tcMar>
              <w:top w:w="57" w:type="dxa"/>
              <w:left w:w="108" w:type="dxa"/>
              <w:bottom w:w="57" w:type="dxa"/>
              <w:right w:w="108" w:type="dxa"/>
            </w:tcMar>
            <w:vAlign w:val="center"/>
            <w:hideMark/>
          </w:tcPr>
          <w:p w14:paraId="4A47E540" w14:textId="77777777" w:rsidR="00C87DCA" w:rsidRPr="00C63860" w:rsidRDefault="00C87DCA" w:rsidP="00C87DCA">
            <w:pPr>
              <w:jc w:val="center"/>
            </w:pPr>
            <w:r w:rsidRPr="00C63860">
              <w:t>7,574</w:t>
            </w:r>
          </w:p>
          <w:p w14:paraId="4332B6FF" w14:textId="77777777" w:rsidR="00C87DCA" w:rsidRPr="00C63860" w:rsidRDefault="00C87DCA" w:rsidP="00C87DCA">
            <w:pPr>
              <w:jc w:val="center"/>
            </w:pPr>
            <w:r w:rsidRPr="00C63860">
              <w:t>(5.2)</w:t>
            </w:r>
          </w:p>
        </w:tc>
        <w:tc>
          <w:tcPr>
            <w:tcW w:w="0" w:type="auto"/>
            <w:shd w:val="clear" w:color="auto" w:fill="auto"/>
            <w:tcMar>
              <w:top w:w="57" w:type="dxa"/>
              <w:left w:w="108" w:type="dxa"/>
              <w:bottom w:w="57" w:type="dxa"/>
              <w:right w:w="108" w:type="dxa"/>
            </w:tcMar>
            <w:vAlign w:val="center"/>
            <w:hideMark/>
          </w:tcPr>
          <w:p w14:paraId="0BA319F3" w14:textId="77777777" w:rsidR="00C87DCA" w:rsidRPr="00C63860" w:rsidRDefault="00C87DCA" w:rsidP="00C87DCA">
            <w:pPr>
              <w:jc w:val="center"/>
            </w:pPr>
            <w:r w:rsidRPr="00C63860">
              <w:t>10,512</w:t>
            </w:r>
          </w:p>
          <w:p w14:paraId="0B27336E" w14:textId="77777777" w:rsidR="00C87DCA" w:rsidRPr="00C63860" w:rsidRDefault="00C87DCA" w:rsidP="00C87DCA">
            <w:pPr>
              <w:jc w:val="center"/>
            </w:pPr>
            <w:r w:rsidRPr="00C63860">
              <w:t>(4.4)</w:t>
            </w:r>
          </w:p>
        </w:tc>
      </w:tr>
      <w:tr w:rsidR="00C87DCA" w:rsidRPr="00C63860" w14:paraId="2CEC5F51" w14:textId="77777777" w:rsidTr="00C63860">
        <w:trPr>
          <w:cantSplit/>
        </w:trPr>
        <w:tc>
          <w:tcPr>
            <w:tcW w:w="0" w:type="auto"/>
            <w:shd w:val="clear" w:color="auto" w:fill="auto"/>
            <w:vAlign w:val="center"/>
            <w:hideMark/>
          </w:tcPr>
          <w:p w14:paraId="0B8C9C6E" w14:textId="77777777" w:rsidR="00C87DCA" w:rsidRPr="00C63860" w:rsidRDefault="00C87DCA" w:rsidP="00C87DCA">
            <w:pPr>
              <w:ind w:left="170"/>
            </w:pPr>
            <w:r w:rsidRPr="00C63860">
              <w:t xml:space="preserve">Missing discharge </w:t>
            </w:r>
            <w:r w:rsidRPr="00C63860">
              <w:rPr>
                <w:highlight w:val="magenta"/>
              </w:rPr>
              <w:t>data</w:t>
            </w:r>
          </w:p>
        </w:tc>
        <w:tc>
          <w:tcPr>
            <w:tcW w:w="0" w:type="auto"/>
            <w:shd w:val="clear" w:color="auto" w:fill="auto"/>
            <w:tcMar>
              <w:top w:w="57" w:type="dxa"/>
              <w:left w:w="108" w:type="dxa"/>
              <w:bottom w:w="57" w:type="dxa"/>
              <w:right w:w="108" w:type="dxa"/>
            </w:tcMar>
            <w:vAlign w:val="center"/>
            <w:hideMark/>
          </w:tcPr>
          <w:p w14:paraId="2C59D359" w14:textId="77777777" w:rsidR="00C87DCA" w:rsidRPr="00C63860" w:rsidRDefault="00C87DCA" w:rsidP="00C87DCA">
            <w:pPr>
              <w:jc w:val="center"/>
            </w:pPr>
            <w:r w:rsidRPr="00C63860">
              <w:t>351</w:t>
            </w:r>
          </w:p>
          <w:p w14:paraId="0D0DB754" w14:textId="77777777" w:rsidR="00C87DCA" w:rsidRPr="00C63860" w:rsidRDefault="00C87DCA" w:rsidP="00C87DCA">
            <w:pPr>
              <w:jc w:val="center"/>
            </w:pPr>
            <w:r w:rsidRPr="00C63860">
              <w:t>(0.1)</w:t>
            </w:r>
          </w:p>
        </w:tc>
        <w:tc>
          <w:tcPr>
            <w:tcW w:w="0" w:type="auto"/>
            <w:shd w:val="clear" w:color="auto" w:fill="auto"/>
            <w:tcMar>
              <w:top w:w="57" w:type="dxa"/>
              <w:left w:w="108" w:type="dxa"/>
              <w:bottom w:w="57" w:type="dxa"/>
              <w:right w:w="108" w:type="dxa"/>
            </w:tcMar>
            <w:vAlign w:val="center"/>
            <w:hideMark/>
          </w:tcPr>
          <w:p w14:paraId="623EDB9E" w14:textId="77777777" w:rsidR="00C87DCA" w:rsidRPr="00C63860" w:rsidRDefault="00C87DCA" w:rsidP="00C87DCA">
            <w:pPr>
              <w:jc w:val="center"/>
            </w:pPr>
            <w:r w:rsidRPr="00C63860">
              <w:t>274</w:t>
            </w:r>
          </w:p>
          <w:p w14:paraId="207C2EE4" w14:textId="77777777" w:rsidR="00C87DCA" w:rsidRPr="00C63860" w:rsidRDefault="00C87DCA" w:rsidP="00C87DCA">
            <w:pPr>
              <w:jc w:val="center"/>
            </w:pPr>
            <w:r w:rsidRPr="00C63860">
              <w:t>(0.1)</w:t>
            </w:r>
          </w:p>
        </w:tc>
        <w:tc>
          <w:tcPr>
            <w:tcW w:w="0" w:type="auto"/>
            <w:shd w:val="clear" w:color="auto" w:fill="auto"/>
            <w:tcMar>
              <w:top w:w="57" w:type="dxa"/>
              <w:left w:w="108" w:type="dxa"/>
              <w:bottom w:w="57" w:type="dxa"/>
              <w:right w:w="108" w:type="dxa"/>
            </w:tcMar>
            <w:vAlign w:val="center"/>
            <w:hideMark/>
          </w:tcPr>
          <w:p w14:paraId="571FA948" w14:textId="77777777" w:rsidR="00C87DCA" w:rsidRPr="00C63860" w:rsidRDefault="00C87DCA" w:rsidP="00C87DCA">
            <w:pPr>
              <w:jc w:val="center"/>
            </w:pPr>
            <w:r w:rsidRPr="00C63860">
              <w:t>146</w:t>
            </w:r>
          </w:p>
          <w:p w14:paraId="74AE21CB" w14:textId="77777777" w:rsidR="00C87DCA" w:rsidRPr="00C63860" w:rsidRDefault="00C87DCA" w:rsidP="00C87DCA">
            <w:pPr>
              <w:jc w:val="center"/>
            </w:pPr>
            <w:r w:rsidRPr="00C63860">
              <w:t>(0.1)</w:t>
            </w:r>
          </w:p>
        </w:tc>
        <w:tc>
          <w:tcPr>
            <w:tcW w:w="0" w:type="auto"/>
            <w:shd w:val="clear" w:color="auto" w:fill="auto"/>
            <w:tcMar>
              <w:top w:w="57" w:type="dxa"/>
              <w:left w:w="108" w:type="dxa"/>
              <w:bottom w:w="57" w:type="dxa"/>
              <w:right w:w="108" w:type="dxa"/>
            </w:tcMar>
            <w:vAlign w:val="center"/>
            <w:hideMark/>
          </w:tcPr>
          <w:p w14:paraId="57536580" w14:textId="77777777" w:rsidR="00C87DCA" w:rsidRPr="00C63860" w:rsidRDefault="00C87DCA" w:rsidP="00C87DCA">
            <w:pPr>
              <w:jc w:val="center"/>
            </w:pPr>
            <w:r w:rsidRPr="00C63860">
              <w:t>115</w:t>
            </w:r>
          </w:p>
          <w:p w14:paraId="3569C9F9" w14:textId="77777777" w:rsidR="00C87DCA" w:rsidRPr="00C63860" w:rsidRDefault="00C87DCA" w:rsidP="00C87DCA">
            <w:pPr>
              <w:jc w:val="center"/>
            </w:pPr>
            <w:r w:rsidRPr="00C63860">
              <w:t>(0.1)</w:t>
            </w:r>
          </w:p>
        </w:tc>
        <w:tc>
          <w:tcPr>
            <w:tcW w:w="0" w:type="auto"/>
            <w:shd w:val="clear" w:color="auto" w:fill="auto"/>
            <w:tcMar>
              <w:top w:w="57" w:type="dxa"/>
              <w:left w:w="108" w:type="dxa"/>
              <w:bottom w:w="57" w:type="dxa"/>
              <w:right w:w="108" w:type="dxa"/>
            </w:tcMar>
            <w:vAlign w:val="center"/>
            <w:hideMark/>
          </w:tcPr>
          <w:p w14:paraId="36763391" w14:textId="77777777" w:rsidR="00C87DCA" w:rsidRPr="00C63860" w:rsidRDefault="00C87DCA" w:rsidP="00C87DCA">
            <w:pPr>
              <w:jc w:val="center"/>
            </w:pPr>
            <w:r w:rsidRPr="00C63860">
              <w:t>340</w:t>
            </w:r>
          </w:p>
          <w:p w14:paraId="6FA520E8" w14:textId="77777777" w:rsidR="00C87DCA" w:rsidRPr="00C63860" w:rsidRDefault="00C87DCA" w:rsidP="00C87DCA">
            <w:pPr>
              <w:jc w:val="center"/>
            </w:pPr>
            <w:r w:rsidRPr="00C63860">
              <w:t>(0.1)</w:t>
            </w:r>
          </w:p>
        </w:tc>
      </w:tr>
      <w:tr w:rsidR="00C87DCA" w:rsidRPr="00C63860" w14:paraId="3C7361B7" w14:textId="77777777" w:rsidTr="00C63860">
        <w:trPr>
          <w:cantSplit/>
        </w:trPr>
        <w:tc>
          <w:tcPr>
            <w:tcW w:w="0" w:type="auto"/>
            <w:shd w:val="clear" w:color="auto" w:fill="auto"/>
            <w:vAlign w:val="center"/>
            <w:hideMark/>
          </w:tcPr>
          <w:p w14:paraId="031163CC" w14:textId="77777777" w:rsidR="00C87DCA" w:rsidRPr="00C63860" w:rsidRDefault="00C87DCA" w:rsidP="00C87DCA">
            <w:pPr>
              <w:ind w:left="170"/>
            </w:pPr>
            <w:r w:rsidRPr="00C63860">
              <w:t>Transfer between hospitals before index episode</w:t>
            </w:r>
          </w:p>
        </w:tc>
        <w:tc>
          <w:tcPr>
            <w:tcW w:w="0" w:type="auto"/>
            <w:shd w:val="clear" w:color="auto" w:fill="auto"/>
            <w:tcMar>
              <w:top w:w="57" w:type="dxa"/>
              <w:left w:w="108" w:type="dxa"/>
              <w:bottom w:w="57" w:type="dxa"/>
              <w:right w:w="108" w:type="dxa"/>
            </w:tcMar>
            <w:vAlign w:val="center"/>
            <w:hideMark/>
          </w:tcPr>
          <w:p w14:paraId="4D2E3385" w14:textId="77777777" w:rsidR="00C87DCA" w:rsidRPr="00C63860" w:rsidRDefault="00C87DCA" w:rsidP="00C87DCA">
            <w:pPr>
              <w:jc w:val="center"/>
            </w:pPr>
            <w:r w:rsidRPr="00C63860">
              <w:t>634</w:t>
            </w:r>
          </w:p>
          <w:p w14:paraId="007B47D2" w14:textId="77777777" w:rsidR="00C87DCA" w:rsidRPr="00C63860" w:rsidRDefault="00C87DCA" w:rsidP="00C87DCA">
            <w:pPr>
              <w:jc w:val="center"/>
            </w:pPr>
            <w:r w:rsidRPr="00C63860">
              <w:t>(0.2)</w:t>
            </w:r>
          </w:p>
        </w:tc>
        <w:tc>
          <w:tcPr>
            <w:tcW w:w="0" w:type="auto"/>
            <w:shd w:val="clear" w:color="auto" w:fill="auto"/>
            <w:tcMar>
              <w:top w:w="57" w:type="dxa"/>
              <w:left w:w="108" w:type="dxa"/>
              <w:bottom w:w="57" w:type="dxa"/>
              <w:right w:w="108" w:type="dxa"/>
            </w:tcMar>
            <w:vAlign w:val="center"/>
            <w:hideMark/>
          </w:tcPr>
          <w:p w14:paraId="147EE6E2" w14:textId="77777777" w:rsidR="00C87DCA" w:rsidRPr="00C63860" w:rsidRDefault="00C87DCA" w:rsidP="00C87DCA">
            <w:pPr>
              <w:jc w:val="center"/>
            </w:pPr>
            <w:r w:rsidRPr="00C63860">
              <w:t>588</w:t>
            </w:r>
          </w:p>
          <w:p w14:paraId="636C2A4B" w14:textId="77777777" w:rsidR="00C87DCA" w:rsidRPr="00C63860" w:rsidRDefault="00C87DCA" w:rsidP="00C87DCA">
            <w:pPr>
              <w:jc w:val="center"/>
            </w:pPr>
            <w:r w:rsidRPr="00C63860">
              <w:t>(0.2)</w:t>
            </w:r>
          </w:p>
        </w:tc>
        <w:tc>
          <w:tcPr>
            <w:tcW w:w="0" w:type="auto"/>
            <w:shd w:val="clear" w:color="auto" w:fill="auto"/>
            <w:tcMar>
              <w:top w:w="57" w:type="dxa"/>
              <w:left w:w="108" w:type="dxa"/>
              <w:bottom w:w="57" w:type="dxa"/>
              <w:right w:w="108" w:type="dxa"/>
            </w:tcMar>
            <w:vAlign w:val="center"/>
            <w:hideMark/>
          </w:tcPr>
          <w:p w14:paraId="479F5B72" w14:textId="77777777" w:rsidR="00C87DCA" w:rsidRPr="00C63860" w:rsidRDefault="00C87DCA" w:rsidP="00C87DCA">
            <w:pPr>
              <w:jc w:val="center"/>
            </w:pPr>
            <w:r w:rsidRPr="00C63860">
              <w:t>406</w:t>
            </w:r>
          </w:p>
          <w:p w14:paraId="4783FEA1" w14:textId="77777777" w:rsidR="00C87DCA" w:rsidRPr="00C63860" w:rsidRDefault="00C87DCA" w:rsidP="00C87DCA">
            <w:pPr>
              <w:jc w:val="center"/>
            </w:pPr>
            <w:r w:rsidRPr="00C63860">
              <w:t>(0.2)</w:t>
            </w:r>
          </w:p>
        </w:tc>
        <w:tc>
          <w:tcPr>
            <w:tcW w:w="0" w:type="auto"/>
            <w:shd w:val="clear" w:color="auto" w:fill="auto"/>
            <w:tcMar>
              <w:top w:w="57" w:type="dxa"/>
              <w:left w:w="108" w:type="dxa"/>
              <w:bottom w:w="57" w:type="dxa"/>
              <w:right w:w="108" w:type="dxa"/>
            </w:tcMar>
            <w:vAlign w:val="center"/>
            <w:hideMark/>
          </w:tcPr>
          <w:p w14:paraId="2DCC34A4" w14:textId="77777777" w:rsidR="00C87DCA" w:rsidRPr="00C63860" w:rsidRDefault="00C87DCA" w:rsidP="00C87DCA">
            <w:pPr>
              <w:jc w:val="center"/>
            </w:pPr>
            <w:r w:rsidRPr="00C63860">
              <w:t>173</w:t>
            </w:r>
          </w:p>
          <w:p w14:paraId="0E0C3C5E" w14:textId="77777777" w:rsidR="00C87DCA" w:rsidRPr="00C63860" w:rsidRDefault="00C87DCA" w:rsidP="00C87DCA">
            <w:pPr>
              <w:jc w:val="center"/>
            </w:pPr>
            <w:r w:rsidRPr="00C63860">
              <w:t>(0.1)</w:t>
            </w:r>
          </w:p>
        </w:tc>
        <w:tc>
          <w:tcPr>
            <w:tcW w:w="0" w:type="auto"/>
            <w:shd w:val="clear" w:color="auto" w:fill="auto"/>
            <w:tcMar>
              <w:top w:w="57" w:type="dxa"/>
              <w:left w:w="108" w:type="dxa"/>
              <w:bottom w:w="57" w:type="dxa"/>
              <w:right w:w="108" w:type="dxa"/>
            </w:tcMar>
            <w:vAlign w:val="center"/>
            <w:hideMark/>
          </w:tcPr>
          <w:p w14:paraId="06748BE3" w14:textId="77777777" w:rsidR="00C87DCA" w:rsidRPr="00C63860" w:rsidRDefault="00C87DCA" w:rsidP="00C87DCA">
            <w:pPr>
              <w:jc w:val="center"/>
            </w:pPr>
            <w:r w:rsidRPr="00C63860">
              <w:t>503</w:t>
            </w:r>
          </w:p>
          <w:p w14:paraId="40273D9C" w14:textId="77777777" w:rsidR="00C87DCA" w:rsidRPr="00C63860" w:rsidRDefault="00C87DCA" w:rsidP="00C87DCA">
            <w:pPr>
              <w:jc w:val="center"/>
            </w:pPr>
            <w:r w:rsidRPr="00C63860">
              <w:t>(0.2)</w:t>
            </w:r>
          </w:p>
        </w:tc>
      </w:tr>
      <w:tr w:rsidR="00C87DCA" w:rsidRPr="00C63860" w14:paraId="1D6C25E6" w14:textId="77777777" w:rsidTr="00C63860">
        <w:trPr>
          <w:cantSplit/>
        </w:trPr>
        <w:tc>
          <w:tcPr>
            <w:tcW w:w="0" w:type="auto"/>
            <w:shd w:val="clear" w:color="auto" w:fill="auto"/>
            <w:vAlign w:val="center"/>
            <w:hideMark/>
          </w:tcPr>
          <w:p w14:paraId="31786D5E" w14:textId="77777777" w:rsidR="00C87DCA" w:rsidRPr="00C63860" w:rsidRDefault="00C87DCA" w:rsidP="00C87DCA">
            <w:pPr>
              <w:ind w:left="170"/>
            </w:pPr>
            <w:r w:rsidRPr="00C63860">
              <w:t>Other admission meeting inclusion criteria in previous 12 months</w:t>
            </w:r>
          </w:p>
        </w:tc>
        <w:tc>
          <w:tcPr>
            <w:tcW w:w="0" w:type="auto"/>
            <w:shd w:val="clear" w:color="auto" w:fill="auto"/>
            <w:tcMar>
              <w:top w:w="57" w:type="dxa"/>
              <w:left w:w="108" w:type="dxa"/>
              <w:bottom w:w="57" w:type="dxa"/>
              <w:right w:w="108" w:type="dxa"/>
            </w:tcMar>
            <w:vAlign w:val="center"/>
            <w:hideMark/>
          </w:tcPr>
          <w:p w14:paraId="7408785A" w14:textId="77777777" w:rsidR="00C87DCA" w:rsidRPr="00C63860" w:rsidRDefault="00C87DCA" w:rsidP="00C87DCA">
            <w:pPr>
              <w:jc w:val="center"/>
            </w:pPr>
            <w:r w:rsidRPr="00C63860">
              <w:t>3,580</w:t>
            </w:r>
          </w:p>
          <w:p w14:paraId="03FE004C" w14:textId="77777777" w:rsidR="00C87DCA" w:rsidRPr="00C63860" w:rsidRDefault="00C87DCA" w:rsidP="00C87DCA">
            <w:pPr>
              <w:jc w:val="center"/>
            </w:pPr>
            <w:r w:rsidRPr="00C63860">
              <w:t>(1.2)</w:t>
            </w:r>
          </w:p>
        </w:tc>
        <w:tc>
          <w:tcPr>
            <w:tcW w:w="0" w:type="auto"/>
            <w:shd w:val="clear" w:color="auto" w:fill="auto"/>
            <w:tcMar>
              <w:top w:w="57" w:type="dxa"/>
              <w:left w:w="108" w:type="dxa"/>
              <w:bottom w:w="57" w:type="dxa"/>
              <w:right w:w="108" w:type="dxa"/>
            </w:tcMar>
            <w:vAlign w:val="center"/>
            <w:hideMark/>
          </w:tcPr>
          <w:p w14:paraId="425E10CB" w14:textId="77777777" w:rsidR="00C87DCA" w:rsidRPr="00C63860" w:rsidRDefault="00C87DCA" w:rsidP="00C87DCA">
            <w:pPr>
              <w:jc w:val="center"/>
            </w:pPr>
            <w:r w:rsidRPr="00C63860">
              <w:t>38,812</w:t>
            </w:r>
          </w:p>
          <w:p w14:paraId="2DB70387" w14:textId="77777777" w:rsidR="00C87DCA" w:rsidRPr="00C63860" w:rsidRDefault="00C87DCA" w:rsidP="00C87DCA">
            <w:pPr>
              <w:jc w:val="center"/>
            </w:pPr>
            <w:r w:rsidRPr="00C63860">
              <w:t>(10.6)</w:t>
            </w:r>
          </w:p>
        </w:tc>
        <w:tc>
          <w:tcPr>
            <w:tcW w:w="0" w:type="auto"/>
            <w:shd w:val="clear" w:color="auto" w:fill="auto"/>
            <w:tcMar>
              <w:top w:w="57" w:type="dxa"/>
              <w:left w:w="108" w:type="dxa"/>
              <w:bottom w:w="57" w:type="dxa"/>
              <w:right w:w="108" w:type="dxa"/>
            </w:tcMar>
            <w:vAlign w:val="center"/>
            <w:hideMark/>
          </w:tcPr>
          <w:p w14:paraId="610F2C54" w14:textId="77777777" w:rsidR="00C87DCA" w:rsidRPr="00C63860" w:rsidRDefault="00C87DCA" w:rsidP="00C87DCA">
            <w:pPr>
              <w:jc w:val="center"/>
            </w:pPr>
            <w:r w:rsidRPr="00C63860">
              <w:t>15,544</w:t>
            </w:r>
          </w:p>
          <w:p w14:paraId="1E248E00" w14:textId="77777777" w:rsidR="00C87DCA" w:rsidRPr="00C63860" w:rsidRDefault="00C87DCA" w:rsidP="00C87DCA">
            <w:pPr>
              <w:jc w:val="center"/>
            </w:pPr>
            <w:r w:rsidRPr="00C63860">
              <w:t>(7.8)</w:t>
            </w:r>
          </w:p>
        </w:tc>
        <w:tc>
          <w:tcPr>
            <w:tcW w:w="0" w:type="auto"/>
            <w:shd w:val="clear" w:color="auto" w:fill="auto"/>
            <w:tcMar>
              <w:top w:w="57" w:type="dxa"/>
              <w:left w:w="108" w:type="dxa"/>
              <w:bottom w:w="57" w:type="dxa"/>
              <w:right w:w="108" w:type="dxa"/>
            </w:tcMar>
            <w:vAlign w:val="center"/>
            <w:hideMark/>
          </w:tcPr>
          <w:p w14:paraId="7B6856A9" w14:textId="77777777" w:rsidR="00C87DCA" w:rsidRPr="00C63860" w:rsidRDefault="00C87DCA" w:rsidP="00C87DCA">
            <w:pPr>
              <w:jc w:val="center"/>
            </w:pPr>
            <w:r w:rsidRPr="00C63860">
              <w:t>7,908</w:t>
            </w:r>
          </w:p>
          <w:p w14:paraId="6CD1883A" w14:textId="77777777" w:rsidR="00C87DCA" w:rsidRPr="00C63860" w:rsidRDefault="00C87DCA" w:rsidP="00C87DCA">
            <w:pPr>
              <w:jc w:val="center"/>
            </w:pPr>
            <w:r w:rsidRPr="00C63860">
              <w:t>(5.4)</w:t>
            </w:r>
          </w:p>
        </w:tc>
        <w:tc>
          <w:tcPr>
            <w:tcW w:w="0" w:type="auto"/>
            <w:shd w:val="clear" w:color="auto" w:fill="auto"/>
            <w:tcMar>
              <w:top w:w="57" w:type="dxa"/>
              <w:left w:w="108" w:type="dxa"/>
              <w:bottom w:w="57" w:type="dxa"/>
              <w:right w:w="108" w:type="dxa"/>
            </w:tcMar>
            <w:vAlign w:val="center"/>
            <w:hideMark/>
          </w:tcPr>
          <w:p w14:paraId="3D641C92" w14:textId="77777777" w:rsidR="00C87DCA" w:rsidRPr="00C63860" w:rsidRDefault="00C87DCA" w:rsidP="00C87DCA">
            <w:pPr>
              <w:jc w:val="center"/>
            </w:pPr>
            <w:r w:rsidRPr="00C63860">
              <w:t>31,686</w:t>
            </w:r>
          </w:p>
          <w:p w14:paraId="44A8DE7C" w14:textId="77777777" w:rsidR="00C87DCA" w:rsidRPr="00C63860" w:rsidRDefault="00C87DCA" w:rsidP="00C87DCA">
            <w:pPr>
              <w:jc w:val="center"/>
            </w:pPr>
            <w:r w:rsidRPr="00C63860">
              <w:t>(13.4)</w:t>
            </w:r>
          </w:p>
        </w:tc>
      </w:tr>
      <w:tr w:rsidR="00C87DCA" w:rsidRPr="00C63860" w14:paraId="71A0260D" w14:textId="77777777" w:rsidTr="00C63860">
        <w:trPr>
          <w:cantSplit/>
        </w:trPr>
        <w:tc>
          <w:tcPr>
            <w:tcW w:w="0" w:type="auto"/>
            <w:shd w:val="clear" w:color="auto" w:fill="auto"/>
            <w:vAlign w:val="center"/>
            <w:hideMark/>
          </w:tcPr>
          <w:p w14:paraId="58F69CC7" w14:textId="77777777" w:rsidR="00C87DCA" w:rsidRPr="00C63860" w:rsidRDefault="00C87DCA" w:rsidP="00C87DCA">
            <w:pPr>
              <w:ind w:left="170"/>
            </w:pPr>
            <w:r w:rsidRPr="00C63860">
              <w:t>Emergency surgery prior to index episode</w:t>
            </w:r>
          </w:p>
        </w:tc>
        <w:tc>
          <w:tcPr>
            <w:tcW w:w="0" w:type="auto"/>
            <w:shd w:val="clear" w:color="auto" w:fill="auto"/>
            <w:tcMar>
              <w:top w:w="57" w:type="dxa"/>
              <w:left w:w="108" w:type="dxa"/>
              <w:bottom w:w="57" w:type="dxa"/>
              <w:right w:w="108" w:type="dxa"/>
            </w:tcMar>
            <w:vAlign w:val="center"/>
            <w:hideMark/>
          </w:tcPr>
          <w:p w14:paraId="07E96F4A" w14:textId="77777777" w:rsidR="00C87DCA" w:rsidRPr="00C63860" w:rsidRDefault="00C87DCA" w:rsidP="00C87DCA">
            <w:pPr>
              <w:jc w:val="center"/>
            </w:pPr>
            <w:r w:rsidRPr="00C63860">
              <w:t>2,518</w:t>
            </w:r>
          </w:p>
          <w:p w14:paraId="215F1A10" w14:textId="77777777" w:rsidR="00C87DCA" w:rsidRPr="00C63860" w:rsidRDefault="00C87DCA" w:rsidP="00C87DCA">
            <w:pPr>
              <w:jc w:val="center"/>
            </w:pPr>
            <w:r w:rsidRPr="00C63860">
              <w:t>(0.8)</w:t>
            </w:r>
          </w:p>
        </w:tc>
        <w:tc>
          <w:tcPr>
            <w:tcW w:w="0" w:type="auto"/>
            <w:shd w:val="clear" w:color="auto" w:fill="auto"/>
            <w:tcMar>
              <w:top w:w="57" w:type="dxa"/>
              <w:left w:w="108" w:type="dxa"/>
              <w:bottom w:w="57" w:type="dxa"/>
              <w:right w:w="108" w:type="dxa"/>
            </w:tcMar>
            <w:vAlign w:val="center"/>
            <w:hideMark/>
          </w:tcPr>
          <w:p w14:paraId="5877A9C8" w14:textId="77777777" w:rsidR="00C87DCA" w:rsidRPr="00C63860" w:rsidRDefault="00C87DCA" w:rsidP="00C87DCA">
            <w:pPr>
              <w:jc w:val="center"/>
            </w:pPr>
            <w:r w:rsidRPr="00C63860">
              <w:t>406</w:t>
            </w:r>
          </w:p>
          <w:p w14:paraId="01B952EC" w14:textId="77777777" w:rsidR="00C87DCA" w:rsidRPr="00C63860" w:rsidRDefault="00C87DCA" w:rsidP="00C87DCA">
            <w:pPr>
              <w:jc w:val="center"/>
            </w:pPr>
            <w:r w:rsidRPr="00C63860">
              <w:t>(0.1)</w:t>
            </w:r>
          </w:p>
        </w:tc>
        <w:tc>
          <w:tcPr>
            <w:tcW w:w="0" w:type="auto"/>
            <w:shd w:val="clear" w:color="auto" w:fill="auto"/>
            <w:tcMar>
              <w:top w:w="57" w:type="dxa"/>
              <w:left w:w="108" w:type="dxa"/>
              <w:bottom w:w="57" w:type="dxa"/>
              <w:right w:w="108" w:type="dxa"/>
            </w:tcMar>
            <w:vAlign w:val="center"/>
            <w:hideMark/>
          </w:tcPr>
          <w:p w14:paraId="3DAEE57A" w14:textId="77777777" w:rsidR="00C87DCA" w:rsidRPr="00C63860" w:rsidRDefault="00C87DCA" w:rsidP="00C87DCA">
            <w:pPr>
              <w:jc w:val="center"/>
            </w:pPr>
            <w:r w:rsidRPr="00C63860">
              <w:t>573</w:t>
            </w:r>
          </w:p>
          <w:p w14:paraId="79A64692" w14:textId="77777777" w:rsidR="00C87DCA" w:rsidRPr="00C63860" w:rsidRDefault="00C87DCA" w:rsidP="00C87DCA">
            <w:pPr>
              <w:jc w:val="center"/>
            </w:pPr>
            <w:r w:rsidRPr="00C63860">
              <w:t>(0.3)</w:t>
            </w:r>
          </w:p>
        </w:tc>
        <w:tc>
          <w:tcPr>
            <w:tcW w:w="0" w:type="auto"/>
            <w:shd w:val="clear" w:color="auto" w:fill="auto"/>
            <w:tcMar>
              <w:top w:w="57" w:type="dxa"/>
              <w:left w:w="108" w:type="dxa"/>
              <w:bottom w:w="57" w:type="dxa"/>
              <w:right w:w="108" w:type="dxa"/>
            </w:tcMar>
            <w:vAlign w:val="center"/>
            <w:hideMark/>
          </w:tcPr>
          <w:p w14:paraId="7AEE4A4B" w14:textId="77777777" w:rsidR="00C87DCA" w:rsidRPr="00C63860" w:rsidRDefault="00C87DCA" w:rsidP="00C87DCA">
            <w:pPr>
              <w:jc w:val="center"/>
            </w:pPr>
            <w:r w:rsidRPr="00C63860">
              <w:t>842</w:t>
            </w:r>
          </w:p>
          <w:p w14:paraId="22A517CF" w14:textId="77777777" w:rsidR="00C87DCA" w:rsidRPr="00C63860" w:rsidRDefault="00C87DCA" w:rsidP="00C87DCA">
            <w:pPr>
              <w:jc w:val="center"/>
            </w:pPr>
            <w:r w:rsidRPr="00C63860">
              <w:t>(0.6)</w:t>
            </w:r>
          </w:p>
        </w:tc>
        <w:tc>
          <w:tcPr>
            <w:tcW w:w="0" w:type="auto"/>
            <w:shd w:val="clear" w:color="auto" w:fill="auto"/>
            <w:tcMar>
              <w:top w:w="57" w:type="dxa"/>
              <w:left w:w="108" w:type="dxa"/>
              <w:bottom w:w="57" w:type="dxa"/>
              <w:right w:w="108" w:type="dxa"/>
            </w:tcMar>
            <w:vAlign w:val="center"/>
            <w:hideMark/>
          </w:tcPr>
          <w:p w14:paraId="328F1DB7" w14:textId="77777777" w:rsidR="00C87DCA" w:rsidRPr="00C63860" w:rsidRDefault="00C87DCA" w:rsidP="00C87DCA">
            <w:pPr>
              <w:jc w:val="center"/>
            </w:pPr>
            <w:r w:rsidRPr="00C63860">
              <w:t>1,123</w:t>
            </w:r>
          </w:p>
          <w:p w14:paraId="3773D431" w14:textId="77777777" w:rsidR="00C87DCA" w:rsidRPr="00C63860" w:rsidRDefault="00C87DCA" w:rsidP="00C87DCA">
            <w:pPr>
              <w:jc w:val="center"/>
            </w:pPr>
            <w:r w:rsidRPr="00C63860">
              <w:t>(0.5)</w:t>
            </w:r>
          </w:p>
        </w:tc>
      </w:tr>
      <w:tr w:rsidR="00C87DCA" w:rsidRPr="00C63860" w14:paraId="4BAEA15E" w14:textId="77777777" w:rsidTr="00C63860">
        <w:trPr>
          <w:cantSplit/>
        </w:trPr>
        <w:tc>
          <w:tcPr>
            <w:tcW w:w="0" w:type="auto"/>
            <w:shd w:val="clear" w:color="auto" w:fill="auto"/>
            <w:vAlign w:val="center"/>
            <w:hideMark/>
          </w:tcPr>
          <w:p w14:paraId="27E0C127" w14:textId="77777777" w:rsidR="00C87DCA" w:rsidRPr="00C63860" w:rsidRDefault="00C87DCA" w:rsidP="00C87DCA">
            <w:pPr>
              <w:ind w:left="170"/>
            </w:pPr>
            <w:r w:rsidRPr="00C63860">
              <w:t>ES procedure in prior admission within 90 days</w:t>
            </w:r>
          </w:p>
        </w:tc>
        <w:tc>
          <w:tcPr>
            <w:tcW w:w="0" w:type="auto"/>
            <w:shd w:val="clear" w:color="auto" w:fill="auto"/>
            <w:tcMar>
              <w:top w:w="57" w:type="dxa"/>
              <w:left w:w="108" w:type="dxa"/>
              <w:bottom w:w="57" w:type="dxa"/>
              <w:right w:w="108" w:type="dxa"/>
            </w:tcMar>
            <w:vAlign w:val="center"/>
            <w:hideMark/>
          </w:tcPr>
          <w:p w14:paraId="745EB587" w14:textId="77777777" w:rsidR="00C87DCA" w:rsidRPr="00C63860" w:rsidRDefault="00C87DCA" w:rsidP="00C87DCA">
            <w:pPr>
              <w:jc w:val="center"/>
            </w:pPr>
            <w:r w:rsidRPr="00C63860">
              <w:t>93</w:t>
            </w:r>
          </w:p>
          <w:p w14:paraId="7066FD5E" w14:textId="77777777" w:rsidR="00C87DCA" w:rsidRPr="00C63860" w:rsidRDefault="00C87DCA" w:rsidP="00C87DCA">
            <w:pPr>
              <w:jc w:val="center"/>
            </w:pPr>
            <w:r w:rsidRPr="00C63860">
              <w:t>(0.0)</w:t>
            </w:r>
          </w:p>
        </w:tc>
        <w:tc>
          <w:tcPr>
            <w:tcW w:w="0" w:type="auto"/>
            <w:shd w:val="clear" w:color="auto" w:fill="auto"/>
            <w:tcMar>
              <w:top w:w="57" w:type="dxa"/>
              <w:left w:w="108" w:type="dxa"/>
              <w:bottom w:w="57" w:type="dxa"/>
              <w:right w:w="108" w:type="dxa"/>
            </w:tcMar>
            <w:vAlign w:val="center"/>
            <w:hideMark/>
          </w:tcPr>
          <w:p w14:paraId="3A12ECC5" w14:textId="77777777" w:rsidR="00C87DCA" w:rsidRPr="00C63860" w:rsidRDefault="00C87DCA" w:rsidP="00C87DCA">
            <w:pPr>
              <w:jc w:val="center"/>
            </w:pPr>
            <w:r w:rsidRPr="00C63860">
              <w:t>591</w:t>
            </w:r>
          </w:p>
          <w:p w14:paraId="03121185" w14:textId="77777777" w:rsidR="00C87DCA" w:rsidRPr="00C63860" w:rsidRDefault="00C87DCA" w:rsidP="00C87DCA">
            <w:pPr>
              <w:jc w:val="center"/>
            </w:pPr>
            <w:r w:rsidRPr="00C63860">
              <w:t>(0.2)</w:t>
            </w:r>
          </w:p>
        </w:tc>
        <w:tc>
          <w:tcPr>
            <w:tcW w:w="0" w:type="auto"/>
            <w:shd w:val="clear" w:color="auto" w:fill="auto"/>
            <w:tcMar>
              <w:top w:w="57" w:type="dxa"/>
              <w:left w:w="108" w:type="dxa"/>
              <w:bottom w:w="57" w:type="dxa"/>
              <w:right w:w="108" w:type="dxa"/>
            </w:tcMar>
            <w:vAlign w:val="center"/>
            <w:hideMark/>
          </w:tcPr>
          <w:p w14:paraId="6736C786" w14:textId="77777777" w:rsidR="00C87DCA" w:rsidRPr="00C63860" w:rsidRDefault="00C87DCA" w:rsidP="00C87DCA">
            <w:pPr>
              <w:jc w:val="center"/>
            </w:pPr>
            <w:r w:rsidRPr="00C63860">
              <w:t>194</w:t>
            </w:r>
          </w:p>
          <w:p w14:paraId="3B913FF7" w14:textId="77777777" w:rsidR="00C87DCA" w:rsidRPr="00C63860" w:rsidRDefault="00C87DCA" w:rsidP="00C87DCA">
            <w:pPr>
              <w:jc w:val="center"/>
            </w:pPr>
            <w:r w:rsidRPr="00C63860">
              <w:t>(0.1)</w:t>
            </w:r>
          </w:p>
        </w:tc>
        <w:tc>
          <w:tcPr>
            <w:tcW w:w="0" w:type="auto"/>
            <w:shd w:val="clear" w:color="auto" w:fill="auto"/>
            <w:tcMar>
              <w:top w:w="57" w:type="dxa"/>
              <w:left w:w="108" w:type="dxa"/>
              <w:bottom w:w="57" w:type="dxa"/>
              <w:right w:w="108" w:type="dxa"/>
            </w:tcMar>
            <w:vAlign w:val="center"/>
            <w:hideMark/>
          </w:tcPr>
          <w:p w14:paraId="4E4FC0DE" w14:textId="77777777" w:rsidR="00C87DCA" w:rsidRPr="00C63860" w:rsidRDefault="00C87DCA" w:rsidP="00C87DCA">
            <w:pPr>
              <w:jc w:val="center"/>
            </w:pPr>
            <w:r w:rsidRPr="00C63860">
              <w:t>862</w:t>
            </w:r>
          </w:p>
          <w:p w14:paraId="64A6F231" w14:textId="77777777" w:rsidR="00C87DCA" w:rsidRPr="00C63860" w:rsidRDefault="00C87DCA" w:rsidP="00C87DCA">
            <w:pPr>
              <w:jc w:val="center"/>
            </w:pPr>
            <w:r w:rsidRPr="00C63860">
              <w:t>(0.6)</w:t>
            </w:r>
          </w:p>
        </w:tc>
        <w:tc>
          <w:tcPr>
            <w:tcW w:w="0" w:type="auto"/>
            <w:shd w:val="clear" w:color="auto" w:fill="auto"/>
            <w:tcMar>
              <w:top w:w="57" w:type="dxa"/>
              <w:left w:w="108" w:type="dxa"/>
              <w:bottom w:w="57" w:type="dxa"/>
              <w:right w:w="108" w:type="dxa"/>
            </w:tcMar>
            <w:vAlign w:val="center"/>
            <w:hideMark/>
          </w:tcPr>
          <w:p w14:paraId="73A63111" w14:textId="77777777" w:rsidR="00C87DCA" w:rsidRPr="00C63860" w:rsidRDefault="00C87DCA" w:rsidP="00C87DCA">
            <w:pPr>
              <w:jc w:val="center"/>
            </w:pPr>
            <w:r w:rsidRPr="00C63860">
              <w:t>4,276</w:t>
            </w:r>
          </w:p>
          <w:p w14:paraId="49B54F43" w14:textId="77777777" w:rsidR="00C87DCA" w:rsidRPr="00C63860" w:rsidRDefault="00C87DCA" w:rsidP="00C87DCA">
            <w:pPr>
              <w:jc w:val="center"/>
            </w:pPr>
            <w:r w:rsidRPr="00C63860">
              <w:t>(1.8)</w:t>
            </w:r>
          </w:p>
        </w:tc>
      </w:tr>
      <w:tr w:rsidR="00C87DCA" w:rsidRPr="00C63860" w14:paraId="45436376" w14:textId="77777777" w:rsidTr="00C63860">
        <w:trPr>
          <w:cantSplit/>
        </w:trPr>
        <w:tc>
          <w:tcPr>
            <w:tcW w:w="0" w:type="auto"/>
            <w:shd w:val="clear" w:color="auto" w:fill="auto"/>
            <w:hideMark/>
          </w:tcPr>
          <w:p w14:paraId="05717FCC" w14:textId="77777777" w:rsidR="00C87DCA" w:rsidRPr="00C63860" w:rsidRDefault="00C87DCA" w:rsidP="00C87DCA">
            <w:pPr>
              <w:rPr>
                <w:bCs/>
                <w:i/>
              </w:rPr>
            </w:pPr>
            <w:r w:rsidRPr="00C63860">
              <w:rPr>
                <w:bCs/>
                <w:i/>
              </w:rPr>
              <w:t>Included in cohort: n</w:t>
            </w:r>
          </w:p>
        </w:tc>
        <w:tc>
          <w:tcPr>
            <w:tcW w:w="0" w:type="auto"/>
            <w:shd w:val="clear" w:color="auto" w:fill="auto"/>
            <w:tcMar>
              <w:top w:w="170" w:type="dxa"/>
              <w:left w:w="108" w:type="dxa"/>
              <w:bottom w:w="57" w:type="dxa"/>
              <w:right w:w="108" w:type="dxa"/>
            </w:tcMar>
            <w:vAlign w:val="bottom"/>
            <w:hideMark/>
          </w:tcPr>
          <w:p w14:paraId="6E40771E" w14:textId="77777777" w:rsidR="00C87DCA" w:rsidRPr="00C63860" w:rsidRDefault="00C87DCA" w:rsidP="00C87DCA">
            <w:pPr>
              <w:jc w:val="center"/>
              <w:rPr>
                <w:b/>
                <w:bCs/>
                <w:i/>
              </w:rPr>
            </w:pPr>
            <w:r w:rsidRPr="00C63860">
              <w:rPr>
                <w:i/>
              </w:rPr>
              <w:t>268,144</w:t>
            </w:r>
          </w:p>
        </w:tc>
        <w:tc>
          <w:tcPr>
            <w:tcW w:w="0" w:type="auto"/>
            <w:shd w:val="clear" w:color="auto" w:fill="auto"/>
            <w:tcMar>
              <w:top w:w="170" w:type="dxa"/>
              <w:left w:w="108" w:type="dxa"/>
              <w:bottom w:w="57" w:type="dxa"/>
              <w:right w:w="108" w:type="dxa"/>
            </w:tcMar>
            <w:vAlign w:val="bottom"/>
            <w:hideMark/>
          </w:tcPr>
          <w:p w14:paraId="3A26BB13" w14:textId="77777777" w:rsidR="00C87DCA" w:rsidRPr="00C63860" w:rsidRDefault="00C87DCA" w:rsidP="00C87DCA">
            <w:pPr>
              <w:jc w:val="center"/>
              <w:rPr>
                <w:b/>
                <w:bCs/>
                <w:i/>
              </w:rPr>
            </w:pPr>
            <w:r w:rsidRPr="00C63860">
              <w:rPr>
                <w:i/>
              </w:rPr>
              <w:t>240,977</w:t>
            </w:r>
          </w:p>
        </w:tc>
        <w:tc>
          <w:tcPr>
            <w:tcW w:w="0" w:type="auto"/>
            <w:shd w:val="clear" w:color="auto" w:fill="auto"/>
            <w:tcMar>
              <w:top w:w="170" w:type="dxa"/>
              <w:left w:w="108" w:type="dxa"/>
              <w:bottom w:w="57" w:type="dxa"/>
              <w:right w:w="108" w:type="dxa"/>
            </w:tcMar>
            <w:vAlign w:val="bottom"/>
            <w:hideMark/>
          </w:tcPr>
          <w:p w14:paraId="7AE3A76F" w14:textId="77777777" w:rsidR="00C87DCA" w:rsidRPr="00C63860" w:rsidRDefault="00C87DCA" w:rsidP="00C87DCA">
            <w:pPr>
              <w:jc w:val="center"/>
              <w:rPr>
                <w:b/>
                <w:bCs/>
                <w:i/>
              </w:rPr>
            </w:pPr>
            <w:r w:rsidRPr="00C63860">
              <w:rPr>
                <w:i/>
              </w:rPr>
              <w:t>138,869</w:t>
            </w:r>
          </w:p>
        </w:tc>
        <w:tc>
          <w:tcPr>
            <w:tcW w:w="0" w:type="auto"/>
            <w:shd w:val="clear" w:color="auto" w:fill="auto"/>
            <w:tcMar>
              <w:top w:w="170" w:type="dxa"/>
              <w:left w:w="108" w:type="dxa"/>
              <w:bottom w:w="57" w:type="dxa"/>
              <w:right w:w="108" w:type="dxa"/>
            </w:tcMar>
            <w:vAlign w:val="bottom"/>
            <w:hideMark/>
          </w:tcPr>
          <w:p w14:paraId="0A9B3DDF" w14:textId="77777777" w:rsidR="00C87DCA" w:rsidRPr="00C63860" w:rsidRDefault="00C87DCA" w:rsidP="00C87DCA">
            <w:pPr>
              <w:jc w:val="center"/>
              <w:rPr>
                <w:b/>
                <w:bCs/>
                <w:i/>
              </w:rPr>
            </w:pPr>
            <w:r w:rsidRPr="00C63860">
              <w:rPr>
                <w:i/>
              </w:rPr>
              <w:t>106,432</w:t>
            </w:r>
          </w:p>
        </w:tc>
        <w:tc>
          <w:tcPr>
            <w:tcW w:w="0" w:type="auto"/>
            <w:shd w:val="clear" w:color="auto" w:fill="auto"/>
            <w:tcMar>
              <w:top w:w="170" w:type="dxa"/>
              <w:left w:w="108" w:type="dxa"/>
              <w:bottom w:w="57" w:type="dxa"/>
              <w:right w:w="108" w:type="dxa"/>
            </w:tcMar>
            <w:vAlign w:val="bottom"/>
            <w:hideMark/>
          </w:tcPr>
          <w:p w14:paraId="00A140E6" w14:textId="77777777" w:rsidR="00C87DCA" w:rsidRPr="00C63860" w:rsidRDefault="00C87DCA" w:rsidP="00C87DCA">
            <w:pPr>
              <w:jc w:val="center"/>
              <w:rPr>
                <w:b/>
                <w:bCs/>
                <w:i/>
              </w:rPr>
            </w:pPr>
            <w:r w:rsidRPr="00C63860">
              <w:rPr>
                <w:i/>
              </w:rPr>
              <w:t>133,073</w:t>
            </w:r>
          </w:p>
        </w:tc>
      </w:tr>
    </w:tbl>
    <w:p w14:paraId="17F9FD6F" w14:textId="056587D5" w:rsidR="00FA7C93" w:rsidRPr="00C63860" w:rsidRDefault="00C63860" w:rsidP="00FA7C93">
      <w:pPr>
        <w:pStyle w:val="Caption"/>
        <w:rPr>
          <w:b/>
          <w:bCs/>
          <w:color w:val="auto"/>
          <w:sz w:val="22"/>
          <w:szCs w:val="22"/>
        </w:rPr>
      </w:pPr>
      <w:r w:rsidRPr="00C63860">
        <w:t xml:space="preserve"> </w:t>
      </w:r>
      <w:bookmarkStart w:id="38" w:name="_Toc86670776"/>
      <w:r w:rsidRPr="00C63860">
        <w:rPr>
          <w:b/>
          <w:bCs/>
          <w:color w:val="FF0000"/>
          <w:sz w:val="22"/>
          <w:szCs w:val="22"/>
        </w:rPr>
        <w:t xml:space="preserve">Table </w:t>
      </w:r>
      <w:r w:rsidRPr="00C63860">
        <w:rPr>
          <w:b/>
          <w:bCs/>
          <w:noProof/>
          <w:color w:val="FF0000"/>
          <w:sz w:val="22"/>
          <w:szCs w:val="22"/>
        </w:rPr>
        <w:t>4</w:t>
      </w:r>
      <w:r w:rsidR="00FA7C93" w:rsidRPr="00C63860">
        <w:rPr>
          <w:b/>
          <w:bCs/>
          <w:color w:val="auto"/>
          <w:sz w:val="22"/>
          <w:szCs w:val="22"/>
        </w:rPr>
        <w:t>: Patient characteristics of the five cohorts</w:t>
      </w:r>
      <w:bookmarkEnd w:id="38"/>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957"/>
        <w:gridCol w:w="1272"/>
        <w:gridCol w:w="1295"/>
        <w:gridCol w:w="1616"/>
        <w:gridCol w:w="1181"/>
        <w:gridCol w:w="1705"/>
      </w:tblGrid>
      <w:tr w:rsidR="00C87DCA" w:rsidRPr="00C63860" w14:paraId="6F9BE1C8" w14:textId="77777777" w:rsidTr="00C63860">
        <w:trPr>
          <w:cantSplit/>
        </w:trPr>
        <w:tc>
          <w:tcPr>
            <w:tcW w:w="0" w:type="auto"/>
            <w:shd w:val="clear" w:color="auto" w:fill="auto"/>
          </w:tcPr>
          <w:p w14:paraId="659504CC" w14:textId="77777777" w:rsidR="00C87DCA" w:rsidRPr="00C63860" w:rsidRDefault="00C87DCA" w:rsidP="00C87DCA">
            <w:pPr>
              <w:jc w:val="center"/>
              <w:rPr>
                <w:b/>
              </w:rPr>
            </w:pPr>
          </w:p>
        </w:tc>
        <w:tc>
          <w:tcPr>
            <w:tcW w:w="0" w:type="auto"/>
            <w:shd w:val="clear" w:color="auto" w:fill="auto"/>
          </w:tcPr>
          <w:p w14:paraId="14675F39" w14:textId="77777777" w:rsidR="00C63860" w:rsidRPr="00C63860" w:rsidRDefault="00C87DCA" w:rsidP="00C87DCA">
            <w:pPr>
              <w:jc w:val="center"/>
              <w:rPr>
                <w:b/>
              </w:rPr>
            </w:pPr>
            <w:r w:rsidRPr="00C63860">
              <w:rPr>
                <w:b/>
              </w:rPr>
              <w:t>Appendicitis</w:t>
            </w:r>
          </w:p>
          <w:p w14:paraId="3B2FCA53" w14:textId="6A748D8E" w:rsidR="00C87DCA" w:rsidRPr="00C63860" w:rsidRDefault="00C87DCA" w:rsidP="00C87DCA">
            <w:pPr>
              <w:jc w:val="center"/>
              <w:rPr>
                <w:b/>
              </w:rPr>
            </w:pPr>
            <w:r w:rsidRPr="00C63860">
              <w:rPr>
                <w:b/>
              </w:rPr>
              <w:t>(</w:t>
            </w:r>
            <w:r w:rsidRPr="00C63860">
              <w:rPr>
                <w:b/>
                <w:i/>
                <w:color w:val="00B0F0"/>
              </w:rPr>
              <w:t>n</w:t>
            </w:r>
            <w:r w:rsidRPr="00C63860">
              <w:rPr>
                <w:b/>
              </w:rPr>
              <w:t>=268,144)</w:t>
            </w:r>
          </w:p>
        </w:tc>
        <w:tc>
          <w:tcPr>
            <w:tcW w:w="0" w:type="auto"/>
            <w:shd w:val="clear" w:color="auto" w:fill="auto"/>
          </w:tcPr>
          <w:p w14:paraId="52AA7E75" w14:textId="77777777" w:rsidR="00C63860" w:rsidRPr="00C63860" w:rsidRDefault="00C87DCA" w:rsidP="00C87DCA">
            <w:pPr>
              <w:jc w:val="center"/>
              <w:rPr>
                <w:b/>
              </w:rPr>
            </w:pPr>
            <w:r w:rsidRPr="00C63860">
              <w:rPr>
                <w:b/>
              </w:rPr>
              <w:t>Cholelithiasis</w:t>
            </w:r>
          </w:p>
          <w:p w14:paraId="2DFB0298" w14:textId="5CBCD0FE" w:rsidR="00C87DCA" w:rsidRPr="00C63860" w:rsidRDefault="00C87DCA" w:rsidP="00C87DCA">
            <w:pPr>
              <w:jc w:val="center"/>
              <w:rPr>
                <w:b/>
              </w:rPr>
            </w:pPr>
            <w:r w:rsidRPr="00C63860">
              <w:rPr>
                <w:b/>
              </w:rPr>
              <w:t>(</w:t>
            </w:r>
            <w:r w:rsidRPr="00C63860">
              <w:rPr>
                <w:b/>
                <w:i/>
                <w:color w:val="00B0F0"/>
              </w:rPr>
              <w:t>n</w:t>
            </w:r>
            <w:r w:rsidRPr="00C63860">
              <w:rPr>
                <w:b/>
              </w:rPr>
              <w:t>=240,977)</w:t>
            </w:r>
          </w:p>
        </w:tc>
        <w:tc>
          <w:tcPr>
            <w:tcW w:w="0" w:type="auto"/>
            <w:shd w:val="clear" w:color="auto" w:fill="auto"/>
            <w:hideMark/>
          </w:tcPr>
          <w:p w14:paraId="119F4C60" w14:textId="77777777" w:rsidR="00C87DCA" w:rsidRPr="00C63860" w:rsidRDefault="00C87DCA" w:rsidP="00C87DCA">
            <w:pPr>
              <w:jc w:val="center"/>
              <w:rPr>
                <w:b/>
              </w:rPr>
            </w:pPr>
            <w:r w:rsidRPr="00C63860">
              <w:rPr>
                <w:b/>
              </w:rPr>
              <w:t>Diverticular disease</w:t>
            </w:r>
          </w:p>
          <w:p w14:paraId="2741B979" w14:textId="77777777" w:rsidR="00C87DCA" w:rsidRPr="00C63860" w:rsidRDefault="00C87DCA" w:rsidP="00C87DCA">
            <w:pPr>
              <w:jc w:val="center"/>
              <w:rPr>
                <w:b/>
              </w:rPr>
            </w:pPr>
            <w:r w:rsidRPr="00C63860">
              <w:rPr>
                <w:b/>
              </w:rPr>
              <w:t>(</w:t>
            </w:r>
            <w:r w:rsidRPr="00C63860">
              <w:rPr>
                <w:b/>
                <w:i/>
                <w:color w:val="00B0F0"/>
              </w:rPr>
              <w:t>n</w:t>
            </w:r>
            <w:r w:rsidRPr="00C63860">
              <w:rPr>
                <w:b/>
              </w:rPr>
              <w:t>=138,869)</w:t>
            </w:r>
          </w:p>
        </w:tc>
        <w:tc>
          <w:tcPr>
            <w:tcW w:w="0" w:type="auto"/>
            <w:shd w:val="clear" w:color="auto" w:fill="auto"/>
          </w:tcPr>
          <w:p w14:paraId="426CD44D" w14:textId="77777777" w:rsidR="00C63860" w:rsidRPr="00C63860" w:rsidRDefault="00C87DCA" w:rsidP="00C87DCA">
            <w:pPr>
              <w:jc w:val="center"/>
              <w:rPr>
                <w:b/>
              </w:rPr>
            </w:pPr>
            <w:r w:rsidRPr="00C63860">
              <w:rPr>
                <w:b/>
              </w:rPr>
              <w:t>Hernia</w:t>
            </w:r>
          </w:p>
          <w:p w14:paraId="5F4BCA9F" w14:textId="71C234B4" w:rsidR="00C87DCA" w:rsidRPr="00C63860" w:rsidRDefault="00C87DCA" w:rsidP="00C87DCA">
            <w:pPr>
              <w:jc w:val="center"/>
              <w:rPr>
                <w:b/>
              </w:rPr>
            </w:pPr>
            <w:r w:rsidRPr="00C63860">
              <w:rPr>
                <w:b/>
              </w:rPr>
              <w:t>(</w:t>
            </w:r>
            <w:r w:rsidRPr="00C63860">
              <w:rPr>
                <w:b/>
                <w:i/>
                <w:color w:val="00B0F0"/>
              </w:rPr>
              <w:t>n</w:t>
            </w:r>
            <w:r w:rsidRPr="00C63860">
              <w:rPr>
                <w:b/>
              </w:rPr>
              <w:t>=106,432)</w:t>
            </w:r>
          </w:p>
        </w:tc>
        <w:tc>
          <w:tcPr>
            <w:tcW w:w="0" w:type="auto"/>
            <w:shd w:val="clear" w:color="auto" w:fill="auto"/>
            <w:hideMark/>
          </w:tcPr>
          <w:p w14:paraId="79A90C3A" w14:textId="77777777" w:rsidR="00C87DCA" w:rsidRPr="00C63860" w:rsidRDefault="00C87DCA" w:rsidP="00C87DCA">
            <w:pPr>
              <w:jc w:val="center"/>
              <w:rPr>
                <w:b/>
              </w:rPr>
            </w:pPr>
            <w:r w:rsidRPr="00C63860">
              <w:rPr>
                <w:b/>
              </w:rPr>
              <w:t>Intestinal obstruction</w:t>
            </w:r>
          </w:p>
          <w:p w14:paraId="6546FE6F" w14:textId="77777777" w:rsidR="00C87DCA" w:rsidRPr="00C63860" w:rsidRDefault="00C87DCA" w:rsidP="00C87DCA">
            <w:pPr>
              <w:jc w:val="center"/>
              <w:rPr>
                <w:b/>
              </w:rPr>
            </w:pPr>
            <w:r w:rsidRPr="00C63860">
              <w:rPr>
                <w:b/>
              </w:rPr>
              <w:t>(</w:t>
            </w:r>
            <w:r w:rsidRPr="00C63860">
              <w:rPr>
                <w:b/>
                <w:i/>
                <w:color w:val="00B0F0"/>
              </w:rPr>
              <w:t>n</w:t>
            </w:r>
            <w:r w:rsidRPr="00C63860">
              <w:rPr>
                <w:b/>
              </w:rPr>
              <w:t>=133,073)</w:t>
            </w:r>
          </w:p>
        </w:tc>
      </w:tr>
      <w:tr w:rsidR="00C87DCA" w:rsidRPr="00C63860" w14:paraId="35FDE413" w14:textId="77777777" w:rsidTr="00C63860">
        <w:trPr>
          <w:cantSplit/>
        </w:trPr>
        <w:tc>
          <w:tcPr>
            <w:tcW w:w="0" w:type="auto"/>
            <w:shd w:val="clear" w:color="auto" w:fill="auto"/>
            <w:hideMark/>
          </w:tcPr>
          <w:p w14:paraId="1E0E270C" w14:textId="77777777" w:rsidR="00C63860" w:rsidRPr="00C63860" w:rsidRDefault="00C87DCA" w:rsidP="00C87DCA">
            <w:pPr>
              <w:rPr>
                <w:bCs/>
              </w:rPr>
            </w:pPr>
            <w:r w:rsidRPr="00C63860">
              <w:rPr>
                <w:bCs/>
              </w:rPr>
              <w:t xml:space="preserve">Age category: </w:t>
            </w:r>
            <w:r w:rsidRPr="00C63860">
              <w:rPr>
                <w:bCs/>
                <w:i/>
                <w:color w:val="00B0F0"/>
              </w:rPr>
              <w:t>n</w:t>
            </w:r>
            <w:r w:rsidRPr="00C63860">
              <w:rPr>
                <w:bCs/>
              </w:rPr>
              <w:t xml:space="preserve"> (%)</w:t>
            </w:r>
          </w:p>
          <w:p w14:paraId="401DACC5" w14:textId="77777777" w:rsidR="00C63860" w:rsidRPr="00C63860" w:rsidRDefault="00C87DCA" w:rsidP="00C87DCA">
            <w:pPr>
              <w:rPr>
                <w:bCs/>
              </w:rPr>
            </w:pPr>
            <w:r w:rsidRPr="00C63860">
              <w:rPr>
                <w:bCs/>
              </w:rPr>
              <w:t>Under 25</w:t>
            </w:r>
          </w:p>
          <w:p w14:paraId="5686FA97" w14:textId="3C7E0952" w:rsidR="00C63860" w:rsidRPr="00C63860" w:rsidRDefault="00C87DCA" w:rsidP="00C87DCA">
            <w:pPr>
              <w:rPr>
                <w:bCs/>
              </w:rPr>
            </w:pPr>
            <w:r w:rsidRPr="00C63860">
              <w:rPr>
                <w:bCs/>
              </w:rPr>
              <w:t>25</w:t>
            </w:r>
            <w:r w:rsidR="00C63860" w:rsidRPr="00C63860">
              <w:rPr>
                <w:bCs/>
                <w:color w:val="00B0F0"/>
              </w:rPr>
              <w:t>–2</w:t>
            </w:r>
            <w:r w:rsidRPr="00C63860">
              <w:rPr>
                <w:bCs/>
              </w:rPr>
              <w:t>9</w:t>
            </w:r>
          </w:p>
          <w:p w14:paraId="5A25BE24" w14:textId="676D1743" w:rsidR="00C63860" w:rsidRPr="00C63860" w:rsidRDefault="00C87DCA" w:rsidP="00C87DCA">
            <w:pPr>
              <w:rPr>
                <w:bCs/>
              </w:rPr>
            </w:pPr>
            <w:r w:rsidRPr="00C63860">
              <w:rPr>
                <w:bCs/>
              </w:rPr>
              <w:t>30</w:t>
            </w:r>
            <w:r w:rsidR="00C63860" w:rsidRPr="00C63860">
              <w:rPr>
                <w:bCs/>
                <w:color w:val="00B0F0"/>
              </w:rPr>
              <w:t>–3</w:t>
            </w:r>
            <w:r w:rsidRPr="00C63860">
              <w:rPr>
                <w:bCs/>
              </w:rPr>
              <w:t>4</w:t>
            </w:r>
          </w:p>
          <w:p w14:paraId="10341748" w14:textId="081C0846" w:rsidR="00C63860" w:rsidRPr="00C63860" w:rsidRDefault="00C87DCA" w:rsidP="00C87DCA">
            <w:pPr>
              <w:rPr>
                <w:bCs/>
              </w:rPr>
            </w:pPr>
            <w:r w:rsidRPr="00C63860">
              <w:rPr>
                <w:bCs/>
              </w:rPr>
              <w:t>35</w:t>
            </w:r>
            <w:r w:rsidR="00C63860" w:rsidRPr="00C63860">
              <w:rPr>
                <w:bCs/>
                <w:color w:val="00B0F0"/>
              </w:rPr>
              <w:t>–3</w:t>
            </w:r>
            <w:r w:rsidRPr="00C63860">
              <w:rPr>
                <w:bCs/>
              </w:rPr>
              <w:t>9</w:t>
            </w:r>
          </w:p>
          <w:p w14:paraId="49B46724" w14:textId="6599AFF3" w:rsidR="00C63860" w:rsidRPr="00C63860" w:rsidRDefault="00C87DCA" w:rsidP="00C87DCA">
            <w:pPr>
              <w:rPr>
                <w:bCs/>
              </w:rPr>
            </w:pPr>
            <w:r w:rsidRPr="00C63860">
              <w:rPr>
                <w:bCs/>
              </w:rPr>
              <w:t>40</w:t>
            </w:r>
            <w:r w:rsidR="00C63860" w:rsidRPr="00C63860">
              <w:rPr>
                <w:bCs/>
                <w:color w:val="00B0F0"/>
              </w:rPr>
              <w:t>–4</w:t>
            </w:r>
            <w:r w:rsidRPr="00C63860">
              <w:rPr>
                <w:bCs/>
              </w:rPr>
              <w:t>4</w:t>
            </w:r>
          </w:p>
          <w:p w14:paraId="0B7B47A7" w14:textId="070A8846" w:rsidR="00C63860" w:rsidRPr="00C63860" w:rsidRDefault="00C87DCA" w:rsidP="00C87DCA">
            <w:pPr>
              <w:rPr>
                <w:bCs/>
              </w:rPr>
            </w:pPr>
            <w:r w:rsidRPr="00C63860">
              <w:rPr>
                <w:bCs/>
              </w:rPr>
              <w:t>45</w:t>
            </w:r>
            <w:r w:rsidR="00C63860" w:rsidRPr="00C63860">
              <w:rPr>
                <w:bCs/>
                <w:color w:val="00B0F0"/>
              </w:rPr>
              <w:t>–4</w:t>
            </w:r>
            <w:r w:rsidRPr="00C63860">
              <w:rPr>
                <w:bCs/>
              </w:rPr>
              <w:t>9</w:t>
            </w:r>
          </w:p>
          <w:p w14:paraId="13141D0C" w14:textId="60DC235B" w:rsidR="00C63860" w:rsidRPr="00C63860" w:rsidRDefault="00C87DCA" w:rsidP="00C87DCA">
            <w:pPr>
              <w:rPr>
                <w:bCs/>
              </w:rPr>
            </w:pPr>
            <w:r w:rsidRPr="00C63860">
              <w:rPr>
                <w:bCs/>
              </w:rPr>
              <w:t>50</w:t>
            </w:r>
            <w:r w:rsidR="00C63860" w:rsidRPr="00C63860">
              <w:rPr>
                <w:bCs/>
                <w:color w:val="00B0F0"/>
              </w:rPr>
              <w:t>–5</w:t>
            </w:r>
            <w:r w:rsidRPr="00C63860">
              <w:rPr>
                <w:bCs/>
              </w:rPr>
              <w:t>4</w:t>
            </w:r>
          </w:p>
          <w:p w14:paraId="0C651817" w14:textId="6EA9BEC3" w:rsidR="00C63860" w:rsidRPr="00C63860" w:rsidRDefault="00C87DCA" w:rsidP="00C87DCA">
            <w:pPr>
              <w:rPr>
                <w:bCs/>
              </w:rPr>
            </w:pPr>
            <w:r w:rsidRPr="00C63860">
              <w:rPr>
                <w:bCs/>
              </w:rPr>
              <w:t>55</w:t>
            </w:r>
            <w:r w:rsidR="00C63860" w:rsidRPr="00C63860">
              <w:rPr>
                <w:bCs/>
                <w:color w:val="00B0F0"/>
              </w:rPr>
              <w:t>–5</w:t>
            </w:r>
            <w:r w:rsidRPr="00C63860">
              <w:rPr>
                <w:bCs/>
              </w:rPr>
              <w:t>9</w:t>
            </w:r>
          </w:p>
          <w:p w14:paraId="1E96E3E9" w14:textId="042BFD24" w:rsidR="00C63860" w:rsidRPr="00C63860" w:rsidRDefault="00C87DCA" w:rsidP="00C87DCA">
            <w:pPr>
              <w:rPr>
                <w:bCs/>
              </w:rPr>
            </w:pPr>
            <w:r w:rsidRPr="00C63860">
              <w:rPr>
                <w:bCs/>
              </w:rPr>
              <w:t>60</w:t>
            </w:r>
            <w:r w:rsidR="00C63860" w:rsidRPr="00C63860">
              <w:rPr>
                <w:bCs/>
                <w:color w:val="00B0F0"/>
              </w:rPr>
              <w:t>–6</w:t>
            </w:r>
            <w:r w:rsidRPr="00C63860">
              <w:rPr>
                <w:bCs/>
              </w:rPr>
              <w:t>4</w:t>
            </w:r>
          </w:p>
          <w:p w14:paraId="577EAE4A" w14:textId="428FDA45" w:rsidR="00C63860" w:rsidRPr="00C63860" w:rsidRDefault="00C87DCA" w:rsidP="00C87DCA">
            <w:pPr>
              <w:rPr>
                <w:bCs/>
              </w:rPr>
            </w:pPr>
            <w:r w:rsidRPr="00C63860">
              <w:rPr>
                <w:bCs/>
              </w:rPr>
              <w:t>65</w:t>
            </w:r>
            <w:r w:rsidR="00C63860" w:rsidRPr="00C63860">
              <w:rPr>
                <w:bCs/>
                <w:color w:val="00B0F0"/>
              </w:rPr>
              <w:t>–6</w:t>
            </w:r>
            <w:r w:rsidRPr="00C63860">
              <w:rPr>
                <w:bCs/>
              </w:rPr>
              <w:t>9</w:t>
            </w:r>
          </w:p>
          <w:p w14:paraId="0DB1BE80" w14:textId="6FC8D311" w:rsidR="00C63860" w:rsidRPr="00C63860" w:rsidRDefault="00C87DCA" w:rsidP="00C87DCA">
            <w:pPr>
              <w:rPr>
                <w:bCs/>
              </w:rPr>
            </w:pPr>
            <w:r w:rsidRPr="00C63860">
              <w:rPr>
                <w:bCs/>
              </w:rPr>
              <w:t>70</w:t>
            </w:r>
            <w:r w:rsidR="00C63860" w:rsidRPr="00C63860">
              <w:rPr>
                <w:bCs/>
                <w:color w:val="00B0F0"/>
              </w:rPr>
              <w:t>–7</w:t>
            </w:r>
            <w:r w:rsidRPr="00C63860">
              <w:rPr>
                <w:bCs/>
              </w:rPr>
              <w:t>4</w:t>
            </w:r>
          </w:p>
          <w:p w14:paraId="6D6E6E93" w14:textId="3C6E3EDA" w:rsidR="00C63860" w:rsidRPr="00C63860" w:rsidRDefault="00C87DCA" w:rsidP="00C87DCA">
            <w:pPr>
              <w:rPr>
                <w:bCs/>
              </w:rPr>
            </w:pPr>
            <w:r w:rsidRPr="00C63860">
              <w:rPr>
                <w:bCs/>
              </w:rPr>
              <w:t>75</w:t>
            </w:r>
            <w:r w:rsidR="00C63860" w:rsidRPr="00C63860">
              <w:rPr>
                <w:bCs/>
                <w:color w:val="00B0F0"/>
              </w:rPr>
              <w:t>–7</w:t>
            </w:r>
            <w:r w:rsidRPr="00C63860">
              <w:rPr>
                <w:bCs/>
              </w:rPr>
              <w:t>9</w:t>
            </w:r>
          </w:p>
          <w:p w14:paraId="2E47FB44" w14:textId="5AE3AFA2" w:rsidR="00C63860" w:rsidRPr="00C63860" w:rsidRDefault="00C87DCA" w:rsidP="00C87DCA">
            <w:pPr>
              <w:rPr>
                <w:bCs/>
              </w:rPr>
            </w:pPr>
            <w:r w:rsidRPr="00C63860">
              <w:rPr>
                <w:bCs/>
              </w:rPr>
              <w:t>80</w:t>
            </w:r>
            <w:r w:rsidR="00C63860" w:rsidRPr="00C63860">
              <w:rPr>
                <w:bCs/>
                <w:color w:val="00B0F0"/>
              </w:rPr>
              <w:t>–8</w:t>
            </w:r>
            <w:r w:rsidRPr="00C63860">
              <w:rPr>
                <w:bCs/>
              </w:rPr>
              <w:t>4</w:t>
            </w:r>
          </w:p>
          <w:p w14:paraId="19EFA7CA" w14:textId="37697A06" w:rsidR="00C63860" w:rsidRPr="00C63860" w:rsidRDefault="00C87DCA" w:rsidP="00C87DCA">
            <w:pPr>
              <w:rPr>
                <w:bCs/>
              </w:rPr>
            </w:pPr>
            <w:r w:rsidRPr="00C63860">
              <w:rPr>
                <w:bCs/>
              </w:rPr>
              <w:t>85</w:t>
            </w:r>
            <w:r w:rsidR="00C63860" w:rsidRPr="00C63860">
              <w:rPr>
                <w:bCs/>
                <w:color w:val="00B0F0"/>
              </w:rPr>
              <w:t>–8</w:t>
            </w:r>
            <w:r w:rsidRPr="00C63860">
              <w:rPr>
                <w:bCs/>
              </w:rPr>
              <w:t>9</w:t>
            </w:r>
          </w:p>
          <w:p w14:paraId="070230F5" w14:textId="1A7F1FB2" w:rsidR="00C87DCA" w:rsidRPr="00C63860" w:rsidRDefault="00C87DCA" w:rsidP="00C87DCA">
            <w:pPr>
              <w:rPr>
                <w:bCs/>
              </w:rPr>
            </w:pPr>
            <w:r w:rsidRPr="00C63860">
              <w:rPr>
                <w:bCs/>
              </w:rPr>
              <w:t>90 and over</w:t>
            </w:r>
          </w:p>
        </w:tc>
        <w:tc>
          <w:tcPr>
            <w:tcW w:w="0" w:type="auto"/>
            <w:shd w:val="clear" w:color="auto" w:fill="auto"/>
          </w:tcPr>
          <w:p w14:paraId="7A1CEA70" w14:textId="77777777" w:rsidR="00C87DCA" w:rsidRPr="00C63860" w:rsidRDefault="00C87DCA" w:rsidP="00C87DCA">
            <w:pPr>
              <w:jc w:val="center"/>
              <w:rPr>
                <w:bCs/>
              </w:rPr>
            </w:pPr>
          </w:p>
          <w:p w14:paraId="425AB6CF" w14:textId="77777777" w:rsidR="00C87DCA" w:rsidRPr="00C63860" w:rsidRDefault="00C87DCA" w:rsidP="00C87DCA">
            <w:pPr>
              <w:jc w:val="center"/>
              <w:rPr>
                <w:bCs/>
              </w:rPr>
            </w:pPr>
            <w:r w:rsidRPr="00C63860">
              <w:rPr>
                <w:bCs/>
              </w:rPr>
              <w:t>63,373 (23.6)</w:t>
            </w:r>
          </w:p>
          <w:p w14:paraId="2D24013C" w14:textId="77777777" w:rsidR="00C87DCA" w:rsidRPr="00C63860" w:rsidRDefault="00C87DCA" w:rsidP="00C87DCA">
            <w:pPr>
              <w:jc w:val="center"/>
              <w:rPr>
                <w:bCs/>
              </w:rPr>
            </w:pPr>
            <w:r w:rsidRPr="00C63860">
              <w:rPr>
                <w:bCs/>
              </w:rPr>
              <w:t>37,570 (14.0)</w:t>
            </w:r>
          </w:p>
          <w:p w14:paraId="59503310" w14:textId="77777777" w:rsidR="00C87DCA" w:rsidRPr="00C63860" w:rsidRDefault="00C87DCA" w:rsidP="00C87DCA">
            <w:pPr>
              <w:jc w:val="center"/>
              <w:rPr>
                <w:bCs/>
              </w:rPr>
            </w:pPr>
            <w:r w:rsidRPr="00C63860">
              <w:rPr>
                <w:bCs/>
              </w:rPr>
              <w:t>31,388 (11.7)</w:t>
            </w:r>
          </w:p>
          <w:p w14:paraId="74C3C59A" w14:textId="77777777" w:rsidR="00C87DCA" w:rsidRPr="00C63860" w:rsidRDefault="00C87DCA" w:rsidP="00C87DCA">
            <w:pPr>
              <w:jc w:val="center"/>
              <w:rPr>
                <w:bCs/>
              </w:rPr>
            </w:pPr>
            <w:r w:rsidRPr="00C63860">
              <w:rPr>
                <w:bCs/>
              </w:rPr>
              <w:t>25,482 (9.5)</w:t>
            </w:r>
          </w:p>
          <w:p w14:paraId="15808827" w14:textId="77777777" w:rsidR="00C87DCA" w:rsidRPr="00C63860" w:rsidRDefault="00C87DCA" w:rsidP="00C87DCA">
            <w:pPr>
              <w:jc w:val="center"/>
              <w:rPr>
                <w:bCs/>
              </w:rPr>
            </w:pPr>
            <w:r w:rsidRPr="00C63860">
              <w:rPr>
                <w:bCs/>
              </w:rPr>
              <w:t>21,657 (8.1)</w:t>
            </w:r>
          </w:p>
          <w:p w14:paraId="7EF40686" w14:textId="77777777" w:rsidR="00C87DCA" w:rsidRPr="00C63860" w:rsidRDefault="00C87DCA" w:rsidP="00C87DCA">
            <w:pPr>
              <w:jc w:val="center"/>
              <w:rPr>
                <w:bCs/>
              </w:rPr>
            </w:pPr>
            <w:r w:rsidRPr="00C63860">
              <w:rPr>
                <w:bCs/>
              </w:rPr>
              <w:t>19,800 (7.4)</w:t>
            </w:r>
          </w:p>
          <w:p w14:paraId="72AB3205" w14:textId="77777777" w:rsidR="00C87DCA" w:rsidRPr="00C63860" w:rsidRDefault="00C87DCA" w:rsidP="00C87DCA">
            <w:pPr>
              <w:jc w:val="center"/>
              <w:rPr>
                <w:bCs/>
              </w:rPr>
            </w:pPr>
            <w:r w:rsidRPr="00C63860">
              <w:rPr>
                <w:bCs/>
              </w:rPr>
              <w:t>17,422 (6.5)</w:t>
            </w:r>
          </w:p>
          <w:p w14:paraId="2CAAE706" w14:textId="77777777" w:rsidR="00C87DCA" w:rsidRPr="00C63860" w:rsidRDefault="00C87DCA" w:rsidP="00C87DCA">
            <w:pPr>
              <w:jc w:val="center"/>
              <w:rPr>
                <w:bCs/>
              </w:rPr>
            </w:pPr>
            <w:r w:rsidRPr="00C63860">
              <w:rPr>
                <w:bCs/>
              </w:rPr>
              <w:t>13,841 (5.2)</w:t>
            </w:r>
          </w:p>
          <w:p w14:paraId="336D98BD" w14:textId="77777777" w:rsidR="00C87DCA" w:rsidRPr="00C63860" w:rsidRDefault="00C87DCA" w:rsidP="00C87DCA">
            <w:pPr>
              <w:jc w:val="center"/>
              <w:rPr>
                <w:bCs/>
              </w:rPr>
            </w:pPr>
            <w:r w:rsidRPr="00C63860">
              <w:rPr>
                <w:bCs/>
              </w:rPr>
              <w:t>11,149 (4.2)</w:t>
            </w:r>
          </w:p>
          <w:p w14:paraId="0E89500C" w14:textId="77777777" w:rsidR="00C87DCA" w:rsidRPr="00C63860" w:rsidRDefault="00C87DCA" w:rsidP="00C87DCA">
            <w:pPr>
              <w:jc w:val="center"/>
              <w:rPr>
                <w:bCs/>
              </w:rPr>
            </w:pPr>
            <w:r w:rsidRPr="00C63860">
              <w:rPr>
                <w:bCs/>
              </w:rPr>
              <w:t>9,456 (3.5)</w:t>
            </w:r>
          </w:p>
          <w:p w14:paraId="44D0977A" w14:textId="77777777" w:rsidR="00C87DCA" w:rsidRPr="00C63860" w:rsidRDefault="00C87DCA" w:rsidP="00C87DCA">
            <w:pPr>
              <w:jc w:val="center"/>
              <w:rPr>
                <w:bCs/>
              </w:rPr>
            </w:pPr>
            <w:r w:rsidRPr="00C63860">
              <w:rPr>
                <w:bCs/>
              </w:rPr>
              <w:t>6,988 (2.6)</w:t>
            </w:r>
          </w:p>
          <w:p w14:paraId="1150093A" w14:textId="77777777" w:rsidR="00C87DCA" w:rsidRPr="00C63860" w:rsidRDefault="00C87DCA" w:rsidP="00C87DCA">
            <w:pPr>
              <w:jc w:val="center"/>
              <w:rPr>
                <w:bCs/>
              </w:rPr>
            </w:pPr>
            <w:r w:rsidRPr="00C63860">
              <w:rPr>
                <w:bCs/>
              </w:rPr>
              <w:t>4,727 (1.8)</w:t>
            </w:r>
          </w:p>
          <w:p w14:paraId="467EAABF" w14:textId="77777777" w:rsidR="00C87DCA" w:rsidRPr="00C63860" w:rsidRDefault="00C87DCA" w:rsidP="00C87DCA">
            <w:pPr>
              <w:jc w:val="center"/>
              <w:rPr>
                <w:bCs/>
              </w:rPr>
            </w:pPr>
            <w:r w:rsidRPr="00C63860">
              <w:rPr>
                <w:bCs/>
              </w:rPr>
              <w:t>3,019 (1.1)</w:t>
            </w:r>
          </w:p>
          <w:p w14:paraId="04692F77" w14:textId="77777777" w:rsidR="00C87DCA" w:rsidRPr="00C63860" w:rsidRDefault="00C87DCA" w:rsidP="00C87DCA">
            <w:pPr>
              <w:jc w:val="center"/>
              <w:rPr>
                <w:bCs/>
              </w:rPr>
            </w:pPr>
            <w:r w:rsidRPr="00C63860">
              <w:rPr>
                <w:bCs/>
              </w:rPr>
              <w:t>1,604 (0.6)</w:t>
            </w:r>
          </w:p>
          <w:p w14:paraId="524EA60C" w14:textId="77777777" w:rsidR="00C87DCA" w:rsidRPr="00C63860" w:rsidRDefault="00C87DCA" w:rsidP="00C87DCA">
            <w:pPr>
              <w:jc w:val="center"/>
              <w:rPr>
                <w:bCs/>
              </w:rPr>
            </w:pPr>
            <w:r w:rsidRPr="00C63860">
              <w:rPr>
                <w:bCs/>
              </w:rPr>
              <w:t>668 (0.3)</w:t>
            </w:r>
          </w:p>
        </w:tc>
        <w:tc>
          <w:tcPr>
            <w:tcW w:w="0" w:type="auto"/>
            <w:shd w:val="clear" w:color="auto" w:fill="auto"/>
          </w:tcPr>
          <w:p w14:paraId="2E44EE95" w14:textId="77777777" w:rsidR="00C87DCA" w:rsidRPr="00C63860" w:rsidRDefault="00C87DCA" w:rsidP="00C87DCA">
            <w:pPr>
              <w:jc w:val="center"/>
              <w:rPr>
                <w:bCs/>
              </w:rPr>
            </w:pPr>
          </w:p>
          <w:p w14:paraId="258183E7" w14:textId="77777777" w:rsidR="00C87DCA" w:rsidRPr="00C63860" w:rsidRDefault="00C87DCA" w:rsidP="00C87DCA">
            <w:pPr>
              <w:jc w:val="center"/>
              <w:rPr>
                <w:bCs/>
              </w:rPr>
            </w:pPr>
            <w:r w:rsidRPr="00C63860">
              <w:rPr>
                <w:bCs/>
              </w:rPr>
              <w:t>12,108 (5.0)</w:t>
            </w:r>
          </w:p>
          <w:p w14:paraId="74ADEA1D" w14:textId="77777777" w:rsidR="00C87DCA" w:rsidRPr="00C63860" w:rsidRDefault="00C87DCA" w:rsidP="00C87DCA">
            <w:pPr>
              <w:jc w:val="center"/>
              <w:rPr>
                <w:bCs/>
              </w:rPr>
            </w:pPr>
            <w:r w:rsidRPr="00C63860">
              <w:rPr>
                <w:bCs/>
              </w:rPr>
              <w:t>15,313 (6.4)</w:t>
            </w:r>
          </w:p>
          <w:p w14:paraId="4EFB5963" w14:textId="77777777" w:rsidR="00C87DCA" w:rsidRPr="00C63860" w:rsidRDefault="00C87DCA" w:rsidP="00C87DCA">
            <w:pPr>
              <w:jc w:val="center"/>
              <w:rPr>
                <w:bCs/>
              </w:rPr>
            </w:pPr>
            <w:r w:rsidRPr="00C63860">
              <w:rPr>
                <w:bCs/>
              </w:rPr>
              <w:t>16,446 (6.8)</w:t>
            </w:r>
          </w:p>
          <w:p w14:paraId="1BA118BD" w14:textId="77777777" w:rsidR="00C87DCA" w:rsidRPr="00C63860" w:rsidRDefault="00C87DCA" w:rsidP="00C87DCA">
            <w:pPr>
              <w:jc w:val="center"/>
              <w:rPr>
                <w:bCs/>
              </w:rPr>
            </w:pPr>
            <w:r w:rsidRPr="00C63860">
              <w:rPr>
                <w:bCs/>
              </w:rPr>
              <w:t>16,087 (6.7)</w:t>
            </w:r>
          </w:p>
          <w:p w14:paraId="0E3EC21C" w14:textId="77777777" w:rsidR="00C87DCA" w:rsidRPr="00C63860" w:rsidRDefault="00C87DCA" w:rsidP="00C87DCA">
            <w:pPr>
              <w:jc w:val="center"/>
              <w:rPr>
                <w:bCs/>
              </w:rPr>
            </w:pPr>
            <w:r w:rsidRPr="00C63860">
              <w:rPr>
                <w:bCs/>
              </w:rPr>
              <w:t>17,748 (7.4)</w:t>
            </w:r>
          </w:p>
          <w:p w14:paraId="18A96F89" w14:textId="77777777" w:rsidR="00C87DCA" w:rsidRPr="00C63860" w:rsidRDefault="00C87DCA" w:rsidP="00C87DCA">
            <w:pPr>
              <w:jc w:val="center"/>
              <w:rPr>
                <w:bCs/>
              </w:rPr>
            </w:pPr>
            <w:r w:rsidRPr="00C63860">
              <w:rPr>
                <w:bCs/>
              </w:rPr>
              <w:t>20,572 (8.5)</w:t>
            </w:r>
          </w:p>
          <w:p w14:paraId="3728998F" w14:textId="77777777" w:rsidR="00C87DCA" w:rsidRPr="00C63860" w:rsidRDefault="00C87DCA" w:rsidP="00C87DCA">
            <w:pPr>
              <w:jc w:val="center"/>
              <w:rPr>
                <w:bCs/>
              </w:rPr>
            </w:pPr>
            <w:r w:rsidRPr="00C63860">
              <w:rPr>
                <w:bCs/>
              </w:rPr>
              <w:t>21,084 (8.8)</w:t>
            </w:r>
          </w:p>
          <w:p w14:paraId="2B97E508" w14:textId="77777777" w:rsidR="00C87DCA" w:rsidRPr="00C63860" w:rsidRDefault="00C87DCA" w:rsidP="00C87DCA">
            <w:pPr>
              <w:jc w:val="center"/>
              <w:rPr>
                <w:bCs/>
              </w:rPr>
            </w:pPr>
            <w:r w:rsidRPr="00C63860">
              <w:rPr>
                <w:bCs/>
              </w:rPr>
              <w:t>19,727 (8.2)</w:t>
            </w:r>
          </w:p>
          <w:p w14:paraId="7D3A34D3" w14:textId="77777777" w:rsidR="00C87DCA" w:rsidRPr="00C63860" w:rsidRDefault="00C87DCA" w:rsidP="00C87DCA">
            <w:pPr>
              <w:jc w:val="center"/>
              <w:rPr>
                <w:bCs/>
              </w:rPr>
            </w:pPr>
            <w:r w:rsidRPr="00C63860">
              <w:rPr>
                <w:bCs/>
              </w:rPr>
              <w:t>18,853 (7.8)</w:t>
            </w:r>
          </w:p>
          <w:p w14:paraId="3D098973" w14:textId="77777777" w:rsidR="00C87DCA" w:rsidRPr="00C63860" w:rsidRDefault="00C87DCA" w:rsidP="00C87DCA">
            <w:pPr>
              <w:jc w:val="center"/>
              <w:rPr>
                <w:bCs/>
              </w:rPr>
            </w:pPr>
            <w:r w:rsidRPr="00C63860">
              <w:rPr>
                <w:bCs/>
              </w:rPr>
              <w:t>19,736 (8.2)</w:t>
            </w:r>
          </w:p>
          <w:p w14:paraId="31EAD1ED" w14:textId="77777777" w:rsidR="00C87DCA" w:rsidRPr="00C63860" w:rsidRDefault="00C87DCA" w:rsidP="00C87DCA">
            <w:pPr>
              <w:jc w:val="center"/>
              <w:rPr>
                <w:bCs/>
              </w:rPr>
            </w:pPr>
            <w:r w:rsidRPr="00C63860">
              <w:rPr>
                <w:bCs/>
              </w:rPr>
              <w:t>18,906 (7.9)</w:t>
            </w:r>
          </w:p>
          <w:p w14:paraId="18844013" w14:textId="77777777" w:rsidR="00C87DCA" w:rsidRPr="00C63860" w:rsidRDefault="00C87DCA" w:rsidP="00C87DCA">
            <w:pPr>
              <w:jc w:val="center"/>
              <w:rPr>
                <w:bCs/>
              </w:rPr>
            </w:pPr>
            <w:r w:rsidRPr="00C63860">
              <w:rPr>
                <w:bCs/>
              </w:rPr>
              <w:t>16,796 (7.0)</w:t>
            </w:r>
          </w:p>
          <w:p w14:paraId="249ADD9D" w14:textId="77777777" w:rsidR="00C87DCA" w:rsidRPr="00C63860" w:rsidRDefault="00C87DCA" w:rsidP="00C87DCA">
            <w:pPr>
              <w:jc w:val="center"/>
              <w:rPr>
                <w:bCs/>
              </w:rPr>
            </w:pPr>
            <w:r w:rsidRPr="00C63860">
              <w:rPr>
                <w:bCs/>
              </w:rPr>
              <w:t>14,132 (5.9)</w:t>
            </w:r>
          </w:p>
          <w:p w14:paraId="6434992A" w14:textId="77777777" w:rsidR="00C87DCA" w:rsidRPr="00C63860" w:rsidRDefault="00C87DCA" w:rsidP="00C87DCA">
            <w:pPr>
              <w:jc w:val="center"/>
              <w:rPr>
                <w:bCs/>
              </w:rPr>
            </w:pPr>
            <w:r w:rsidRPr="00C63860">
              <w:rPr>
                <w:bCs/>
              </w:rPr>
              <w:t>9,033 (3.8)</w:t>
            </w:r>
          </w:p>
          <w:p w14:paraId="50E4C4E3" w14:textId="77777777" w:rsidR="00C87DCA" w:rsidRPr="00C63860" w:rsidRDefault="00C87DCA" w:rsidP="00C87DCA">
            <w:pPr>
              <w:jc w:val="center"/>
              <w:rPr>
                <w:bCs/>
              </w:rPr>
            </w:pPr>
            <w:r w:rsidRPr="00C63860">
              <w:rPr>
                <w:bCs/>
              </w:rPr>
              <w:t>4,436 (1.8)</w:t>
            </w:r>
          </w:p>
        </w:tc>
        <w:tc>
          <w:tcPr>
            <w:tcW w:w="0" w:type="auto"/>
            <w:shd w:val="clear" w:color="auto" w:fill="auto"/>
          </w:tcPr>
          <w:p w14:paraId="73621021" w14:textId="77777777" w:rsidR="00C87DCA" w:rsidRPr="00C63860" w:rsidRDefault="00C87DCA" w:rsidP="00C87DCA">
            <w:pPr>
              <w:jc w:val="center"/>
              <w:rPr>
                <w:bCs/>
              </w:rPr>
            </w:pPr>
          </w:p>
          <w:p w14:paraId="1411AFC3" w14:textId="77777777" w:rsidR="00C87DCA" w:rsidRPr="00C63860" w:rsidRDefault="00C87DCA" w:rsidP="00C87DCA">
            <w:pPr>
              <w:jc w:val="center"/>
              <w:rPr>
                <w:bCs/>
              </w:rPr>
            </w:pPr>
            <w:r w:rsidRPr="00C63860">
              <w:rPr>
                <w:bCs/>
              </w:rPr>
              <w:t>308 (0.2)</w:t>
            </w:r>
          </w:p>
          <w:p w14:paraId="0590835E" w14:textId="77777777" w:rsidR="00C87DCA" w:rsidRPr="00C63860" w:rsidRDefault="00C87DCA" w:rsidP="00C87DCA">
            <w:pPr>
              <w:jc w:val="center"/>
              <w:rPr>
                <w:bCs/>
              </w:rPr>
            </w:pPr>
            <w:r w:rsidRPr="00C63860">
              <w:rPr>
                <w:bCs/>
              </w:rPr>
              <w:t>1,076 (0.8)</w:t>
            </w:r>
          </w:p>
          <w:p w14:paraId="140C511E" w14:textId="77777777" w:rsidR="00C87DCA" w:rsidRPr="00C63860" w:rsidRDefault="00C87DCA" w:rsidP="00C87DCA">
            <w:pPr>
              <w:jc w:val="center"/>
              <w:rPr>
                <w:bCs/>
              </w:rPr>
            </w:pPr>
            <w:r w:rsidRPr="00C63860">
              <w:rPr>
                <w:bCs/>
              </w:rPr>
              <w:t>2,466 (1.8)</w:t>
            </w:r>
          </w:p>
          <w:p w14:paraId="3790A691" w14:textId="77777777" w:rsidR="00C87DCA" w:rsidRPr="00C63860" w:rsidRDefault="00C87DCA" w:rsidP="00C87DCA">
            <w:pPr>
              <w:jc w:val="center"/>
              <w:rPr>
                <w:bCs/>
              </w:rPr>
            </w:pPr>
            <w:r w:rsidRPr="00C63860">
              <w:rPr>
                <w:bCs/>
              </w:rPr>
              <w:t>4,648 (3.4)</w:t>
            </w:r>
          </w:p>
          <w:p w14:paraId="4352EB22" w14:textId="77777777" w:rsidR="00C87DCA" w:rsidRPr="00C63860" w:rsidRDefault="00C87DCA" w:rsidP="00C87DCA">
            <w:pPr>
              <w:jc w:val="center"/>
              <w:rPr>
                <w:bCs/>
              </w:rPr>
            </w:pPr>
            <w:r w:rsidRPr="00C63860">
              <w:rPr>
                <w:bCs/>
              </w:rPr>
              <w:t>7,581 (5.5)</w:t>
            </w:r>
          </w:p>
          <w:p w14:paraId="5F1344C0" w14:textId="77777777" w:rsidR="00C87DCA" w:rsidRPr="00C63860" w:rsidRDefault="00C87DCA" w:rsidP="00C87DCA">
            <w:pPr>
              <w:jc w:val="center"/>
              <w:rPr>
                <w:bCs/>
              </w:rPr>
            </w:pPr>
            <w:r w:rsidRPr="00C63860">
              <w:rPr>
                <w:bCs/>
              </w:rPr>
              <w:t>11,472 (8.3)</w:t>
            </w:r>
          </w:p>
          <w:p w14:paraId="01416BF2" w14:textId="77777777" w:rsidR="00C87DCA" w:rsidRPr="00C63860" w:rsidRDefault="00C87DCA" w:rsidP="00C87DCA">
            <w:pPr>
              <w:jc w:val="center"/>
              <w:rPr>
                <w:bCs/>
              </w:rPr>
            </w:pPr>
            <w:r w:rsidRPr="00C63860">
              <w:rPr>
                <w:bCs/>
              </w:rPr>
              <w:t>13,999 (10.1)</w:t>
            </w:r>
          </w:p>
          <w:p w14:paraId="45D6CF7F" w14:textId="77777777" w:rsidR="00C87DCA" w:rsidRPr="00C63860" w:rsidRDefault="00C87DCA" w:rsidP="00C87DCA">
            <w:pPr>
              <w:jc w:val="center"/>
              <w:rPr>
                <w:bCs/>
              </w:rPr>
            </w:pPr>
            <w:r w:rsidRPr="00C63860">
              <w:rPr>
                <w:bCs/>
              </w:rPr>
              <w:t>14,061 (10.1)</w:t>
            </w:r>
          </w:p>
          <w:p w14:paraId="5CE317E6" w14:textId="77777777" w:rsidR="00C87DCA" w:rsidRPr="00C63860" w:rsidRDefault="00C87DCA" w:rsidP="00C87DCA">
            <w:pPr>
              <w:jc w:val="center"/>
              <w:rPr>
                <w:bCs/>
              </w:rPr>
            </w:pPr>
            <w:r w:rsidRPr="00C63860">
              <w:rPr>
                <w:bCs/>
              </w:rPr>
              <w:t>13,657 (9.8)</w:t>
            </w:r>
          </w:p>
          <w:p w14:paraId="0F18B2EA" w14:textId="77777777" w:rsidR="00C87DCA" w:rsidRPr="00C63860" w:rsidRDefault="00C87DCA" w:rsidP="00C87DCA">
            <w:pPr>
              <w:jc w:val="center"/>
              <w:rPr>
                <w:bCs/>
              </w:rPr>
            </w:pPr>
            <w:r w:rsidRPr="00C63860">
              <w:rPr>
                <w:bCs/>
              </w:rPr>
              <w:t>14,310 (10.3)</w:t>
            </w:r>
          </w:p>
          <w:p w14:paraId="4194851D" w14:textId="77777777" w:rsidR="00C87DCA" w:rsidRPr="00C63860" w:rsidRDefault="00C87DCA" w:rsidP="00C87DCA">
            <w:pPr>
              <w:jc w:val="center"/>
              <w:rPr>
                <w:bCs/>
              </w:rPr>
            </w:pPr>
            <w:r w:rsidRPr="00C63860">
              <w:rPr>
                <w:bCs/>
              </w:rPr>
              <w:t>14,645 (10.6)</w:t>
            </w:r>
          </w:p>
          <w:p w14:paraId="79C375A9" w14:textId="77777777" w:rsidR="00C87DCA" w:rsidRPr="00C63860" w:rsidRDefault="00C87DCA" w:rsidP="00C87DCA">
            <w:pPr>
              <w:jc w:val="center"/>
              <w:rPr>
                <w:bCs/>
              </w:rPr>
            </w:pPr>
            <w:r w:rsidRPr="00C63860">
              <w:rPr>
                <w:bCs/>
              </w:rPr>
              <w:t>14,084 (10.1)</w:t>
            </w:r>
          </w:p>
          <w:p w14:paraId="5A85C336" w14:textId="77777777" w:rsidR="00C87DCA" w:rsidRPr="00C63860" w:rsidRDefault="00C87DCA" w:rsidP="00C87DCA">
            <w:pPr>
              <w:jc w:val="center"/>
              <w:rPr>
                <w:bCs/>
              </w:rPr>
            </w:pPr>
            <w:r w:rsidRPr="00C63860">
              <w:rPr>
                <w:bCs/>
              </w:rPr>
              <w:t>12,874 (9.3)</w:t>
            </w:r>
          </w:p>
          <w:p w14:paraId="589EE155" w14:textId="77777777" w:rsidR="00C87DCA" w:rsidRPr="00C63860" w:rsidRDefault="00C87DCA" w:rsidP="00C87DCA">
            <w:pPr>
              <w:jc w:val="center"/>
              <w:rPr>
                <w:bCs/>
              </w:rPr>
            </w:pPr>
            <w:r w:rsidRPr="00C63860">
              <w:rPr>
                <w:bCs/>
              </w:rPr>
              <w:t>9,137 (6.6)</w:t>
            </w:r>
          </w:p>
          <w:p w14:paraId="6237573D" w14:textId="77777777" w:rsidR="00C87DCA" w:rsidRPr="00C63860" w:rsidRDefault="00C87DCA" w:rsidP="00C87DCA">
            <w:pPr>
              <w:jc w:val="center"/>
              <w:rPr>
                <w:bCs/>
              </w:rPr>
            </w:pPr>
            <w:r w:rsidRPr="00C63860">
              <w:rPr>
                <w:bCs/>
              </w:rPr>
              <w:t>4,551 (3.3)</w:t>
            </w:r>
          </w:p>
        </w:tc>
        <w:tc>
          <w:tcPr>
            <w:tcW w:w="0" w:type="auto"/>
            <w:shd w:val="clear" w:color="auto" w:fill="auto"/>
          </w:tcPr>
          <w:p w14:paraId="001AA571" w14:textId="77777777" w:rsidR="00C87DCA" w:rsidRPr="00C63860" w:rsidRDefault="00C87DCA" w:rsidP="00C87DCA">
            <w:pPr>
              <w:jc w:val="center"/>
              <w:rPr>
                <w:bCs/>
              </w:rPr>
            </w:pPr>
          </w:p>
          <w:p w14:paraId="19499135" w14:textId="77777777" w:rsidR="00C87DCA" w:rsidRPr="00C63860" w:rsidRDefault="00C87DCA" w:rsidP="00C87DCA">
            <w:pPr>
              <w:jc w:val="center"/>
              <w:rPr>
                <w:bCs/>
              </w:rPr>
            </w:pPr>
            <w:r w:rsidRPr="00C63860">
              <w:rPr>
                <w:bCs/>
              </w:rPr>
              <w:t>2,263 (2.1)</w:t>
            </w:r>
          </w:p>
          <w:p w14:paraId="365457BA" w14:textId="77777777" w:rsidR="00C87DCA" w:rsidRPr="00C63860" w:rsidRDefault="00C87DCA" w:rsidP="00C87DCA">
            <w:pPr>
              <w:jc w:val="center"/>
              <w:rPr>
                <w:bCs/>
              </w:rPr>
            </w:pPr>
            <w:r w:rsidRPr="00C63860">
              <w:rPr>
                <w:bCs/>
              </w:rPr>
              <w:t>3,136 (3.0)</w:t>
            </w:r>
          </w:p>
          <w:p w14:paraId="5CB648A0" w14:textId="77777777" w:rsidR="00C87DCA" w:rsidRPr="00C63860" w:rsidRDefault="00C87DCA" w:rsidP="00C87DCA">
            <w:pPr>
              <w:jc w:val="center"/>
              <w:rPr>
                <w:bCs/>
              </w:rPr>
            </w:pPr>
            <w:r w:rsidRPr="00C63860">
              <w:rPr>
                <w:bCs/>
              </w:rPr>
              <w:t>3,998 (3.8)</w:t>
            </w:r>
          </w:p>
          <w:p w14:paraId="580D0E2C" w14:textId="77777777" w:rsidR="00C87DCA" w:rsidRPr="00C63860" w:rsidRDefault="00C87DCA" w:rsidP="00C87DCA">
            <w:pPr>
              <w:jc w:val="center"/>
              <w:rPr>
                <w:bCs/>
              </w:rPr>
            </w:pPr>
            <w:r w:rsidRPr="00C63860">
              <w:rPr>
                <w:bCs/>
              </w:rPr>
              <w:t>4,715 (4.4)</w:t>
            </w:r>
          </w:p>
          <w:p w14:paraId="07E584FB" w14:textId="77777777" w:rsidR="00C87DCA" w:rsidRPr="00C63860" w:rsidRDefault="00C87DCA" w:rsidP="00C87DCA">
            <w:pPr>
              <w:jc w:val="center"/>
              <w:rPr>
                <w:bCs/>
              </w:rPr>
            </w:pPr>
            <w:r w:rsidRPr="00C63860">
              <w:rPr>
                <w:bCs/>
              </w:rPr>
              <w:t>6,075 (5.7)</w:t>
            </w:r>
          </w:p>
          <w:p w14:paraId="0B2B403E" w14:textId="77777777" w:rsidR="00C87DCA" w:rsidRPr="00C63860" w:rsidRDefault="00C87DCA" w:rsidP="00C87DCA">
            <w:pPr>
              <w:jc w:val="center"/>
              <w:rPr>
                <w:bCs/>
              </w:rPr>
            </w:pPr>
            <w:r w:rsidRPr="00C63860">
              <w:rPr>
                <w:bCs/>
              </w:rPr>
              <w:t>7,757 (7.3)</w:t>
            </w:r>
          </w:p>
          <w:p w14:paraId="154C40B3" w14:textId="77777777" w:rsidR="00C87DCA" w:rsidRPr="00C63860" w:rsidRDefault="00C87DCA" w:rsidP="00C87DCA">
            <w:pPr>
              <w:jc w:val="center"/>
              <w:rPr>
                <w:bCs/>
              </w:rPr>
            </w:pPr>
            <w:r w:rsidRPr="00C63860">
              <w:rPr>
                <w:bCs/>
              </w:rPr>
              <w:t>8,203 (7.7)</w:t>
            </w:r>
          </w:p>
          <w:p w14:paraId="295AD305" w14:textId="77777777" w:rsidR="00C87DCA" w:rsidRPr="00C63860" w:rsidRDefault="00C87DCA" w:rsidP="00C87DCA">
            <w:pPr>
              <w:jc w:val="center"/>
              <w:rPr>
                <w:bCs/>
              </w:rPr>
            </w:pPr>
            <w:r w:rsidRPr="00C63860">
              <w:rPr>
                <w:bCs/>
              </w:rPr>
              <w:t>7,934 (7.5)</w:t>
            </w:r>
          </w:p>
          <w:p w14:paraId="1C5E1EF1" w14:textId="77777777" w:rsidR="00C87DCA" w:rsidRPr="00C63860" w:rsidRDefault="00C87DCA" w:rsidP="00C87DCA">
            <w:pPr>
              <w:jc w:val="center"/>
              <w:rPr>
                <w:bCs/>
              </w:rPr>
            </w:pPr>
            <w:r w:rsidRPr="00C63860">
              <w:rPr>
                <w:bCs/>
              </w:rPr>
              <w:t>8,305 (7.8)</w:t>
            </w:r>
          </w:p>
          <w:p w14:paraId="61D5B8E6" w14:textId="77777777" w:rsidR="00C87DCA" w:rsidRPr="00C63860" w:rsidRDefault="00C87DCA" w:rsidP="00C87DCA">
            <w:pPr>
              <w:jc w:val="center"/>
              <w:rPr>
                <w:bCs/>
              </w:rPr>
            </w:pPr>
            <w:r w:rsidRPr="00C63860">
              <w:rPr>
                <w:bCs/>
              </w:rPr>
              <w:t>9,163 (8.6)</w:t>
            </w:r>
          </w:p>
          <w:p w14:paraId="5F2335FB" w14:textId="77777777" w:rsidR="00C87DCA" w:rsidRPr="00C63860" w:rsidRDefault="00C87DCA" w:rsidP="00C87DCA">
            <w:pPr>
              <w:jc w:val="center"/>
              <w:rPr>
                <w:bCs/>
              </w:rPr>
            </w:pPr>
            <w:r w:rsidRPr="00C63860">
              <w:rPr>
                <w:bCs/>
              </w:rPr>
              <w:t>10,318 (9.7)</w:t>
            </w:r>
          </w:p>
          <w:p w14:paraId="64DAC3A2" w14:textId="77777777" w:rsidR="00C87DCA" w:rsidRPr="00C63860" w:rsidRDefault="00C87DCA" w:rsidP="00C87DCA">
            <w:pPr>
              <w:jc w:val="center"/>
              <w:rPr>
                <w:bCs/>
              </w:rPr>
            </w:pPr>
            <w:r w:rsidRPr="00C63860">
              <w:rPr>
                <w:bCs/>
              </w:rPr>
              <w:t>10,755 (10.1)</w:t>
            </w:r>
          </w:p>
          <w:p w14:paraId="37901BCF" w14:textId="77777777" w:rsidR="00C87DCA" w:rsidRPr="00C63860" w:rsidRDefault="00C87DCA" w:rsidP="00C87DCA">
            <w:pPr>
              <w:jc w:val="center"/>
              <w:rPr>
                <w:bCs/>
              </w:rPr>
            </w:pPr>
            <w:r w:rsidRPr="00C63860">
              <w:rPr>
                <w:bCs/>
              </w:rPr>
              <w:t>10,825 (10.2)</w:t>
            </w:r>
          </w:p>
          <w:p w14:paraId="2E8794A4" w14:textId="77777777" w:rsidR="00C87DCA" w:rsidRPr="00C63860" w:rsidRDefault="00C87DCA" w:rsidP="00C87DCA">
            <w:pPr>
              <w:jc w:val="center"/>
              <w:rPr>
                <w:bCs/>
              </w:rPr>
            </w:pPr>
            <w:r w:rsidRPr="00C63860">
              <w:rPr>
                <w:bCs/>
              </w:rPr>
              <w:t>8,245 (7.8)</w:t>
            </w:r>
          </w:p>
          <w:p w14:paraId="225E1326" w14:textId="77777777" w:rsidR="00C87DCA" w:rsidRPr="00C63860" w:rsidRDefault="00C87DCA" w:rsidP="00C87DCA">
            <w:pPr>
              <w:jc w:val="center"/>
              <w:rPr>
                <w:bCs/>
              </w:rPr>
            </w:pPr>
            <w:r w:rsidRPr="00C63860">
              <w:rPr>
                <w:bCs/>
              </w:rPr>
              <w:t>4,740 (4.5)</w:t>
            </w:r>
          </w:p>
        </w:tc>
        <w:tc>
          <w:tcPr>
            <w:tcW w:w="0" w:type="auto"/>
            <w:shd w:val="clear" w:color="auto" w:fill="auto"/>
          </w:tcPr>
          <w:p w14:paraId="0E115BCB" w14:textId="77777777" w:rsidR="00C87DCA" w:rsidRPr="00C63860" w:rsidRDefault="00C87DCA" w:rsidP="00C87DCA">
            <w:pPr>
              <w:jc w:val="center"/>
              <w:rPr>
                <w:bCs/>
              </w:rPr>
            </w:pPr>
          </w:p>
          <w:p w14:paraId="4AFB3D0F" w14:textId="77777777" w:rsidR="00C87DCA" w:rsidRPr="00C63860" w:rsidRDefault="00C87DCA" w:rsidP="00C87DCA">
            <w:pPr>
              <w:jc w:val="center"/>
              <w:rPr>
                <w:bCs/>
              </w:rPr>
            </w:pPr>
            <w:r w:rsidRPr="00C63860">
              <w:rPr>
                <w:bCs/>
              </w:rPr>
              <w:t>2,070 (1.6)</w:t>
            </w:r>
          </w:p>
          <w:p w14:paraId="236238C6" w14:textId="77777777" w:rsidR="00C87DCA" w:rsidRPr="00C63860" w:rsidRDefault="00C87DCA" w:rsidP="00C87DCA">
            <w:pPr>
              <w:jc w:val="center"/>
              <w:rPr>
                <w:bCs/>
              </w:rPr>
            </w:pPr>
            <w:r w:rsidRPr="00C63860">
              <w:rPr>
                <w:bCs/>
              </w:rPr>
              <w:t>2,181 (1.6)</w:t>
            </w:r>
          </w:p>
          <w:p w14:paraId="0A28D2FC" w14:textId="77777777" w:rsidR="00C87DCA" w:rsidRPr="00C63860" w:rsidRDefault="00C87DCA" w:rsidP="00C87DCA">
            <w:pPr>
              <w:jc w:val="center"/>
              <w:rPr>
                <w:bCs/>
              </w:rPr>
            </w:pPr>
            <w:r w:rsidRPr="00C63860">
              <w:rPr>
                <w:bCs/>
              </w:rPr>
              <w:t>2,643 (2.0)</w:t>
            </w:r>
          </w:p>
          <w:p w14:paraId="5B32B2DC" w14:textId="77777777" w:rsidR="00C87DCA" w:rsidRPr="00C63860" w:rsidRDefault="00C87DCA" w:rsidP="00C87DCA">
            <w:pPr>
              <w:jc w:val="center"/>
              <w:rPr>
                <w:bCs/>
              </w:rPr>
            </w:pPr>
            <w:r w:rsidRPr="00C63860">
              <w:rPr>
                <w:bCs/>
              </w:rPr>
              <w:t>3,341 (2.5)</w:t>
            </w:r>
          </w:p>
          <w:p w14:paraId="43048D4B" w14:textId="77777777" w:rsidR="00C87DCA" w:rsidRPr="00C63860" w:rsidRDefault="00C87DCA" w:rsidP="00C87DCA">
            <w:pPr>
              <w:jc w:val="center"/>
              <w:rPr>
                <w:bCs/>
              </w:rPr>
            </w:pPr>
            <w:r w:rsidRPr="00C63860">
              <w:rPr>
                <w:bCs/>
              </w:rPr>
              <w:t>4,554 (3.4)</w:t>
            </w:r>
          </w:p>
          <w:p w14:paraId="20AD5B40" w14:textId="77777777" w:rsidR="00C87DCA" w:rsidRPr="00C63860" w:rsidRDefault="00C87DCA" w:rsidP="00C87DCA">
            <w:pPr>
              <w:jc w:val="center"/>
              <w:rPr>
                <w:bCs/>
              </w:rPr>
            </w:pPr>
            <w:r w:rsidRPr="00C63860">
              <w:rPr>
                <w:bCs/>
              </w:rPr>
              <w:t>6,529 (4.9)</w:t>
            </w:r>
          </w:p>
          <w:p w14:paraId="35927A65" w14:textId="77777777" w:rsidR="00C87DCA" w:rsidRPr="00C63860" w:rsidRDefault="00C87DCA" w:rsidP="00C87DCA">
            <w:pPr>
              <w:jc w:val="center"/>
              <w:rPr>
                <w:bCs/>
              </w:rPr>
            </w:pPr>
            <w:r w:rsidRPr="00C63860">
              <w:rPr>
                <w:bCs/>
              </w:rPr>
              <w:t>8,223 (6.2)</w:t>
            </w:r>
          </w:p>
          <w:p w14:paraId="4F6E4DDB" w14:textId="77777777" w:rsidR="00C87DCA" w:rsidRPr="00C63860" w:rsidRDefault="00C87DCA" w:rsidP="00C87DCA">
            <w:pPr>
              <w:jc w:val="center"/>
              <w:rPr>
                <w:bCs/>
              </w:rPr>
            </w:pPr>
            <w:r w:rsidRPr="00C63860">
              <w:rPr>
                <w:bCs/>
              </w:rPr>
              <w:t>9,271 (7.0)</w:t>
            </w:r>
          </w:p>
          <w:p w14:paraId="55ADAA3E" w14:textId="77777777" w:rsidR="00C87DCA" w:rsidRPr="00C63860" w:rsidRDefault="00C87DCA" w:rsidP="00C87DCA">
            <w:pPr>
              <w:jc w:val="center"/>
              <w:rPr>
                <w:bCs/>
              </w:rPr>
            </w:pPr>
            <w:r w:rsidRPr="00C63860">
              <w:rPr>
                <w:bCs/>
              </w:rPr>
              <w:t>11,076 (8.3)</w:t>
            </w:r>
          </w:p>
          <w:p w14:paraId="0268E4A5" w14:textId="77777777" w:rsidR="00C87DCA" w:rsidRPr="00C63860" w:rsidRDefault="00C87DCA" w:rsidP="00C87DCA">
            <w:pPr>
              <w:jc w:val="center"/>
              <w:rPr>
                <w:bCs/>
              </w:rPr>
            </w:pPr>
            <w:r w:rsidRPr="00C63860">
              <w:rPr>
                <w:bCs/>
              </w:rPr>
              <w:t>13,899 (10.4)</w:t>
            </w:r>
          </w:p>
          <w:p w14:paraId="0D18326F" w14:textId="77777777" w:rsidR="00C87DCA" w:rsidRPr="00C63860" w:rsidRDefault="00C87DCA" w:rsidP="00C87DCA">
            <w:pPr>
              <w:jc w:val="center"/>
              <w:rPr>
                <w:bCs/>
              </w:rPr>
            </w:pPr>
            <w:r w:rsidRPr="00C63860">
              <w:rPr>
                <w:bCs/>
              </w:rPr>
              <w:t>15,860 (11.9)</w:t>
            </w:r>
          </w:p>
          <w:p w14:paraId="74539168" w14:textId="77777777" w:rsidR="00C87DCA" w:rsidRPr="00C63860" w:rsidRDefault="00C87DCA" w:rsidP="00C87DCA">
            <w:pPr>
              <w:jc w:val="center"/>
              <w:rPr>
                <w:bCs/>
              </w:rPr>
            </w:pPr>
            <w:r w:rsidRPr="00C63860">
              <w:rPr>
                <w:bCs/>
              </w:rPr>
              <w:t>16,830 (12.7)</w:t>
            </w:r>
          </w:p>
          <w:p w14:paraId="44FE45BF" w14:textId="77777777" w:rsidR="00C87DCA" w:rsidRPr="00C63860" w:rsidRDefault="00C87DCA" w:rsidP="00C87DCA">
            <w:pPr>
              <w:jc w:val="center"/>
              <w:rPr>
                <w:bCs/>
              </w:rPr>
            </w:pPr>
            <w:r w:rsidRPr="00C63860">
              <w:rPr>
                <w:bCs/>
              </w:rPr>
              <w:t>16,390 (12.3)</w:t>
            </w:r>
          </w:p>
          <w:p w14:paraId="69C68E92" w14:textId="77777777" w:rsidR="00C87DCA" w:rsidRPr="00C63860" w:rsidRDefault="00C87DCA" w:rsidP="00C87DCA">
            <w:pPr>
              <w:jc w:val="center"/>
              <w:rPr>
                <w:bCs/>
              </w:rPr>
            </w:pPr>
            <w:r w:rsidRPr="00C63860">
              <w:rPr>
                <w:bCs/>
              </w:rPr>
              <w:t>12,566 (9.4)</w:t>
            </w:r>
          </w:p>
          <w:p w14:paraId="01585D3F" w14:textId="77777777" w:rsidR="00C87DCA" w:rsidRPr="00C63860" w:rsidRDefault="00C87DCA" w:rsidP="00C87DCA">
            <w:pPr>
              <w:jc w:val="center"/>
              <w:rPr>
                <w:bCs/>
              </w:rPr>
            </w:pPr>
            <w:r w:rsidRPr="00C63860">
              <w:rPr>
                <w:bCs/>
              </w:rPr>
              <w:t>7,640 (5.7)</w:t>
            </w:r>
          </w:p>
        </w:tc>
      </w:tr>
      <w:tr w:rsidR="00C87DCA" w:rsidRPr="00C63860" w14:paraId="0EA101B5" w14:textId="77777777" w:rsidTr="00C63860">
        <w:trPr>
          <w:cantSplit/>
        </w:trPr>
        <w:tc>
          <w:tcPr>
            <w:tcW w:w="0" w:type="auto"/>
            <w:shd w:val="clear" w:color="auto" w:fill="auto"/>
            <w:hideMark/>
          </w:tcPr>
          <w:p w14:paraId="3F56DD5C" w14:textId="77777777" w:rsidR="00C63860" w:rsidRPr="00C63860" w:rsidRDefault="00C87DCA" w:rsidP="00C87DCA">
            <w:pPr>
              <w:rPr>
                <w:bCs/>
              </w:rPr>
            </w:pPr>
            <w:r w:rsidRPr="00C63860">
              <w:rPr>
                <w:bCs/>
              </w:rPr>
              <w:t xml:space="preserve">Sex: </w:t>
            </w:r>
            <w:r w:rsidRPr="00C63860">
              <w:rPr>
                <w:bCs/>
                <w:i/>
                <w:color w:val="00B0F0"/>
              </w:rPr>
              <w:t>n</w:t>
            </w:r>
            <w:r w:rsidRPr="00C63860">
              <w:rPr>
                <w:bCs/>
              </w:rPr>
              <w:t xml:space="preserve"> (%)</w:t>
            </w:r>
          </w:p>
          <w:p w14:paraId="291023F8" w14:textId="77777777" w:rsidR="00C63860" w:rsidRPr="00C63860" w:rsidRDefault="00C87DCA" w:rsidP="00C87DCA">
            <w:pPr>
              <w:rPr>
                <w:bCs/>
              </w:rPr>
            </w:pPr>
            <w:r w:rsidRPr="00C63860">
              <w:rPr>
                <w:bCs/>
              </w:rPr>
              <w:t>Female</w:t>
            </w:r>
          </w:p>
          <w:p w14:paraId="2981D758" w14:textId="77777777" w:rsidR="00C63860" w:rsidRPr="00C63860" w:rsidRDefault="00C87DCA" w:rsidP="00C87DCA">
            <w:pPr>
              <w:rPr>
                <w:bCs/>
              </w:rPr>
            </w:pPr>
            <w:r w:rsidRPr="00C63860">
              <w:rPr>
                <w:bCs/>
              </w:rPr>
              <w:t>Male</w:t>
            </w:r>
          </w:p>
          <w:p w14:paraId="23707A24" w14:textId="6B40A188" w:rsidR="00C87DCA" w:rsidRPr="00C63860" w:rsidRDefault="00C87DCA" w:rsidP="00C87DCA">
            <w:pPr>
              <w:rPr>
                <w:bCs/>
              </w:rPr>
            </w:pPr>
            <w:r w:rsidRPr="00C63860">
              <w:rPr>
                <w:bCs/>
              </w:rPr>
              <w:t>Missing</w:t>
            </w:r>
          </w:p>
        </w:tc>
        <w:tc>
          <w:tcPr>
            <w:tcW w:w="0" w:type="auto"/>
            <w:shd w:val="clear" w:color="auto" w:fill="auto"/>
          </w:tcPr>
          <w:p w14:paraId="2D0A86BA" w14:textId="77777777" w:rsidR="00C87DCA" w:rsidRPr="00C63860" w:rsidRDefault="00C87DCA" w:rsidP="00C87DCA">
            <w:pPr>
              <w:jc w:val="center"/>
              <w:rPr>
                <w:bCs/>
              </w:rPr>
            </w:pPr>
          </w:p>
          <w:p w14:paraId="07DF6AA3" w14:textId="77777777" w:rsidR="00C87DCA" w:rsidRPr="00C63860" w:rsidRDefault="00C87DCA" w:rsidP="00C87DCA">
            <w:pPr>
              <w:jc w:val="center"/>
              <w:rPr>
                <w:bCs/>
              </w:rPr>
            </w:pPr>
            <w:r w:rsidRPr="00C63860">
              <w:rPr>
                <w:bCs/>
              </w:rPr>
              <w:t>123,452 (46.0)</w:t>
            </w:r>
          </w:p>
          <w:p w14:paraId="210A9342" w14:textId="77777777" w:rsidR="00C87DCA" w:rsidRPr="00C63860" w:rsidRDefault="00C87DCA" w:rsidP="00C87DCA">
            <w:pPr>
              <w:jc w:val="center"/>
              <w:rPr>
                <w:bCs/>
              </w:rPr>
            </w:pPr>
            <w:r w:rsidRPr="00C63860">
              <w:rPr>
                <w:bCs/>
              </w:rPr>
              <w:t>144,679 (54.0)</w:t>
            </w:r>
          </w:p>
          <w:p w14:paraId="2DC00C9D" w14:textId="77777777" w:rsidR="00C87DCA" w:rsidRPr="00C63860" w:rsidRDefault="00C87DCA" w:rsidP="00C87DCA">
            <w:pPr>
              <w:jc w:val="center"/>
              <w:rPr>
                <w:bCs/>
              </w:rPr>
            </w:pPr>
            <w:r w:rsidRPr="00C63860">
              <w:rPr>
                <w:bCs/>
              </w:rPr>
              <w:t>13</w:t>
            </w:r>
          </w:p>
        </w:tc>
        <w:tc>
          <w:tcPr>
            <w:tcW w:w="0" w:type="auto"/>
            <w:shd w:val="clear" w:color="auto" w:fill="auto"/>
          </w:tcPr>
          <w:p w14:paraId="3BB0C15F" w14:textId="77777777" w:rsidR="00C87DCA" w:rsidRPr="00C63860" w:rsidRDefault="00C87DCA" w:rsidP="00C87DCA">
            <w:pPr>
              <w:jc w:val="center"/>
              <w:rPr>
                <w:bCs/>
              </w:rPr>
            </w:pPr>
          </w:p>
          <w:p w14:paraId="06F7274B" w14:textId="77777777" w:rsidR="00C87DCA" w:rsidRPr="00C63860" w:rsidRDefault="00C87DCA" w:rsidP="00C87DCA">
            <w:pPr>
              <w:jc w:val="center"/>
              <w:rPr>
                <w:bCs/>
              </w:rPr>
            </w:pPr>
            <w:r w:rsidRPr="00C63860">
              <w:rPr>
                <w:bCs/>
              </w:rPr>
              <w:t>162,791 (67.6)</w:t>
            </w:r>
          </w:p>
          <w:p w14:paraId="52AB0A30" w14:textId="77777777" w:rsidR="00C87DCA" w:rsidRPr="00C63860" w:rsidRDefault="00C87DCA" w:rsidP="00C87DCA">
            <w:pPr>
              <w:jc w:val="center"/>
              <w:rPr>
                <w:bCs/>
              </w:rPr>
            </w:pPr>
            <w:r w:rsidRPr="00C63860">
              <w:rPr>
                <w:bCs/>
              </w:rPr>
              <w:t>78,177 (32.4)</w:t>
            </w:r>
          </w:p>
          <w:p w14:paraId="06B2B825" w14:textId="77777777" w:rsidR="00C87DCA" w:rsidRPr="00C63860" w:rsidRDefault="00C87DCA" w:rsidP="00C87DCA">
            <w:pPr>
              <w:jc w:val="center"/>
              <w:rPr>
                <w:bCs/>
              </w:rPr>
            </w:pPr>
            <w:r w:rsidRPr="00C63860">
              <w:rPr>
                <w:bCs/>
              </w:rPr>
              <w:t>9</w:t>
            </w:r>
          </w:p>
        </w:tc>
        <w:tc>
          <w:tcPr>
            <w:tcW w:w="0" w:type="auto"/>
            <w:shd w:val="clear" w:color="auto" w:fill="auto"/>
          </w:tcPr>
          <w:p w14:paraId="114F1BB7" w14:textId="77777777" w:rsidR="00C87DCA" w:rsidRPr="00C63860" w:rsidRDefault="00C87DCA" w:rsidP="00C87DCA">
            <w:pPr>
              <w:jc w:val="center"/>
              <w:rPr>
                <w:bCs/>
              </w:rPr>
            </w:pPr>
          </w:p>
          <w:p w14:paraId="22E6FEC5" w14:textId="77777777" w:rsidR="00C87DCA" w:rsidRPr="00C63860" w:rsidRDefault="00C87DCA" w:rsidP="00C87DCA">
            <w:pPr>
              <w:jc w:val="center"/>
              <w:rPr>
                <w:bCs/>
              </w:rPr>
            </w:pPr>
            <w:r w:rsidRPr="00C63860">
              <w:rPr>
                <w:bCs/>
              </w:rPr>
              <w:t>81,870 (59.0)</w:t>
            </w:r>
          </w:p>
          <w:p w14:paraId="12C88364" w14:textId="77777777" w:rsidR="00C87DCA" w:rsidRPr="00C63860" w:rsidRDefault="00C87DCA" w:rsidP="00C87DCA">
            <w:pPr>
              <w:jc w:val="center"/>
              <w:rPr>
                <w:bCs/>
              </w:rPr>
            </w:pPr>
            <w:r w:rsidRPr="00C63860">
              <w:rPr>
                <w:bCs/>
              </w:rPr>
              <w:t>56,996 (41.0)</w:t>
            </w:r>
          </w:p>
          <w:p w14:paraId="3165532B" w14:textId="77777777" w:rsidR="00C87DCA" w:rsidRPr="00C63860" w:rsidRDefault="00C87DCA" w:rsidP="00C87DCA">
            <w:pPr>
              <w:jc w:val="center"/>
              <w:rPr>
                <w:bCs/>
              </w:rPr>
            </w:pPr>
            <w:r w:rsidRPr="00C63860">
              <w:rPr>
                <w:bCs/>
              </w:rPr>
              <w:t>3</w:t>
            </w:r>
          </w:p>
        </w:tc>
        <w:tc>
          <w:tcPr>
            <w:tcW w:w="0" w:type="auto"/>
            <w:shd w:val="clear" w:color="auto" w:fill="auto"/>
          </w:tcPr>
          <w:p w14:paraId="1734692C" w14:textId="77777777" w:rsidR="00C87DCA" w:rsidRPr="00C63860" w:rsidRDefault="00C87DCA" w:rsidP="00C87DCA">
            <w:pPr>
              <w:jc w:val="center"/>
              <w:rPr>
                <w:bCs/>
              </w:rPr>
            </w:pPr>
          </w:p>
          <w:p w14:paraId="50B37A93" w14:textId="77777777" w:rsidR="00C87DCA" w:rsidRPr="00C63860" w:rsidRDefault="00C87DCA" w:rsidP="00C87DCA">
            <w:pPr>
              <w:jc w:val="center"/>
              <w:rPr>
                <w:bCs/>
              </w:rPr>
            </w:pPr>
            <w:r w:rsidRPr="00C63860">
              <w:rPr>
                <w:bCs/>
              </w:rPr>
              <w:t>37,565 (35.3)</w:t>
            </w:r>
          </w:p>
          <w:p w14:paraId="10723F15" w14:textId="77777777" w:rsidR="00C87DCA" w:rsidRPr="00C63860" w:rsidRDefault="00C87DCA" w:rsidP="00C87DCA">
            <w:pPr>
              <w:jc w:val="center"/>
              <w:rPr>
                <w:bCs/>
              </w:rPr>
            </w:pPr>
            <w:r w:rsidRPr="00C63860">
              <w:rPr>
                <w:bCs/>
              </w:rPr>
              <w:t>68,863 (64.7)</w:t>
            </w:r>
          </w:p>
          <w:p w14:paraId="09EACEC4" w14:textId="77777777" w:rsidR="00C87DCA" w:rsidRPr="00C63860" w:rsidRDefault="00C87DCA" w:rsidP="00C87DCA">
            <w:pPr>
              <w:jc w:val="center"/>
              <w:rPr>
                <w:bCs/>
              </w:rPr>
            </w:pPr>
            <w:r w:rsidRPr="00C63860">
              <w:rPr>
                <w:bCs/>
              </w:rPr>
              <w:t>4</w:t>
            </w:r>
          </w:p>
        </w:tc>
        <w:tc>
          <w:tcPr>
            <w:tcW w:w="0" w:type="auto"/>
            <w:shd w:val="clear" w:color="auto" w:fill="auto"/>
          </w:tcPr>
          <w:p w14:paraId="100AE948" w14:textId="77777777" w:rsidR="00C87DCA" w:rsidRPr="00C63860" w:rsidRDefault="00C87DCA" w:rsidP="00C87DCA">
            <w:pPr>
              <w:jc w:val="center"/>
              <w:rPr>
                <w:bCs/>
              </w:rPr>
            </w:pPr>
          </w:p>
          <w:p w14:paraId="0DA42BDA" w14:textId="77777777" w:rsidR="00C87DCA" w:rsidRPr="00C63860" w:rsidRDefault="00C87DCA" w:rsidP="00C87DCA">
            <w:pPr>
              <w:jc w:val="center"/>
              <w:rPr>
                <w:bCs/>
              </w:rPr>
            </w:pPr>
            <w:r w:rsidRPr="00C63860">
              <w:rPr>
                <w:bCs/>
              </w:rPr>
              <w:t>69,977 (52.6)</w:t>
            </w:r>
          </w:p>
          <w:p w14:paraId="6E33029D" w14:textId="77777777" w:rsidR="00C87DCA" w:rsidRPr="00C63860" w:rsidRDefault="00C87DCA" w:rsidP="00C87DCA">
            <w:pPr>
              <w:jc w:val="center"/>
              <w:rPr>
                <w:bCs/>
              </w:rPr>
            </w:pPr>
            <w:r w:rsidRPr="00C63860">
              <w:rPr>
                <w:bCs/>
              </w:rPr>
              <w:t>63,093 (47.4)</w:t>
            </w:r>
          </w:p>
          <w:p w14:paraId="35F8389F" w14:textId="77777777" w:rsidR="00C87DCA" w:rsidRPr="00C63860" w:rsidRDefault="00C87DCA" w:rsidP="00C87DCA">
            <w:pPr>
              <w:jc w:val="center"/>
              <w:rPr>
                <w:bCs/>
              </w:rPr>
            </w:pPr>
            <w:r w:rsidRPr="00C63860">
              <w:rPr>
                <w:bCs/>
              </w:rPr>
              <w:t>3</w:t>
            </w:r>
          </w:p>
        </w:tc>
      </w:tr>
      <w:tr w:rsidR="00C87DCA" w:rsidRPr="00C63860" w14:paraId="6EAE632A" w14:textId="77777777" w:rsidTr="00C63860">
        <w:trPr>
          <w:cantSplit/>
        </w:trPr>
        <w:tc>
          <w:tcPr>
            <w:tcW w:w="0" w:type="auto"/>
            <w:shd w:val="clear" w:color="auto" w:fill="auto"/>
            <w:hideMark/>
          </w:tcPr>
          <w:p w14:paraId="27E121B5" w14:textId="77777777" w:rsidR="00C63860" w:rsidRPr="00C63860" w:rsidRDefault="00C87DCA" w:rsidP="00C87DCA">
            <w:pPr>
              <w:rPr>
                <w:bCs/>
              </w:rPr>
            </w:pPr>
            <w:r w:rsidRPr="00C63860">
              <w:rPr>
                <w:bCs/>
              </w:rPr>
              <w:t xml:space="preserve">Ethnicity: </w:t>
            </w:r>
            <w:r w:rsidRPr="00C63860">
              <w:rPr>
                <w:bCs/>
                <w:i/>
                <w:color w:val="00B0F0"/>
              </w:rPr>
              <w:t>n</w:t>
            </w:r>
            <w:r w:rsidRPr="00C63860">
              <w:rPr>
                <w:bCs/>
              </w:rPr>
              <w:t xml:space="preserve"> (%)</w:t>
            </w:r>
          </w:p>
          <w:p w14:paraId="0918956A" w14:textId="77777777" w:rsidR="00C63860" w:rsidRPr="00C63860" w:rsidRDefault="00C87DCA" w:rsidP="00C87DCA">
            <w:pPr>
              <w:rPr>
                <w:bCs/>
              </w:rPr>
            </w:pPr>
            <w:r w:rsidRPr="00C63860">
              <w:rPr>
                <w:bCs/>
                <w:highlight w:val="magenta"/>
              </w:rPr>
              <w:t>Black</w:t>
            </w:r>
            <w:r w:rsidRPr="00C63860">
              <w:rPr>
                <w:bCs/>
              </w:rPr>
              <w:t>/</w:t>
            </w:r>
            <w:r w:rsidRPr="00C63860">
              <w:rPr>
                <w:bCs/>
                <w:highlight w:val="magenta"/>
              </w:rPr>
              <w:t>Black</w:t>
            </w:r>
            <w:r w:rsidRPr="00C63860">
              <w:rPr>
                <w:bCs/>
              </w:rPr>
              <w:t xml:space="preserve"> mixed</w:t>
            </w:r>
          </w:p>
          <w:p w14:paraId="29F4F3B6" w14:textId="77777777" w:rsidR="00C63860" w:rsidRPr="00C63860" w:rsidRDefault="00C87DCA" w:rsidP="00C87DCA">
            <w:pPr>
              <w:rPr>
                <w:bCs/>
              </w:rPr>
            </w:pPr>
            <w:r w:rsidRPr="00C63860">
              <w:rPr>
                <w:bCs/>
              </w:rPr>
              <w:t>Asian/Asian mixed</w:t>
            </w:r>
          </w:p>
          <w:p w14:paraId="0128BCFD" w14:textId="77777777" w:rsidR="00C63860" w:rsidRPr="00C63860" w:rsidRDefault="00C87DCA" w:rsidP="00C87DCA">
            <w:pPr>
              <w:rPr>
                <w:bCs/>
              </w:rPr>
            </w:pPr>
            <w:r w:rsidRPr="00C63860">
              <w:rPr>
                <w:bCs/>
              </w:rPr>
              <w:t>White</w:t>
            </w:r>
          </w:p>
          <w:p w14:paraId="3FAF9B69" w14:textId="77777777" w:rsidR="00C63860" w:rsidRPr="00C63860" w:rsidRDefault="00C87DCA" w:rsidP="00C87DCA">
            <w:pPr>
              <w:rPr>
                <w:bCs/>
              </w:rPr>
            </w:pPr>
            <w:r w:rsidRPr="00C63860">
              <w:rPr>
                <w:bCs/>
              </w:rPr>
              <w:t>Chinese and other</w:t>
            </w:r>
          </w:p>
          <w:p w14:paraId="0EE4AC68" w14:textId="12E6EA1A" w:rsidR="00C87DCA" w:rsidRPr="00C63860" w:rsidRDefault="00C87DCA" w:rsidP="00C87DCA">
            <w:pPr>
              <w:rPr>
                <w:bCs/>
              </w:rPr>
            </w:pPr>
            <w:r w:rsidRPr="00C63860">
              <w:rPr>
                <w:bCs/>
              </w:rPr>
              <w:t>Missing</w:t>
            </w:r>
          </w:p>
        </w:tc>
        <w:tc>
          <w:tcPr>
            <w:tcW w:w="0" w:type="auto"/>
            <w:shd w:val="clear" w:color="auto" w:fill="auto"/>
          </w:tcPr>
          <w:p w14:paraId="75B6C8C7" w14:textId="77777777" w:rsidR="00C87DCA" w:rsidRPr="00C63860" w:rsidRDefault="00C87DCA" w:rsidP="00C87DCA">
            <w:pPr>
              <w:jc w:val="center"/>
              <w:rPr>
                <w:bCs/>
              </w:rPr>
            </w:pPr>
          </w:p>
          <w:p w14:paraId="00416093" w14:textId="77777777" w:rsidR="00C87DCA" w:rsidRPr="00C63860" w:rsidRDefault="00C87DCA" w:rsidP="00C87DCA">
            <w:pPr>
              <w:jc w:val="center"/>
              <w:rPr>
                <w:bCs/>
              </w:rPr>
            </w:pPr>
            <w:r w:rsidRPr="00C63860">
              <w:rPr>
                <w:bCs/>
              </w:rPr>
              <w:t>6,398 (2.7)</w:t>
            </w:r>
          </w:p>
          <w:p w14:paraId="672298A1" w14:textId="77777777" w:rsidR="00C87DCA" w:rsidRPr="00C63860" w:rsidRDefault="00C87DCA" w:rsidP="00C87DCA">
            <w:pPr>
              <w:jc w:val="center"/>
              <w:rPr>
                <w:bCs/>
              </w:rPr>
            </w:pPr>
            <w:r w:rsidRPr="00C63860">
              <w:rPr>
                <w:bCs/>
              </w:rPr>
              <w:t>12,714 (5.3)</w:t>
            </w:r>
          </w:p>
          <w:p w14:paraId="35463F4B" w14:textId="77777777" w:rsidR="00C87DCA" w:rsidRPr="00C63860" w:rsidRDefault="00C87DCA" w:rsidP="00C87DCA">
            <w:pPr>
              <w:jc w:val="center"/>
              <w:rPr>
                <w:bCs/>
              </w:rPr>
            </w:pPr>
            <w:r w:rsidRPr="00C63860">
              <w:rPr>
                <w:bCs/>
              </w:rPr>
              <w:t>211,339 (88.0)</w:t>
            </w:r>
          </w:p>
          <w:p w14:paraId="62F6EA33" w14:textId="77777777" w:rsidR="00C87DCA" w:rsidRPr="00C63860" w:rsidRDefault="00C87DCA" w:rsidP="00C87DCA">
            <w:pPr>
              <w:jc w:val="center"/>
              <w:rPr>
                <w:bCs/>
              </w:rPr>
            </w:pPr>
            <w:r w:rsidRPr="00C63860">
              <w:rPr>
                <w:bCs/>
              </w:rPr>
              <w:t>9,762 (4.1)</w:t>
            </w:r>
          </w:p>
          <w:p w14:paraId="35838B15" w14:textId="77777777" w:rsidR="00C87DCA" w:rsidRPr="00C63860" w:rsidRDefault="00C87DCA" w:rsidP="00C87DCA">
            <w:pPr>
              <w:jc w:val="center"/>
              <w:rPr>
                <w:bCs/>
              </w:rPr>
            </w:pPr>
            <w:r w:rsidRPr="00C63860">
              <w:rPr>
                <w:bCs/>
              </w:rPr>
              <w:t>27,931</w:t>
            </w:r>
          </w:p>
        </w:tc>
        <w:tc>
          <w:tcPr>
            <w:tcW w:w="0" w:type="auto"/>
            <w:shd w:val="clear" w:color="auto" w:fill="auto"/>
          </w:tcPr>
          <w:p w14:paraId="127B7554" w14:textId="77777777" w:rsidR="00C87DCA" w:rsidRPr="00C63860" w:rsidRDefault="00C87DCA" w:rsidP="00C87DCA">
            <w:pPr>
              <w:jc w:val="center"/>
              <w:rPr>
                <w:bCs/>
              </w:rPr>
            </w:pPr>
          </w:p>
          <w:p w14:paraId="2550E30C" w14:textId="77777777" w:rsidR="00C87DCA" w:rsidRPr="00C63860" w:rsidRDefault="00C87DCA" w:rsidP="00C87DCA">
            <w:pPr>
              <w:jc w:val="center"/>
              <w:rPr>
                <w:bCs/>
              </w:rPr>
            </w:pPr>
            <w:r w:rsidRPr="00C63860">
              <w:rPr>
                <w:bCs/>
              </w:rPr>
              <w:t>4,750 (2.1)</w:t>
            </w:r>
          </w:p>
          <w:p w14:paraId="2B22FA6F" w14:textId="77777777" w:rsidR="00C87DCA" w:rsidRPr="00C63860" w:rsidRDefault="00C87DCA" w:rsidP="00C87DCA">
            <w:pPr>
              <w:jc w:val="center"/>
              <w:rPr>
                <w:bCs/>
              </w:rPr>
            </w:pPr>
            <w:r w:rsidRPr="00C63860">
              <w:rPr>
                <w:bCs/>
              </w:rPr>
              <w:t>11,328 (5.0)</w:t>
            </w:r>
          </w:p>
          <w:p w14:paraId="77EE3B34" w14:textId="77777777" w:rsidR="00C87DCA" w:rsidRPr="00C63860" w:rsidRDefault="00C87DCA" w:rsidP="00C87DCA">
            <w:pPr>
              <w:jc w:val="center"/>
              <w:rPr>
                <w:bCs/>
              </w:rPr>
            </w:pPr>
            <w:r w:rsidRPr="00C63860">
              <w:rPr>
                <w:bCs/>
              </w:rPr>
              <w:t>207,123 (90.7)</w:t>
            </w:r>
          </w:p>
          <w:p w14:paraId="096233A7" w14:textId="77777777" w:rsidR="00C87DCA" w:rsidRPr="00C63860" w:rsidRDefault="00C87DCA" w:rsidP="00C87DCA">
            <w:pPr>
              <w:jc w:val="center"/>
              <w:rPr>
                <w:bCs/>
              </w:rPr>
            </w:pPr>
            <w:r w:rsidRPr="00C63860">
              <w:rPr>
                <w:bCs/>
              </w:rPr>
              <w:t>5,089 (2.2)</w:t>
            </w:r>
          </w:p>
          <w:p w14:paraId="17644797" w14:textId="77777777" w:rsidR="00C87DCA" w:rsidRPr="00C63860" w:rsidRDefault="00C87DCA" w:rsidP="00C87DCA">
            <w:pPr>
              <w:jc w:val="center"/>
              <w:rPr>
                <w:bCs/>
              </w:rPr>
            </w:pPr>
            <w:r w:rsidRPr="00C63860">
              <w:rPr>
                <w:bCs/>
              </w:rPr>
              <w:t>12,687</w:t>
            </w:r>
          </w:p>
        </w:tc>
        <w:tc>
          <w:tcPr>
            <w:tcW w:w="0" w:type="auto"/>
            <w:shd w:val="clear" w:color="auto" w:fill="auto"/>
          </w:tcPr>
          <w:p w14:paraId="7D1B2EFD" w14:textId="77777777" w:rsidR="00C87DCA" w:rsidRPr="00C63860" w:rsidRDefault="00C87DCA" w:rsidP="00C87DCA">
            <w:pPr>
              <w:jc w:val="center"/>
              <w:rPr>
                <w:bCs/>
              </w:rPr>
            </w:pPr>
          </w:p>
          <w:p w14:paraId="16E69686" w14:textId="77777777" w:rsidR="00C87DCA" w:rsidRPr="00C63860" w:rsidRDefault="00C87DCA" w:rsidP="00C87DCA">
            <w:pPr>
              <w:jc w:val="center"/>
              <w:rPr>
                <w:bCs/>
              </w:rPr>
            </w:pPr>
            <w:r w:rsidRPr="00C63860">
              <w:rPr>
                <w:bCs/>
              </w:rPr>
              <w:t>2,129 (1.6)</w:t>
            </w:r>
          </w:p>
          <w:p w14:paraId="27295AD6" w14:textId="77777777" w:rsidR="00C87DCA" w:rsidRPr="00C63860" w:rsidRDefault="00C87DCA" w:rsidP="00C87DCA">
            <w:pPr>
              <w:jc w:val="center"/>
              <w:rPr>
                <w:bCs/>
              </w:rPr>
            </w:pPr>
            <w:r w:rsidRPr="00C63860">
              <w:rPr>
                <w:bCs/>
              </w:rPr>
              <w:t>2,417 (1.8)</w:t>
            </w:r>
          </w:p>
          <w:p w14:paraId="788E9A82" w14:textId="77777777" w:rsidR="00C87DCA" w:rsidRPr="00C63860" w:rsidRDefault="00C87DCA" w:rsidP="00C87DCA">
            <w:pPr>
              <w:jc w:val="center"/>
              <w:rPr>
                <w:bCs/>
              </w:rPr>
            </w:pPr>
            <w:r w:rsidRPr="00C63860">
              <w:rPr>
                <w:bCs/>
              </w:rPr>
              <w:t>126,040 (95.2)</w:t>
            </w:r>
          </w:p>
          <w:p w14:paraId="11CA541B" w14:textId="77777777" w:rsidR="00C87DCA" w:rsidRPr="00C63860" w:rsidRDefault="00C87DCA" w:rsidP="00C87DCA">
            <w:pPr>
              <w:jc w:val="center"/>
              <w:rPr>
                <w:bCs/>
              </w:rPr>
            </w:pPr>
            <w:r w:rsidRPr="00C63860">
              <w:rPr>
                <w:bCs/>
              </w:rPr>
              <w:t>1,875 (1.4)</w:t>
            </w:r>
          </w:p>
          <w:p w14:paraId="1A09526C" w14:textId="77777777" w:rsidR="00C87DCA" w:rsidRPr="00C63860" w:rsidRDefault="00C87DCA" w:rsidP="00C87DCA">
            <w:pPr>
              <w:jc w:val="center"/>
              <w:rPr>
                <w:bCs/>
              </w:rPr>
            </w:pPr>
            <w:r w:rsidRPr="00C63860">
              <w:rPr>
                <w:bCs/>
              </w:rPr>
              <w:t>6,408</w:t>
            </w:r>
          </w:p>
        </w:tc>
        <w:tc>
          <w:tcPr>
            <w:tcW w:w="0" w:type="auto"/>
            <w:shd w:val="clear" w:color="auto" w:fill="auto"/>
          </w:tcPr>
          <w:p w14:paraId="72ABBF11" w14:textId="77777777" w:rsidR="00C87DCA" w:rsidRPr="00C63860" w:rsidRDefault="00C87DCA" w:rsidP="00C87DCA">
            <w:pPr>
              <w:jc w:val="center"/>
              <w:rPr>
                <w:bCs/>
              </w:rPr>
            </w:pPr>
          </w:p>
          <w:p w14:paraId="41CDD41B" w14:textId="77777777" w:rsidR="00C87DCA" w:rsidRPr="00C63860" w:rsidRDefault="00C87DCA" w:rsidP="00C87DCA">
            <w:pPr>
              <w:jc w:val="center"/>
              <w:rPr>
                <w:bCs/>
              </w:rPr>
            </w:pPr>
            <w:r w:rsidRPr="00C63860">
              <w:rPr>
                <w:bCs/>
              </w:rPr>
              <w:t>2,602 (2.6)</w:t>
            </w:r>
          </w:p>
          <w:p w14:paraId="104EDD10" w14:textId="77777777" w:rsidR="00C87DCA" w:rsidRPr="00C63860" w:rsidRDefault="00C87DCA" w:rsidP="00C87DCA">
            <w:pPr>
              <w:jc w:val="center"/>
              <w:rPr>
                <w:bCs/>
              </w:rPr>
            </w:pPr>
            <w:r w:rsidRPr="00C63860">
              <w:rPr>
                <w:bCs/>
              </w:rPr>
              <w:t>3,590 (3.6)</w:t>
            </w:r>
          </w:p>
          <w:p w14:paraId="3C836CB4" w14:textId="77777777" w:rsidR="00C87DCA" w:rsidRPr="00C63860" w:rsidRDefault="00C87DCA" w:rsidP="00C87DCA">
            <w:pPr>
              <w:jc w:val="center"/>
              <w:rPr>
                <w:bCs/>
              </w:rPr>
            </w:pPr>
            <w:r w:rsidRPr="00C63860">
              <w:rPr>
                <w:bCs/>
              </w:rPr>
              <w:t>90,909 (91.8)</w:t>
            </w:r>
          </w:p>
          <w:p w14:paraId="18EE1095" w14:textId="77777777" w:rsidR="00C87DCA" w:rsidRPr="00C63860" w:rsidRDefault="00C87DCA" w:rsidP="00C87DCA">
            <w:pPr>
              <w:jc w:val="center"/>
              <w:rPr>
                <w:bCs/>
              </w:rPr>
            </w:pPr>
            <w:r w:rsidRPr="00C63860">
              <w:rPr>
                <w:bCs/>
              </w:rPr>
              <w:t>1,961 (2.0)</w:t>
            </w:r>
          </w:p>
          <w:p w14:paraId="7FFED9C6" w14:textId="77777777" w:rsidR="00C87DCA" w:rsidRPr="00C63860" w:rsidRDefault="00C87DCA" w:rsidP="00C87DCA">
            <w:pPr>
              <w:jc w:val="center"/>
              <w:rPr>
                <w:bCs/>
              </w:rPr>
            </w:pPr>
            <w:r w:rsidRPr="00C63860">
              <w:rPr>
                <w:bCs/>
              </w:rPr>
              <w:t>7,370</w:t>
            </w:r>
          </w:p>
        </w:tc>
        <w:tc>
          <w:tcPr>
            <w:tcW w:w="0" w:type="auto"/>
            <w:shd w:val="clear" w:color="auto" w:fill="auto"/>
          </w:tcPr>
          <w:p w14:paraId="6EF5833A" w14:textId="77777777" w:rsidR="00C87DCA" w:rsidRPr="00C63860" w:rsidRDefault="00C87DCA" w:rsidP="00C87DCA">
            <w:pPr>
              <w:jc w:val="center"/>
              <w:rPr>
                <w:bCs/>
              </w:rPr>
            </w:pPr>
          </w:p>
          <w:p w14:paraId="5BB8437A" w14:textId="77777777" w:rsidR="00C87DCA" w:rsidRPr="00C63860" w:rsidRDefault="00C87DCA" w:rsidP="00C87DCA">
            <w:pPr>
              <w:jc w:val="center"/>
              <w:rPr>
                <w:bCs/>
              </w:rPr>
            </w:pPr>
            <w:r w:rsidRPr="00C63860">
              <w:rPr>
                <w:bCs/>
              </w:rPr>
              <w:t>3,308 (2.5)</w:t>
            </w:r>
          </w:p>
          <w:p w14:paraId="47017F74" w14:textId="77777777" w:rsidR="00C87DCA" w:rsidRPr="00C63860" w:rsidRDefault="00C87DCA" w:rsidP="00C87DCA">
            <w:pPr>
              <w:jc w:val="center"/>
              <w:rPr>
                <w:bCs/>
              </w:rPr>
            </w:pPr>
            <w:r w:rsidRPr="00C63860">
              <w:rPr>
                <w:bCs/>
              </w:rPr>
              <w:t>4,305 (3.4)</w:t>
            </w:r>
          </w:p>
          <w:p w14:paraId="1F8360B5" w14:textId="77777777" w:rsidR="00C87DCA" w:rsidRPr="00C63860" w:rsidRDefault="00C87DCA" w:rsidP="00C87DCA">
            <w:pPr>
              <w:jc w:val="center"/>
              <w:rPr>
                <w:bCs/>
              </w:rPr>
            </w:pPr>
            <w:r w:rsidRPr="00C63860">
              <w:rPr>
                <w:bCs/>
              </w:rPr>
              <w:t>117,951 (92.3)</w:t>
            </w:r>
          </w:p>
          <w:p w14:paraId="0E21B1E2" w14:textId="77777777" w:rsidR="00C87DCA" w:rsidRPr="00C63860" w:rsidRDefault="00C87DCA" w:rsidP="00C87DCA">
            <w:pPr>
              <w:jc w:val="center"/>
              <w:rPr>
                <w:bCs/>
              </w:rPr>
            </w:pPr>
            <w:r w:rsidRPr="00C63860">
              <w:rPr>
                <w:bCs/>
              </w:rPr>
              <w:t>2,284 (1.8)</w:t>
            </w:r>
          </w:p>
          <w:p w14:paraId="3DB1F26F" w14:textId="77777777" w:rsidR="00C87DCA" w:rsidRPr="00C63860" w:rsidRDefault="00C87DCA" w:rsidP="00C87DCA">
            <w:pPr>
              <w:jc w:val="center"/>
              <w:rPr>
                <w:bCs/>
              </w:rPr>
            </w:pPr>
            <w:r w:rsidRPr="00C63860">
              <w:rPr>
                <w:bCs/>
              </w:rPr>
              <w:t>5,225</w:t>
            </w:r>
          </w:p>
        </w:tc>
      </w:tr>
      <w:tr w:rsidR="00C87DCA" w:rsidRPr="00C63860" w14:paraId="69D5D1DB" w14:textId="77777777" w:rsidTr="00C63860">
        <w:trPr>
          <w:cantSplit/>
        </w:trPr>
        <w:tc>
          <w:tcPr>
            <w:tcW w:w="0" w:type="auto"/>
            <w:shd w:val="clear" w:color="auto" w:fill="auto"/>
            <w:hideMark/>
          </w:tcPr>
          <w:p w14:paraId="7CAC589B" w14:textId="77777777" w:rsidR="00C63860" w:rsidRPr="00C63860" w:rsidRDefault="00C87DCA" w:rsidP="00C87DCA">
            <w:pPr>
              <w:rPr>
                <w:bCs/>
              </w:rPr>
            </w:pPr>
            <w:r w:rsidRPr="00C63860">
              <w:rPr>
                <w:bCs/>
              </w:rPr>
              <w:t xml:space="preserve">Deprivation quintile: </w:t>
            </w:r>
            <w:r w:rsidRPr="00C63860">
              <w:rPr>
                <w:bCs/>
                <w:i/>
                <w:color w:val="00B0F0"/>
              </w:rPr>
              <w:t>n</w:t>
            </w:r>
            <w:r w:rsidRPr="00C63860">
              <w:rPr>
                <w:bCs/>
              </w:rPr>
              <w:t xml:space="preserve"> (%)</w:t>
            </w:r>
          </w:p>
          <w:p w14:paraId="1EDE4C8C" w14:textId="77777777" w:rsidR="00C63860" w:rsidRPr="00C63860" w:rsidRDefault="00C87DCA" w:rsidP="00C87DCA">
            <w:pPr>
              <w:rPr>
                <w:bCs/>
              </w:rPr>
            </w:pPr>
            <w:r w:rsidRPr="00C63860">
              <w:rPr>
                <w:bCs/>
              </w:rPr>
              <w:t>Most deprived</w:t>
            </w:r>
          </w:p>
          <w:p w14:paraId="045C9C17" w14:textId="77777777" w:rsidR="00C63860" w:rsidRPr="00C63860" w:rsidRDefault="00C87DCA" w:rsidP="00C87DCA">
            <w:pPr>
              <w:rPr>
                <w:bCs/>
              </w:rPr>
            </w:pPr>
            <w:r w:rsidRPr="00C63860">
              <w:rPr>
                <w:bCs/>
              </w:rPr>
              <w:t>2</w:t>
            </w:r>
          </w:p>
          <w:p w14:paraId="070E572C" w14:textId="77777777" w:rsidR="00C63860" w:rsidRPr="00C63860" w:rsidRDefault="00C87DCA" w:rsidP="00C87DCA">
            <w:pPr>
              <w:rPr>
                <w:bCs/>
              </w:rPr>
            </w:pPr>
            <w:r w:rsidRPr="00C63860">
              <w:rPr>
                <w:bCs/>
              </w:rPr>
              <w:t>3</w:t>
            </w:r>
          </w:p>
          <w:p w14:paraId="59807A5D" w14:textId="77777777" w:rsidR="00C63860" w:rsidRPr="00C63860" w:rsidRDefault="00C87DCA" w:rsidP="00C87DCA">
            <w:pPr>
              <w:rPr>
                <w:bCs/>
              </w:rPr>
            </w:pPr>
            <w:r w:rsidRPr="00C63860">
              <w:rPr>
                <w:bCs/>
              </w:rPr>
              <w:t>4</w:t>
            </w:r>
          </w:p>
          <w:p w14:paraId="14FACB8A" w14:textId="77777777" w:rsidR="00C63860" w:rsidRPr="00C63860" w:rsidRDefault="00C87DCA" w:rsidP="00C87DCA">
            <w:pPr>
              <w:rPr>
                <w:bCs/>
              </w:rPr>
            </w:pPr>
            <w:r w:rsidRPr="00C63860">
              <w:rPr>
                <w:bCs/>
              </w:rPr>
              <w:t>Least deprived</w:t>
            </w:r>
          </w:p>
          <w:p w14:paraId="651F05BD" w14:textId="30E32478" w:rsidR="00C87DCA" w:rsidRPr="00C63860" w:rsidRDefault="00C87DCA" w:rsidP="00C87DCA">
            <w:pPr>
              <w:rPr>
                <w:bCs/>
              </w:rPr>
            </w:pPr>
            <w:r w:rsidRPr="00C63860">
              <w:rPr>
                <w:bCs/>
              </w:rPr>
              <w:t>Missing</w:t>
            </w:r>
          </w:p>
        </w:tc>
        <w:tc>
          <w:tcPr>
            <w:tcW w:w="0" w:type="auto"/>
            <w:shd w:val="clear" w:color="auto" w:fill="auto"/>
          </w:tcPr>
          <w:p w14:paraId="64197200" w14:textId="77777777" w:rsidR="00C63860" w:rsidRPr="00C63860" w:rsidRDefault="00C63860" w:rsidP="00C87DCA">
            <w:pPr>
              <w:jc w:val="center"/>
              <w:rPr>
                <w:bCs/>
              </w:rPr>
            </w:pPr>
          </w:p>
          <w:p w14:paraId="0CC8F36B" w14:textId="77777777" w:rsidR="00C87DCA" w:rsidRPr="00C63860" w:rsidRDefault="00C87DCA" w:rsidP="00C87DCA">
            <w:pPr>
              <w:jc w:val="center"/>
              <w:rPr>
                <w:bCs/>
              </w:rPr>
            </w:pPr>
            <w:r w:rsidRPr="00C63860">
              <w:rPr>
                <w:bCs/>
              </w:rPr>
              <w:t>53,814 (20.4)</w:t>
            </w:r>
          </w:p>
          <w:p w14:paraId="142EF9AF" w14:textId="77777777" w:rsidR="00C87DCA" w:rsidRPr="00C63860" w:rsidRDefault="00C87DCA" w:rsidP="00C87DCA">
            <w:pPr>
              <w:jc w:val="center"/>
              <w:rPr>
                <w:bCs/>
              </w:rPr>
            </w:pPr>
            <w:r w:rsidRPr="00C63860">
              <w:rPr>
                <w:bCs/>
              </w:rPr>
              <w:t>54,361 (20.6)</w:t>
            </w:r>
          </w:p>
          <w:p w14:paraId="692D6FAF" w14:textId="77777777" w:rsidR="00C87DCA" w:rsidRPr="00C63860" w:rsidRDefault="00C87DCA" w:rsidP="00C87DCA">
            <w:pPr>
              <w:jc w:val="center"/>
              <w:rPr>
                <w:bCs/>
              </w:rPr>
            </w:pPr>
            <w:r w:rsidRPr="00C63860">
              <w:rPr>
                <w:bCs/>
              </w:rPr>
              <w:t>53,331 (20.2)</w:t>
            </w:r>
          </w:p>
          <w:p w14:paraId="0F2286DC" w14:textId="77777777" w:rsidR="00C87DCA" w:rsidRPr="00C63860" w:rsidRDefault="00C87DCA" w:rsidP="00C87DCA">
            <w:pPr>
              <w:jc w:val="center"/>
              <w:rPr>
                <w:bCs/>
              </w:rPr>
            </w:pPr>
            <w:r w:rsidRPr="00C63860">
              <w:rPr>
                <w:bCs/>
              </w:rPr>
              <w:t>51,716 (19.6)</w:t>
            </w:r>
          </w:p>
          <w:p w14:paraId="3A9C6A2F" w14:textId="77777777" w:rsidR="00C87DCA" w:rsidRPr="00C63860" w:rsidRDefault="00C87DCA" w:rsidP="00C87DCA">
            <w:pPr>
              <w:jc w:val="center"/>
              <w:rPr>
                <w:bCs/>
              </w:rPr>
            </w:pPr>
            <w:r w:rsidRPr="00C63860">
              <w:rPr>
                <w:bCs/>
              </w:rPr>
              <w:t>50,543 (19.2)</w:t>
            </w:r>
          </w:p>
          <w:p w14:paraId="1DA252C3" w14:textId="77777777" w:rsidR="00C87DCA" w:rsidRPr="00C63860" w:rsidRDefault="00C87DCA" w:rsidP="00C87DCA">
            <w:pPr>
              <w:jc w:val="center"/>
              <w:rPr>
                <w:bCs/>
              </w:rPr>
            </w:pPr>
            <w:r w:rsidRPr="00C63860">
              <w:rPr>
                <w:bCs/>
              </w:rPr>
              <w:t>4,379</w:t>
            </w:r>
          </w:p>
        </w:tc>
        <w:tc>
          <w:tcPr>
            <w:tcW w:w="0" w:type="auto"/>
            <w:shd w:val="clear" w:color="auto" w:fill="auto"/>
          </w:tcPr>
          <w:p w14:paraId="3F3756A5" w14:textId="77777777" w:rsidR="00C63860" w:rsidRPr="00C63860" w:rsidRDefault="00C63860" w:rsidP="00C87DCA">
            <w:pPr>
              <w:jc w:val="center"/>
              <w:rPr>
                <w:bCs/>
              </w:rPr>
            </w:pPr>
          </w:p>
          <w:p w14:paraId="1E6DC7A1" w14:textId="77777777" w:rsidR="00C87DCA" w:rsidRPr="00C63860" w:rsidRDefault="00C87DCA" w:rsidP="00C87DCA">
            <w:pPr>
              <w:jc w:val="center"/>
              <w:rPr>
                <w:bCs/>
              </w:rPr>
            </w:pPr>
            <w:r w:rsidRPr="00C63860">
              <w:rPr>
                <w:bCs/>
              </w:rPr>
              <w:t>56,424 (23.7)</w:t>
            </w:r>
          </w:p>
          <w:p w14:paraId="74902B8D" w14:textId="77777777" w:rsidR="00C87DCA" w:rsidRPr="00C63860" w:rsidRDefault="00C87DCA" w:rsidP="00C87DCA">
            <w:pPr>
              <w:jc w:val="center"/>
              <w:rPr>
                <w:bCs/>
              </w:rPr>
            </w:pPr>
            <w:r w:rsidRPr="00C63860">
              <w:rPr>
                <w:bCs/>
              </w:rPr>
              <w:t>50,640 (21.2)</w:t>
            </w:r>
          </w:p>
          <w:p w14:paraId="59E3A5AD" w14:textId="77777777" w:rsidR="00C87DCA" w:rsidRPr="00C63860" w:rsidRDefault="00C87DCA" w:rsidP="00C87DCA">
            <w:pPr>
              <w:jc w:val="center"/>
              <w:rPr>
                <w:bCs/>
              </w:rPr>
            </w:pPr>
            <w:r w:rsidRPr="00C63860">
              <w:rPr>
                <w:bCs/>
              </w:rPr>
              <w:t>48,202 (20.2)</w:t>
            </w:r>
          </w:p>
          <w:p w14:paraId="0D57B598" w14:textId="77777777" w:rsidR="00C87DCA" w:rsidRPr="00C63860" w:rsidRDefault="00C87DCA" w:rsidP="00C87DCA">
            <w:pPr>
              <w:jc w:val="center"/>
              <w:rPr>
                <w:bCs/>
              </w:rPr>
            </w:pPr>
            <w:r w:rsidRPr="00C63860">
              <w:rPr>
                <w:bCs/>
              </w:rPr>
              <w:t>44,378 (18.6)</w:t>
            </w:r>
          </w:p>
          <w:p w14:paraId="78DE303A" w14:textId="77777777" w:rsidR="00C87DCA" w:rsidRPr="00C63860" w:rsidRDefault="00C87DCA" w:rsidP="00C87DCA">
            <w:pPr>
              <w:jc w:val="center"/>
              <w:rPr>
                <w:bCs/>
              </w:rPr>
            </w:pPr>
            <w:r w:rsidRPr="00C63860">
              <w:rPr>
                <w:bCs/>
              </w:rPr>
              <w:t>38,971 (16.3)</w:t>
            </w:r>
          </w:p>
          <w:p w14:paraId="7EED211F" w14:textId="77777777" w:rsidR="00C87DCA" w:rsidRPr="00C63860" w:rsidRDefault="00C87DCA" w:rsidP="00C87DCA">
            <w:pPr>
              <w:jc w:val="center"/>
              <w:rPr>
                <w:bCs/>
              </w:rPr>
            </w:pPr>
            <w:r w:rsidRPr="00C63860">
              <w:rPr>
                <w:bCs/>
              </w:rPr>
              <w:t>2,362</w:t>
            </w:r>
          </w:p>
        </w:tc>
        <w:tc>
          <w:tcPr>
            <w:tcW w:w="0" w:type="auto"/>
            <w:shd w:val="clear" w:color="auto" w:fill="auto"/>
          </w:tcPr>
          <w:p w14:paraId="4903E051" w14:textId="77777777" w:rsidR="00C63860" w:rsidRPr="00C63860" w:rsidRDefault="00C63860" w:rsidP="00C87DCA">
            <w:pPr>
              <w:jc w:val="center"/>
              <w:rPr>
                <w:bCs/>
              </w:rPr>
            </w:pPr>
          </w:p>
          <w:p w14:paraId="2F303B53" w14:textId="77777777" w:rsidR="00C87DCA" w:rsidRPr="00C63860" w:rsidRDefault="00C87DCA" w:rsidP="00C87DCA">
            <w:pPr>
              <w:jc w:val="center"/>
              <w:rPr>
                <w:bCs/>
              </w:rPr>
            </w:pPr>
            <w:r w:rsidRPr="00C63860">
              <w:rPr>
                <w:bCs/>
              </w:rPr>
              <w:t>24,980 (18.0)</w:t>
            </w:r>
          </w:p>
          <w:p w14:paraId="6860AE33" w14:textId="77777777" w:rsidR="00C87DCA" w:rsidRPr="00C63860" w:rsidRDefault="00C87DCA" w:rsidP="00C87DCA">
            <w:pPr>
              <w:jc w:val="center"/>
              <w:rPr>
                <w:bCs/>
              </w:rPr>
            </w:pPr>
            <w:r w:rsidRPr="00C63860">
              <w:rPr>
                <w:bCs/>
              </w:rPr>
              <w:t>27,280 (19.8)</w:t>
            </w:r>
          </w:p>
          <w:p w14:paraId="6007CC91" w14:textId="77777777" w:rsidR="00C87DCA" w:rsidRPr="00C63860" w:rsidRDefault="00C87DCA" w:rsidP="00C87DCA">
            <w:pPr>
              <w:jc w:val="center"/>
              <w:rPr>
                <w:bCs/>
              </w:rPr>
            </w:pPr>
            <w:r w:rsidRPr="00C63860">
              <w:rPr>
                <w:bCs/>
              </w:rPr>
              <w:t>29,076 (21.1)</w:t>
            </w:r>
          </w:p>
          <w:p w14:paraId="263FC20D" w14:textId="77777777" w:rsidR="00C87DCA" w:rsidRPr="00C63860" w:rsidRDefault="00C87DCA" w:rsidP="00C87DCA">
            <w:pPr>
              <w:jc w:val="center"/>
              <w:rPr>
                <w:bCs/>
              </w:rPr>
            </w:pPr>
            <w:r w:rsidRPr="00C63860">
              <w:rPr>
                <w:bCs/>
              </w:rPr>
              <w:t>29,224 (21.2)</w:t>
            </w:r>
          </w:p>
          <w:p w14:paraId="77042B5C" w14:textId="77777777" w:rsidR="00C87DCA" w:rsidRPr="00C63860" w:rsidRDefault="00C87DCA" w:rsidP="00C87DCA">
            <w:pPr>
              <w:jc w:val="center"/>
              <w:rPr>
                <w:bCs/>
              </w:rPr>
            </w:pPr>
            <w:r w:rsidRPr="00C63860">
              <w:rPr>
                <w:bCs/>
              </w:rPr>
              <w:t>27,138 (19.7)</w:t>
            </w:r>
          </w:p>
          <w:p w14:paraId="760062ED" w14:textId="77777777" w:rsidR="00C87DCA" w:rsidRPr="00C63860" w:rsidRDefault="00C87DCA" w:rsidP="00C87DCA">
            <w:pPr>
              <w:jc w:val="center"/>
              <w:rPr>
                <w:bCs/>
              </w:rPr>
            </w:pPr>
            <w:r w:rsidRPr="00C63860">
              <w:rPr>
                <w:bCs/>
              </w:rPr>
              <w:t>1,171</w:t>
            </w:r>
          </w:p>
        </w:tc>
        <w:tc>
          <w:tcPr>
            <w:tcW w:w="0" w:type="auto"/>
            <w:shd w:val="clear" w:color="auto" w:fill="auto"/>
          </w:tcPr>
          <w:p w14:paraId="34C15E3D" w14:textId="77777777" w:rsidR="00C63860" w:rsidRPr="00C63860" w:rsidRDefault="00C63860" w:rsidP="00C87DCA">
            <w:pPr>
              <w:jc w:val="center"/>
              <w:rPr>
                <w:bCs/>
              </w:rPr>
            </w:pPr>
          </w:p>
          <w:p w14:paraId="256DC114" w14:textId="77777777" w:rsidR="00C87DCA" w:rsidRPr="00C63860" w:rsidRDefault="00C87DCA" w:rsidP="00C87DCA">
            <w:pPr>
              <w:jc w:val="center"/>
              <w:rPr>
                <w:bCs/>
              </w:rPr>
            </w:pPr>
            <w:r w:rsidRPr="00C63860">
              <w:rPr>
                <w:bCs/>
              </w:rPr>
              <w:t>22,845 (21.7)</w:t>
            </w:r>
          </w:p>
          <w:p w14:paraId="7E94E35E" w14:textId="77777777" w:rsidR="00C87DCA" w:rsidRPr="00C63860" w:rsidRDefault="00C87DCA" w:rsidP="00C87DCA">
            <w:pPr>
              <w:jc w:val="center"/>
              <w:rPr>
                <w:bCs/>
              </w:rPr>
            </w:pPr>
            <w:r w:rsidRPr="00C63860">
              <w:rPr>
                <w:bCs/>
              </w:rPr>
              <w:t>21,893 (20.8)</w:t>
            </w:r>
          </w:p>
          <w:p w14:paraId="30E39BD0" w14:textId="77777777" w:rsidR="00C87DCA" w:rsidRPr="00C63860" w:rsidRDefault="00C87DCA" w:rsidP="00C87DCA">
            <w:pPr>
              <w:jc w:val="center"/>
              <w:rPr>
                <w:bCs/>
              </w:rPr>
            </w:pPr>
            <w:r w:rsidRPr="00C63860">
              <w:rPr>
                <w:bCs/>
              </w:rPr>
              <w:t>21,702 (20.6)</w:t>
            </w:r>
          </w:p>
          <w:p w14:paraId="26DD4E69" w14:textId="77777777" w:rsidR="00C87DCA" w:rsidRPr="00C63860" w:rsidRDefault="00C87DCA" w:rsidP="00C87DCA">
            <w:pPr>
              <w:jc w:val="center"/>
              <w:rPr>
                <w:bCs/>
              </w:rPr>
            </w:pPr>
            <w:r w:rsidRPr="00C63860">
              <w:rPr>
                <w:bCs/>
              </w:rPr>
              <w:t>20,495 (19.4)</w:t>
            </w:r>
          </w:p>
          <w:p w14:paraId="1315CF70" w14:textId="77777777" w:rsidR="00C87DCA" w:rsidRPr="00C63860" w:rsidRDefault="00C87DCA" w:rsidP="00C87DCA">
            <w:pPr>
              <w:jc w:val="center"/>
              <w:rPr>
                <w:bCs/>
              </w:rPr>
            </w:pPr>
            <w:r w:rsidRPr="00C63860">
              <w:rPr>
                <w:bCs/>
              </w:rPr>
              <w:t>18,472 (17.5)</w:t>
            </w:r>
          </w:p>
          <w:p w14:paraId="46C3C57E" w14:textId="77777777" w:rsidR="00C87DCA" w:rsidRPr="00C63860" w:rsidRDefault="00C87DCA" w:rsidP="00C87DCA">
            <w:pPr>
              <w:jc w:val="center"/>
              <w:rPr>
                <w:bCs/>
              </w:rPr>
            </w:pPr>
            <w:r w:rsidRPr="00C63860">
              <w:rPr>
                <w:bCs/>
              </w:rPr>
              <w:t>1,025</w:t>
            </w:r>
          </w:p>
        </w:tc>
        <w:tc>
          <w:tcPr>
            <w:tcW w:w="0" w:type="auto"/>
            <w:shd w:val="clear" w:color="auto" w:fill="auto"/>
          </w:tcPr>
          <w:p w14:paraId="794929B1" w14:textId="77777777" w:rsidR="00C63860" w:rsidRPr="00C63860" w:rsidRDefault="00C63860" w:rsidP="00C87DCA">
            <w:pPr>
              <w:jc w:val="center"/>
              <w:rPr>
                <w:bCs/>
              </w:rPr>
            </w:pPr>
          </w:p>
          <w:p w14:paraId="474BD3D8" w14:textId="77777777" w:rsidR="00C87DCA" w:rsidRPr="00C63860" w:rsidRDefault="00C87DCA" w:rsidP="00C87DCA">
            <w:pPr>
              <w:jc w:val="center"/>
              <w:rPr>
                <w:bCs/>
              </w:rPr>
            </w:pPr>
            <w:r w:rsidRPr="00C63860">
              <w:rPr>
                <w:bCs/>
              </w:rPr>
              <w:t>23,334 (17.7)</w:t>
            </w:r>
          </w:p>
          <w:p w14:paraId="430AE9F3" w14:textId="77777777" w:rsidR="00C87DCA" w:rsidRPr="00C63860" w:rsidRDefault="00C87DCA" w:rsidP="00C87DCA">
            <w:pPr>
              <w:jc w:val="center"/>
              <w:rPr>
                <w:bCs/>
              </w:rPr>
            </w:pPr>
            <w:r w:rsidRPr="00C63860">
              <w:rPr>
                <w:bCs/>
              </w:rPr>
              <w:t>25,348 (19.3)</w:t>
            </w:r>
          </w:p>
          <w:p w14:paraId="14BDD902" w14:textId="77777777" w:rsidR="00C87DCA" w:rsidRPr="00C63860" w:rsidRDefault="00C87DCA" w:rsidP="00C87DCA">
            <w:pPr>
              <w:jc w:val="center"/>
              <w:rPr>
                <w:bCs/>
              </w:rPr>
            </w:pPr>
            <w:r w:rsidRPr="00C63860">
              <w:rPr>
                <w:bCs/>
              </w:rPr>
              <w:t>27,924 (21.2)</w:t>
            </w:r>
          </w:p>
          <w:p w14:paraId="523AF160" w14:textId="77777777" w:rsidR="00C87DCA" w:rsidRPr="00C63860" w:rsidRDefault="00C87DCA" w:rsidP="00C87DCA">
            <w:pPr>
              <w:jc w:val="center"/>
              <w:rPr>
                <w:bCs/>
              </w:rPr>
            </w:pPr>
            <w:r w:rsidRPr="00C63860">
              <w:rPr>
                <w:bCs/>
              </w:rPr>
              <w:t>27,858 (21.2)</w:t>
            </w:r>
          </w:p>
          <w:p w14:paraId="3A4ACCF0" w14:textId="77777777" w:rsidR="00C87DCA" w:rsidRPr="00C63860" w:rsidRDefault="00C87DCA" w:rsidP="00C87DCA">
            <w:pPr>
              <w:jc w:val="center"/>
              <w:rPr>
                <w:bCs/>
              </w:rPr>
            </w:pPr>
            <w:r w:rsidRPr="00C63860">
              <w:rPr>
                <w:bCs/>
              </w:rPr>
              <w:t>27,105 (20.6)</w:t>
            </w:r>
          </w:p>
          <w:p w14:paraId="62A4DD97" w14:textId="77777777" w:rsidR="00C87DCA" w:rsidRPr="00C63860" w:rsidRDefault="00C87DCA" w:rsidP="00C87DCA">
            <w:pPr>
              <w:jc w:val="center"/>
              <w:rPr>
                <w:bCs/>
              </w:rPr>
            </w:pPr>
            <w:r w:rsidRPr="00C63860">
              <w:rPr>
                <w:bCs/>
              </w:rPr>
              <w:t>1,504</w:t>
            </w:r>
          </w:p>
        </w:tc>
      </w:tr>
      <w:tr w:rsidR="00C87DCA" w:rsidRPr="00C63860" w14:paraId="58B9AC38" w14:textId="77777777" w:rsidTr="00C63860">
        <w:trPr>
          <w:cantSplit/>
        </w:trPr>
        <w:tc>
          <w:tcPr>
            <w:tcW w:w="0" w:type="auto"/>
            <w:shd w:val="clear" w:color="auto" w:fill="auto"/>
            <w:hideMark/>
          </w:tcPr>
          <w:p w14:paraId="023EBDA8" w14:textId="77777777" w:rsidR="00C63860" w:rsidRPr="00C63860" w:rsidRDefault="00C87DCA" w:rsidP="00C87DCA">
            <w:pPr>
              <w:rPr>
                <w:bCs/>
              </w:rPr>
            </w:pPr>
            <w:r w:rsidRPr="00C63860">
              <w:rPr>
                <w:bCs/>
              </w:rPr>
              <w:t xml:space="preserve">Comorbidity: </w:t>
            </w:r>
            <w:r w:rsidRPr="00C63860">
              <w:rPr>
                <w:bCs/>
                <w:i/>
                <w:color w:val="00B0F0"/>
              </w:rPr>
              <w:t>n</w:t>
            </w:r>
            <w:r w:rsidRPr="00C63860">
              <w:rPr>
                <w:bCs/>
              </w:rPr>
              <w:t xml:space="preserve"> (%)</w:t>
            </w:r>
          </w:p>
          <w:p w14:paraId="2DCE9ED6" w14:textId="77777777" w:rsidR="00C63860" w:rsidRPr="00C63860" w:rsidRDefault="00C87DCA" w:rsidP="00C87DCA">
            <w:pPr>
              <w:rPr>
                <w:bCs/>
              </w:rPr>
            </w:pPr>
            <w:r w:rsidRPr="00C63860">
              <w:rPr>
                <w:bCs/>
              </w:rPr>
              <w:t>None</w:t>
            </w:r>
          </w:p>
          <w:p w14:paraId="055C9F2A" w14:textId="77777777" w:rsidR="00C63860" w:rsidRPr="00C63860" w:rsidRDefault="00C87DCA" w:rsidP="00C87DCA">
            <w:pPr>
              <w:rPr>
                <w:bCs/>
              </w:rPr>
            </w:pPr>
            <w:r w:rsidRPr="00C63860">
              <w:rPr>
                <w:bCs/>
              </w:rPr>
              <w:t>1</w:t>
            </w:r>
          </w:p>
          <w:p w14:paraId="79EAC5F5" w14:textId="77777777" w:rsidR="00C63860" w:rsidRPr="00C63860" w:rsidRDefault="00C87DCA" w:rsidP="00C87DCA">
            <w:pPr>
              <w:rPr>
                <w:bCs/>
              </w:rPr>
            </w:pPr>
            <w:r w:rsidRPr="00C63860">
              <w:rPr>
                <w:bCs/>
              </w:rPr>
              <w:t>2</w:t>
            </w:r>
          </w:p>
          <w:p w14:paraId="7C743E1C" w14:textId="4D52BB5D" w:rsidR="00C87DCA" w:rsidRPr="00C63860" w:rsidRDefault="00C87DCA" w:rsidP="00C87DCA">
            <w:pPr>
              <w:rPr>
                <w:bCs/>
              </w:rPr>
            </w:pPr>
            <w:r w:rsidRPr="00C63860">
              <w:rPr>
                <w:bCs/>
              </w:rPr>
              <w:t>3 or more</w:t>
            </w:r>
          </w:p>
        </w:tc>
        <w:tc>
          <w:tcPr>
            <w:tcW w:w="0" w:type="auto"/>
            <w:shd w:val="clear" w:color="auto" w:fill="auto"/>
          </w:tcPr>
          <w:p w14:paraId="127FA1E6" w14:textId="77777777" w:rsidR="00C87DCA" w:rsidRPr="00C63860" w:rsidRDefault="00C87DCA" w:rsidP="00C87DCA">
            <w:pPr>
              <w:jc w:val="center"/>
              <w:rPr>
                <w:bCs/>
              </w:rPr>
            </w:pPr>
          </w:p>
          <w:p w14:paraId="4572B36B" w14:textId="77777777" w:rsidR="00C87DCA" w:rsidRPr="00C63860" w:rsidRDefault="00C87DCA" w:rsidP="00C87DCA">
            <w:pPr>
              <w:jc w:val="center"/>
              <w:rPr>
                <w:bCs/>
              </w:rPr>
            </w:pPr>
            <w:r w:rsidRPr="00C63860">
              <w:rPr>
                <w:bCs/>
              </w:rPr>
              <w:t>222,846 (83.1)</w:t>
            </w:r>
          </w:p>
          <w:p w14:paraId="5C59F8EB" w14:textId="77777777" w:rsidR="00C87DCA" w:rsidRPr="00C63860" w:rsidRDefault="00C87DCA" w:rsidP="00C87DCA">
            <w:pPr>
              <w:jc w:val="center"/>
              <w:rPr>
                <w:bCs/>
              </w:rPr>
            </w:pPr>
            <w:r w:rsidRPr="00C63860">
              <w:rPr>
                <w:bCs/>
              </w:rPr>
              <w:t>39,710 (14.8)</w:t>
            </w:r>
          </w:p>
          <w:p w14:paraId="02AF428A" w14:textId="77777777" w:rsidR="00C87DCA" w:rsidRPr="00C63860" w:rsidRDefault="00C87DCA" w:rsidP="00C87DCA">
            <w:pPr>
              <w:jc w:val="center"/>
              <w:rPr>
                <w:bCs/>
              </w:rPr>
            </w:pPr>
            <w:r w:rsidRPr="00C63860">
              <w:rPr>
                <w:bCs/>
              </w:rPr>
              <w:t>4,750 (1.8)</w:t>
            </w:r>
          </w:p>
          <w:p w14:paraId="18986294" w14:textId="77777777" w:rsidR="00C87DCA" w:rsidRPr="00C63860" w:rsidRDefault="00C87DCA" w:rsidP="00C87DCA">
            <w:pPr>
              <w:jc w:val="center"/>
              <w:rPr>
                <w:bCs/>
              </w:rPr>
            </w:pPr>
            <w:r w:rsidRPr="00C63860">
              <w:rPr>
                <w:bCs/>
              </w:rPr>
              <w:t>838 (0.3)</w:t>
            </w:r>
          </w:p>
        </w:tc>
        <w:tc>
          <w:tcPr>
            <w:tcW w:w="0" w:type="auto"/>
            <w:shd w:val="clear" w:color="auto" w:fill="auto"/>
          </w:tcPr>
          <w:p w14:paraId="290A9552" w14:textId="77777777" w:rsidR="00C87DCA" w:rsidRPr="00C63860" w:rsidRDefault="00C87DCA" w:rsidP="00C87DCA">
            <w:pPr>
              <w:jc w:val="center"/>
              <w:rPr>
                <w:bCs/>
              </w:rPr>
            </w:pPr>
          </w:p>
          <w:p w14:paraId="160F3532" w14:textId="77777777" w:rsidR="00C87DCA" w:rsidRPr="00C63860" w:rsidRDefault="00C87DCA" w:rsidP="00C87DCA">
            <w:pPr>
              <w:jc w:val="center"/>
              <w:rPr>
                <w:bCs/>
              </w:rPr>
            </w:pPr>
            <w:r w:rsidRPr="00C63860">
              <w:rPr>
                <w:bCs/>
              </w:rPr>
              <w:t>157,485 (65.4)</w:t>
            </w:r>
          </w:p>
          <w:p w14:paraId="607880CD" w14:textId="77777777" w:rsidR="00C87DCA" w:rsidRPr="00C63860" w:rsidRDefault="00C87DCA" w:rsidP="00C87DCA">
            <w:pPr>
              <w:jc w:val="center"/>
              <w:rPr>
                <w:bCs/>
              </w:rPr>
            </w:pPr>
            <w:r w:rsidRPr="00C63860">
              <w:rPr>
                <w:bCs/>
              </w:rPr>
              <w:t>62,150 (25.8)</w:t>
            </w:r>
          </w:p>
          <w:p w14:paraId="09F216D0" w14:textId="77777777" w:rsidR="00C87DCA" w:rsidRPr="00C63860" w:rsidRDefault="00C87DCA" w:rsidP="00C87DCA">
            <w:pPr>
              <w:jc w:val="center"/>
              <w:rPr>
                <w:bCs/>
              </w:rPr>
            </w:pPr>
            <w:r w:rsidRPr="00C63860">
              <w:rPr>
                <w:bCs/>
              </w:rPr>
              <w:t>17,047 (7.1)</w:t>
            </w:r>
          </w:p>
          <w:p w14:paraId="2761D0FA" w14:textId="77777777" w:rsidR="00C87DCA" w:rsidRPr="00C63860" w:rsidRDefault="00C87DCA" w:rsidP="00C87DCA">
            <w:pPr>
              <w:jc w:val="center"/>
              <w:rPr>
                <w:bCs/>
              </w:rPr>
            </w:pPr>
            <w:r w:rsidRPr="00C63860">
              <w:rPr>
                <w:bCs/>
              </w:rPr>
              <w:t>4,295 (1.8)</w:t>
            </w:r>
          </w:p>
        </w:tc>
        <w:tc>
          <w:tcPr>
            <w:tcW w:w="0" w:type="auto"/>
            <w:shd w:val="clear" w:color="auto" w:fill="auto"/>
          </w:tcPr>
          <w:p w14:paraId="6E9ACF20" w14:textId="77777777" w:rsidR="00C87DCA" w:rsidRPr="00C63860" w:rsidRDefault="00C87DCA" w:rsidP="00C87DCA">
            <w:pPr>
              <w:jc w:val="center"/>
              <w:rPr>
                <w:bCs/>
              </w:rPr>
            </w:pPr>
          </w:p>
          <w:p w14:paraId="4408E354" w14:textId="77777777" w:rsidR="00C87DCA" w:rsidRPr="00C63860" w:rsidRDefault="00C87DCA" w:rsidP="00C87DCA">
            <w:pPr>
              <w:jc w:val="center"/>
              <w:rPr>
                <w:bCs/>
              </w:rPr>
            </w:pPr>
            <w:r w:rsidRPr="00C63860">
              <w:rPr>
                <w:bCs/>
              </w:rPr>
              <w:t>83,246 (60.0)</w:t>
            </w:r>
          </w:p>
          <w:p w14:paraId="2405EC27" w14:textId="77777777" w:rsidR="00C87DCA" w:rsidRPr="00C63860" w:rsidRDefault="00C87DCA" w:rsidP="00C87DCA">
            <w:pPr>
              <w:jc w:val="center"/>
              <w:rPr>
                <w:bCs/>
              </w:rPr>
            </w:pPr>
            <w:r w:rsidRPr="00C63860">
              <w:rPr>
                <w:bCs/>
              </w:rPr>
              <w:t>39,588 (28.5)</w:t>
            </w:r>
          </w:p>
          <w:p w14:paraId="12415775" w14:textId="77777777" w:rsidR="00C87DCA" w:rsidRPr="00C63860" w:rsidRDefault="00C87DCA" w:rsidP="00C87DCA">
            <w:pPr>
              <w:jc w:val="center"/>
              <w:rPr>
                <w:bCs/>
              </w:rPr>
            </w:pPr>
            <w:r w:rsidRPr="00C63860">
              <w:rPr>
                <w:bCs/>
              </w:rPr>
              <w:t>12,676 (9.1)</w:t>
            </w:r>
          </w:p>
          <w:p w14:paraId="6FC4DB53" w14:textId="77777777" w:rsidR="00C87DCA" w:rsidRPr="00C63860" w:rsidRDefault="00C87DCA" w:rsidP="00C87DCA">
            <w:pPr>
              <w:jc w:val="center"/>
              <w:rPr>
                <w:bCs/>
              </w:rPr>
            </w:pPr>
            <w:r w:rsidRPr="00C63860">
              <w:rPr>
                <w:bCs/>
              </w:rPr>
              <w:t>3,359 (2.4)</w:t>
            </w:r>
          </w:p>
        </w:tc>
        <w:tc>
          <w:tcPr>
            <w:tcW w:w="0" w:type="auto"/>
            <w:shd w:val="clear" w:color="auto" w:fill="auto"/>
          </w:tcPr>
          <w:p w14:paraId="6E1EE55A" w14:textId="77777777" w:rsidR="00C87DCA" w:rsidRPr="00C63860" w:rsidRDefault="00C87DCA" w:rsidP="00C87DCA">
            <w:pPr>
              <w:jc w:val="center"/>
              <w:rPr>
                <w:bCs/>
              </w:rPr>
            </w:pPr>
          </w:p>
          <w:p w14:paraId="3251A49C" w14:textId="77777777" w:rsidR="00C87DCA" w:rsidRPr="00C63860" w:rsidRDefault="00C87DCA" w:rsidP="00C87DCA">
            <w:pPr>
              <w:jc w:val="center"/>
              <w:rPr>
                <w:bCs/>
              </w:rPr>
            </w:pPr>
            <w:r w:rsidRPr="00C63860">
              <w:rPr>
                <w:bCs/>
              </w:rPr>
              <w:t>65,513 (61.6)</w:t>
            </w:r>
          </w:p>
          <w:p w14:paraId="0124B258" w14:textId="77777777" w:rsidR="00C87DCA" w:rsidRPr="00C63860" w:rsidRDefault="00C87DCA" w:rsidP="00C87DCA">
            <w:pPr>
              <w:jc w:val="center"/>
              <w:rPr>
                <w:bCs/>
              </w:rPr>
            </w:pPr>
            <w:r w:rsidRPr="00C63860">
              <w:rPr>
                <w:bCs/>
              </w:rPr>
              <w:t>29,657 (27.9)</w:t>
            </w:r>
          </w:p>
          <w:p w14:paraId="77DA79E3" w14:textId="77777777" w:rsidR="00C87DCA" w:rsidRPr="00C63860" w:rsidRDefault="00C87DCA" w:rsidP="00C87DCA">
            <w:pPr>
              <w:jc w:val="center"/>
              <w:rPr>
                <w:bCs/>
              </w:rPr>
            </w:pPr>
            <w:r w:rsidRPr="00C63860">
              <w:rPr>
                <w:bCs/>
              </w:rPr>
              <w:t>8,961 (8.4)</w:t>
            </w:r>
          </w:p>
          <w:p w14:paraId="1382E1D8" w14:textId="77777777" w:rsidR="00C87DCA" w:rsidRPr="00C63860" w:rsidRDefault="00C87DCA" w:rsidP="00C87DCA">
            <w:pPr>
              <w:jc w:val="center"/>
              <w:rPr>
                <w:bCs/>
              </w:rPr>
            </w:pPr>
            <w:r w:rsidRPr="00C63860">
              <w:rPr>
                <w:bCs/>
              </w:rPr>
              <w:t>2,301 (2.2)</w:t>
            </w:r>
          </w:p>
        </w:tc>
        <w:tc>
          <w:tcPr>
            <w:tcW w:w="0" w:type="auto"/>
            <w:shd w:val="clear" w:color="auto" w:fill="auto"/>
          </w:tcPr>
          <w:p w14:paraId="1F1EDB89" w14:textId="77777777" w:rsidR="00C87DCA" w:rsidRPr="00C63860" w:rsidRDefault="00C87DCA" w:rsidP="00C87DCA">
            <w:pPr>
              <w:jc w:val="center"/>
              <w:rPr>
                <w:bCs/>
              </w:rPr>
            </w:pPr>
          </w:p>
          <w:p w14:paraId="7DD8D5DB" w14:textId="77777777" w:rsidR="00C87DCA" w:rsidRPr="00C63860" w:rsidRDefault="00C87DCA" w:rsidP="00C87DCA">
            <w:pPr>
              <w:jc w:val="center"/>
              <w:rPr>
                <w:bCs/>
              </w:rPr>
            </w:pPr>
            <w:r w:rsidRPr="00C63860">
              <w:rPr>
                <w:bCs/>
              </w:rPr>
              <w:t>69,648 (52.3)</w:t>
            </w:r>
          </w:p>
          <w:p w14:paraId="02913084" w14:textId="77777777" w:rsidR="00C87DCA" w:rsidRPr="00C63860" w:rsidRDefault="00C87DCA" w:rsidP="00C87DCA">
            <w:pPr>
              <w:jc w:val="center"/>
              <w:rPr>
                <w:bCs/>
              </w:rPr>
            </w:pPr>
            <w:r w:rsidRPr="00C63860">
              <w:rPr>
                <w:bCs/>
              </w:rPr>
              <w:t>42,145 (31.7)</w:t>
            </w:r>
          </w:p>
          <w:p w14:paraId="16FEF878" w14:textId="77777777" w:rsidR="00C87DCA" w:rsidRPr="00C63860" w:rsidRDefault="00C87DCA" w:rsidP="00C87DCA">
            <w:pPr>
              <w:jc w:val="center"/>
              <w:rPr>
                <w:bCs/>
              </w:rPr>
            </w:pPr>
            <w:r w:rsidRPr="00C63860">
              <w:rPr>
                <w:bCs/>
              </w:rPr>
              <w:t>16,646 (12.5)</w:t>
            </w:r>
          </w:p>
          <w:p w14:paraId="4E8ED622" w14:textId="77777777" w:rsidR="00C87DCA" w:rsidRPr="00C63860" w:rsidRDefault="00C87DCA" w:rsidP="00C87DCA">
            <w:pPr>
              <w:jc w:val="center"/>
              <w:rPr>
                <w:bCs/>
              </w:rPr>
            </w:pPr>
            <w:r w:rsidRPr="00C63860">
              <w:rPr>
                <w:bCs/>
              </w:rPr>
              <w:t>4,634 (3.5)</w:t>
            </w:r>
          </w:p>
        </w:tc>
      </w:tr>
      <w:tr w:rsidR="00C87DCA" w:rsidRPr="00C63860" w14:paraId="6D5D82BC" w14:textId="77777777" w:rsidTr="00C63860">
        <w:trPr>
          <w:cantSplit/>
        </w:trPr>
        <w:tc>
          <w:tcPr>
            <w:tcW w:w="0" w:type="auto"/>
            <w:shd w:val="clear" w:color="auto" w:fill="auto"/>
            <w:hideMark/>
          </w:tcPr>
          <w:p w14:paraId="65C34309" w14:textId="77777777" w:rsidR="00C63860" w:rsidRPr="00C63860" w:rsidRDefault="00C87DCA" w:rsidP="00C87DCA">
            <w:pPr>
              <w:rPr>
                <w:bCs/>
              </w:rPr>
            </w:pPr>
            <w:r w:rsidRPr="00C63860">
              <w:rPr>
                <w:bCs/>
              </w:rPr>
              <w:t xml:space="preserve">Frailty index: </w:t>
            </w:r>
            <w:r w:rsidRPr="00C63860">
              <w:rPr>
                <w:bCs/>
                <w:i/>
                <w:color w:val="00B0F0"/>
              </w:rPr>
              <w:t>n</w:t>
            </w:r>
            <w:r w:rsidRPr="00C63860">
              <w:rPr>
                <w:bCs/>
              </w:rPr>
              <w:t xml:space="preserve"> (%)</w:t>
            </w:r>
          </w:p>
          <w:p w14:paraId="19132902" w14:textId="77777777" w:rsidR="00C63860" w:rsidRPr="00C63860" w:rsidRDefault="00C87DCA" w:rsidP="00C87DCA">
            <w:pPr>
              <w:rPr>
                <w:bCs/>
              </w:rPr>
            </w:pPr>
            <w:bookmarkStart w:id="39" w:name="_Hlk85193295"/>
            <w:r w:rsidRPr="00C63860">
              <w:rPr>
                <w:bCs/>
              </w:rPr>
              <w:t>Fit</w:t>
            </w:r>
          </w:p>
          <w:p w14:paraId="494EAB5D" w14:textId="77777777" w:rsidR="00C63860" w:rsidRPr="00C63860" w:rsidRDefault="00C87DCA" w:rsidP="00C87DCA">
            <w:pPr>
              <w:rPr>
                <w:bCs/>
              </w:rPr>
            </w:pPr>
            <w:r w:rsidRPr="00C63860">
              <w:rPr>
                <w:bCs/>
              </w:rPr>
              <w:t>Mild frailty</w:t>
            </w:r>
          </w:p>
          <w:p w14:paraId="26A7A911" w14:textId="77777777" w:rsidR="00C63860" w:rsidRPr="00C63860" w:rsidRDefault="00C87DCA" w:rsidP="00C87DCA">
            <w:pPr>
              <w:rPr>
                <w:bCs/>
              </w:rPr>
            </w:pPr>
            <w:r w:rsidRPr="00C63860">
              <w:rPr>
                <w:bCs/>
              </w:rPr>
              <w:t>Moderate frailty</w:t>
            </w:r>
          </w:p>
          <w:p w14:paraId="13CA347B" w14:textId="6A10EED7" w:rsidR="00C87DCA" w:rsidRPr="00C63860" w:rsidRDefault="00C87DCA" w:rsidP="00C87DCA">
            <w:pPr>
              <w:rPr>
                <w:bCs/>
              </w:rPr>
            </w:pPr>
            <w:r w:rsidRPr="00C63860">
              <w:rPr>
                <w:bCs/>
              </w:rPr>
              <w:t>Severe frailty</w:t>
            </w:r>
            <w:bookmarkEnd w:id="39"/>
          </w:p>
        </w:tc>
        <w:tc>
          <w:tcPr>
            <w:tcW w:w="0" w:type="auto"/>
            <w:shd w:val="clear" w:color="auto" w:fill="auto"/>
          </w:tcPr>
          <w:p w14:paraId="4F4C0496" w14:textId="77777777" w:rsidR="00C87DCA" w:rsidRPr="00C63860" w:rsidRDefault="00C87DCA" w:rsidP="00C87DCA">
            <w:pPr>
              <w:jc w:val="center"/>
              <w:rPr>
                <w:bCs/>
              </w:rPr>
            </w:pPr>
          </w:p>
          <w:p w14:paraId="3258C749" w14:textId="77777777" w:rsidR="00C87DCA" w:rsidRPr="00C63860" w:rsidRDefault="00C87DCA" w:rsidP="00C87DCA">
            <w:pPr>
              <w:jc w:val="center"/>
              <w:rPr>
                <w:bCs/>
              </w:rPr>
            </w:pPr>
            <w:r w:rsidRPr="00C63860">
              <w:rPr>
                <w:bCs/>
              </w:rPr>
              <w:t>221,811 (82.7)</w:t>
            </w:r>
          </w:p>
          <w:p w14:paraId="12E1F85D" w14:textId="77777777" w:rsidR="00C87DCA" w:rsidRPr="00C63860" w:rsidRDefault="00C87DCA" w:rsidP="00C87DCA">
            <w:pPr>
              <w:jc w:val="center"/>
              <w:rPr>
                <w:bCs/>
              </w:rPr>
            </w:pPr>
            <w:r w:rsidRPr="00C63860">
              <w:rPr>
                <w:bCs/>
              </w:rPr>
              <w:t>38,596 (14.4)</w:t>
            </w:r>
          </w:p>
          <w:p w14:paraId="0201CE26" w14:textId="77777777" w:rsidR="00C87DCA" w:rsidRPr="00C63860" w:rsidRDefault="00C87DCA" w:rsidP="00C87DCA">
            <w:pPr>
              <w:jc w:val="center"/>
              <w:rPr>
                <w:bCs/>
              </w:rPr>
            </w:pPr>
            <w:r w:rsidRPr="00C63860">
              <w:rPr>
                <w:bCs/>
              </w:rPr>
              <w:t>6,196 (2.3)</w:t>
            </w:r>
          </w:p>
          <w:p w14:paraId="1A4E2A6D" w14:textId="77777777" w:rsidR="00C87DCA" w:rsidRPr="00C63860" w:rsidRDefault="00C87DCA" w:rsidP="00C87DCA">
            <w:pPr>
              <w:jc w:val="center"/>
              <w:rPr>
                <w:bCs/>
              </w:rPr>
            </w:pPr>
            <w:r w:rsidRPr="00C63860">
              <w:rPr>
                <w:bCs/>
              </w:rPr>
              <w:t>1,541 (0.6)</w:t>
            </w:r>
          </w:p>
        </w:tc>
        <w:tc>
          <w:tcPr>
            <w:tcW w:w="0" w:type="auto"/>
            <w:shd w:val="clear" w:color="auto" w:fill="auto"/>
          </w:tcPr>
          <w:p w14:paraId="43BE47EE" w14:textId="77777777" w:rsidR="00C87DCA" w:rsidRPr="00C63860" w:rsidRDefault="00C87DCA" w:rsidP="00C87DCA">
            <w:pPr>
              <w:jc w:val="center"/>
              <w:rPr>
                <w:bCs/>
              </w:rPr>
            </w:pPr>
          </w:p>
          <w:p w14:paraId="75DA4602" w14:textId="77777777" w:rsidR="00C87DCA" w:rsidRPr="00C63860" w:rsidRDefault="00C87DCA" w:rsidP="00C87DCA">
            <w:pPr>
              <w:jc w:val="center"/>
              <w:rPr>
                <w:bCs/>
              </w:rPr>
            </w:pPr>
            <w:r w:rsidRPr="00C63860">
              <w:rPr>
                <w:bCs/>
              </w:rPr>
              <w:t>149,029 (61.8)</w:t>
            </w:r>
          </w:p>
          <w:p w14:paraId="51BC9EAE" w14:textId="77777777" w:rsidR="00C87DCA" w:rsidRPr="00C63860" w:rsidRDefault="00C87DCA" w:rsidP="00C87DCA">
            <w:pPr>
              <w:jc w:val="center"/>
              <w:rPr>
                <w:bCs/>
              </w:rPr>
            </w:pPr>
            <w:r w:rsidRPr="00C63860">
              <w:rPr>
                <w:bCs/>
              </w:rPr>
              <w:t>66,237 (27.5)</w:t>
            </w:r>
          </w:p>
          <w:p w14:paraId="4C205F0A" w14:textId="77777777" w:rsidR="00C87DCA" w:rsidRPr="00C63860" w:rsidRDefault="00C87DCA" w:rsidP="00C87DCA">
            <w:pPr>
              <w:jc w:val="center"/>
              <w:rPr>
                <w:bCs/>
              </w:rPr>
            </w:pPr>
            <w:r w:rsidRPr="00C63860">
              <w:rPr>
                <w:bCs/>
              </w:rPr>
              <w:t>19,560 (8.1)</w:t>
            </w:r>
          </w:p>
          <w:p w14:paraId="10EAD6B5" w14:textId="77777777" w:rsidR="00C87DCA" w:rsidRPr="00C63860" w:rsidRDefault="00C87DCA" w:rsidP="00C87DCA">
            <w:pPr>
              <w:jc w:val="center"/>
              <w:rPr>
                <w:bCs/>
              </w:rPr>
            </w:pPr>
            <w:r w:rsidRPr="00C63860">
              <w:rPr>
                <w:bCs/>
              </w:rPr>
              <w:t>6,151 (2.6)</w:t>
            </w:r>
          </w:p>
        </w:tc>
        <w:tc>
          <w:tcPr>
            <w:tcW w:w="0" w:type="auto"/>
            <w:shd w:val="clear" w:color="auto" w:fill="auto"/>
          </w:tcPr>
          <w:p w14:paraId="1C3B8997" w14:textId="77777777" w:rsidR="00C87DCA" w:rsidRPr="00C63860" w:rsidRDefault="00C87DCA" w:rsidP="00C87DCA">
            <w:pPr>
              <w:jc w:val="center"/>
              <w:rPr>
                <w:bCs/>
              </w:rPr>
            </w:pPr>
          </w:p>
          <w:p w14:paraId="331A234C" w14:textId="77777777" w:rsidR="00C87DCA" w:rsidRPr="00C63860" w:rsidRDefault="00C87DCA" w:rsidP="00C87DCA">
            <w:pPr>
              <w:jc w:val="center"/>
              <w:rPr>
                <w:bCs/>
              </w:rPr>
            </w:pPr>
            <w:r w:rsidRPr="00C63860">
              <w:rPr>
                <w:bCs/>
              </w:rPr>
              <w:t>72,108 (51.9)</w:t>
            </w:r>
          </w:p>
          <w:p w14:paraId="0CC8F25B" w14:textId="77777777" w:rsidR="00C87DCA" w:rsidRPr="00C63860" w:rsidRDefault="00C87DCA" w:rsidP="00C87DCA">
            <w:pPr>
              <w:jc w:val="center"/>
              <w:rPr>
                <w:bCs/>
              </w:rPr>
            </w:pPr>
            <w:r w:rsidRPr="00C63860">
              <w:rPr>
                <w:bCs/>
              </w:rPr>
              <w:t>44,482 (32.0)</w:t>
            </w:r>
          </w:p>
          <w:p w14:paraId="14063513" w14:textId="77777777" w:rsidR="00C87DCA" w:rsidRPr="00C63860" w:rsidRDefault="00C87DCA" w:rsidP="00C87DCA">
            <w:pPr>
              <w:jc w:val="center"/>
              <w:rPr>
                <w:bCs/>
              </w:rPr>
            </w:pPr>
            <w:r w:rsidRPr="00C63860">
              <w:rPr>
                <w:bCs/>
              </w:rPr>
              <w:t>16,139 (11.6)</w:t>
            </w:r>
          </w:p>
          <w:p w14:paraId="4D2ECD3A" w14:textId="77777777" w:rsidR="00C87DCA" w:rsidRPr="00C63860" w:rsidRDefault="00C87DCA" w:rsidP="00C87DCA">
            <w:pPr>
              <w:jc w:val="center"/>
              <w:rPr>
                <w:bCs/>
              </w:rPr>
            </w:pPr>
            <w:r w:rsidRPr="00C63860">
              <w:rPr>
                <w:bCs/>
              </w:rPr>
              <w:t>6,140 (4.4)</w:t>
            </w:r>
          </w:p>
        </w:tc>
        <w:tc>
          <w:tcPr>
            <w:tcW w:w="0" w:type="auto"/>
            <w:shd w:val="clear" w:color="auto" w:fill="auto"/>
          </w:tcPr>
          <w:p w14:paraId="1784142C" w14:textId="77777777" w:rsidR="00C87DCA" w:rsidRPr="00C63860" w:rsidRDefault="00C87DCA" w:rsidP="00C87DCA">
            <w:pPr>
              <w:jc w:val="center"/>
              <w:rPr>
                <w:bCs/>
              </w:rPr>
            </w:pPr>
          </w:p>
          <w:p w14:paraId="41069741" w14:textId="77777777" w:rsidR="00C87DCA" w:rsidRPr="00C63860" w:rsidRDefault="00C87DCA" w:rsidP="00C87DCA">
            <w:pPr>
              <w:jc w:val="center"/>
              <w:rPr>
                <w:bCs/>
              </w:rPr>
            </w:pPr>
            <w:r w:rsidRPr="00C63860">
              <w:rPr>
                <w:bCs/>
              </w:rPr>
              <w:t>56,885 (53.5)</w:t>
            </w:r>
          </w:p>
          <w:p w14:paraId="34E56617" w14:textId="77777777" w:rsidR="00C87DCA" w:rsidRPr="00C63860" w:rsidRDefault="00C87DCA" w:rsidP="00C87DCA">
            <w:pPr>
              <w:jc w:val="center"/>
              <w:rPr>
                <w:bCs/>
              </w:rPr>
            </w:pPr>
            <w:r w:rsidRPr="00C63860">
              <w:rPr>
                <w:bCs/>
              </w:rPr>
              <w:t>32,712 (30.7)</w:t>
            </w:r>
          </w:p>
          <w:p w14:paraId="5F8A5326" w14:textId="77777777" w:rsidR="00C87DCA" w:rsidRPr="00C63860" w:rsidRDefault="00C87DCA" w:rsidP="00C87DCA">
            <w:pPr>
              <w:jc w:val="center"/>
              <w:rPr>
                <w:bCs/>
              </w:rPr>
            </w:pPr>
            <w:r w:rsidRPr="00C63860">
              <w:rPr>
                <w:bCs/>
              </w:rPr>
              <w:t>12,347 (11.6)</w:t>
            </w:r>
          </w:p>
          <w:p w14:paraId="58A4CDFE" w14:textId="77777777" w:rsidR="00C87DCA" w:rsidRPr="00C63860" w:rsidRDefault="00C87DCA" w:rsidP="00C87DCA">
            <w:pPr>
              <w:jc w:val="center"/>
              <w:rPr>
                <w:bCs/>
              </w:rPr>
            </w:pPr>
            <w:r w:rsidRPr="00C63860">
              <w:rPr>
                <w:bCs/>
              </w:rPr>
              <w:t>4,488 (4.2)</w:t>
            </w:r>
          </w:p>
        </w:tc>
        <w:tc>
          <w:tcPr>
            <w:tcW w:w="0" w:type="auto"/>
            <w:shd w:val="clear" w:color="auto" w:fill="auto"/>
          </w:tcPr>
          <w:p w14:paraId="457F6669" w14:textId="77777777" w:rsidR="00C87DCA" w:rsidRPr="00C63860" w:rsidRDefault="00C87DCA" w:rsidP="00C87DCA">
            <w:pPr>
              <w:jc w:val="center"/>
              <w:rPr>
                <w:bCs/>
              </w:rPr>
            </w:pPr>
          </w:p>
          <w:p w14:paraId="43889B84" w14:textId="77777777" w:rsidR="00C87DCA" w:rsidRPr="00C63860" w:rsidRDefault="00C87DCA" w:rsidP="00C87DCA">
            <w:pPr>
              <w:jc w:val="center"/>
              <w:rPr>
                <w:bCs/>
              </w:rPr>
            </w:pPr>
            <w:r w:rsidRPr="00C63860">
              <w:rPr>
                <w:bCs/>
              </w:rPr>
              <w:t>60,352 (45.4)</w:t>
            </w:r>
          </w:p>
          <w:p w14:paraId="6AC2FAD5" w14:textId="77777777" w:rsidR="00C87DCA" w:rsidRPr="00C63860" w:rsidRDefault="00C87DCA" w:rsidP="00C87DCA">
            <w:pPr>
              <w:jc w:val="center"/>
              <w:rPr>
                <w:bCs/>
              </w:rPr>
            </w:pPr>
            <w:r w:rsidRPr="00C63860">
              <w:rPr>
                <w:bCs/>
              </w:rPr>
              <w:t>44,008 (33.1)</w:t>
            </w:r>
          </w:p>
          <w:p w14:paraId="551D9C16" w14:textId="77777777" w:rsidR="00C87DCA" w:rsidRPr="00C63860" w:rsidRDefault="00C87DCA" w:rsidP="00C87DCA">
            <w:pPr>
              <w:jc w:val="center"/>
              <w:rPr>
                <w:bCs/>
              </w:rPr>
            </w:pPr>
            <w:r w:rsidRPr="00C63860">
              <w:rPr>
                <w:bCs/>
              </w:rPr>
              <w:t>20,004 (15.0)</w:t>
            </w:r>
          </w:p>
          <w:p w14:paraId="6BF9E89B" w14:textId="77777777" w:rsidR="00C87DCA" w:rsidRPr="00C63860" w:rsidRDefault="00C87DCA" w:rsidP="00C87DCA">
            <w:pPr>
              <w:jc w:val="center"/>
              <w:rPr>
                <w:bCs/>
              </w:rPr>
            </w:pPr>
            <w:r w:rsidRPr="00C63860">
              <w:rPr>
                <w:bCs/>
              </w:rPr>
              <w:t>8,709 (6.5)</w:t>
            </w:r>
          </w:p>
        </w:tc>
      </w:tr>
    </w:tbl>
    <w:p w14:paraId="376D4D06" w14:textId="77777777" w:rsidR="00C87DCA" w:rsidRPr="00C63860" w:rsidRDefault="00C87DCA" w:rsidP="00C87DCA">
      <w:pPr>
        <w:spacing w:after="160" w:line="259" w:lineRule="auto"/>
        <w:rPr>
          <w:iCs/>
        </w:rPr>
      </w:pPr>
    </w:p>
    <w:p w14:paraId="19D195DF" w14:textId="77777777" w:rsidR="00C63860" w:rsidRPr="00C63860" w:rsidRDefault="00903112" w:rsidP="0020028A">
      <w:pPr>
        <w:spacing w:after="100" w:afterAutospacing="1" w:line="276" w:lineRule="auto"/>
      </w:pPr>
      <w:r w:rsidRPr="00C63860">
        <w:rPr>
          <w:iCs/>
        </w:rPr>
        <w:t xml:space="preserve">Patients </w:t>
      </w:r>
      <w:r w:rsidR="00114784" w:rsidRPr="00C63860">
        <w:rPr>
          <w:iCs/>
        </w:rPr>
        <w:t>who had</w:t>
      </w:r>
      <w:r w:rsidRPr="00C63860">
        <w:rPr>
          <w:iCs/>
        </w:rPr>
        <w:t xml:space="preserve"> NES strategies were also more likely to have comorbidities compared with patients </w:t>
      </w:r>
      <w:r w:rsidR="00114784" w:rsidRPr="00C63860">
        <w:rPr>
          <w:iCs/>
        </w:rPr>
        <w:t>who had</w:t>
      </w:r>
      <w:r w:rsidRPr="00C63860">
        <w:rPr>
          <w:iCs/>
        </w:rPr>
        <w:t xml:space="preserve"> ES. In the appendicitis cohort the percentage with two or more comorbidities was 1.7% </w:t>
      </w:r>
      <w:r w:rsidR="00114784" w:rsidRPr="00C63860">
        <w:rPr>
          <w:iCs/>
        </w:rPr>
        <w:t>for those who had</w:t>
      </w:r>
      <w:r w:rsidRPr="00C63860">
        <w:rPr>
          <w:iCs/>
        </w:rPr>
        <w:t xml:space="preserve"> ES versus 6.4% </w:t>
      </w:r>
      <w:r w:rsidR="00114784" w:rsidRPr="00C63860">
        <w:rPr>
          <w:iCs/>
        </w:rPr>
        <w:t>for</w:t>
      </w:r>
      <w:r w:rsidRPr="00C63860">
        <w:rPr>
          <w:iCs/>
        </w:rPr>
        <w:t xml:space="preserve"> NES strategies (equivalent figures are 5.7% versus 9.7% with cholelithiasis, 9.6% versus 11.8% with diverticular disease, 9.4% versus 12.3% with hernia, and 12.9% versus 17.3% with intestinal obstruction)</w:t>
      </w:r>
      <w:r w:rsidR="00E425D6" w:rsidRPr="00C63860">
        <w:rPr>
          <w:iCs/>
        </w:rPr>
        <w:t>.</w:t>
      </w:r>
    </w:p>
    <w:p w14:paraId="6943E434" w14:textId="7FC092ED" w:rsidR="007C747D" w:rsidRPr="00C63860" w:rsidRDefault="007C747D" w:rsidP="0020028A">
      <w:pPr>
        <w:spacing w:after="160" w:line="276" w:lineRule="auto"/>
        <w:rPr>
          <w:iCs/>
        </w:rPr>
      </w:pPr>
      <w:r w:rsidRPr="00C63860">
        <w:rPr>
          <w:iCs/>
        </w:rPr>
        <w:t xml:space="preserve">The association between patients categorised as frail using the SCARF index and </w:t>
      </w:r>
      <w:r w:rsidR="00114784" w:rsidRPr="00C63860">
        <w:rPr>
          <w:iCs/>
        </w:rPr>
        <w:t>having ES,</w:t>
      </w:r>
      <w:r w:rsidRPr="00C63860">
        <w:rPr>
          <w:iCs/>
        </w:rPr>
        <w:t xml:space="preserve"> did not follow the same pattern as comorbidity. In the appendicitis and cholelithiasis cohorts the patients </w:t>
      </w:r>
      <w:r w:rsidR="00114784" w:rsidRPr="00C63860">
        <w:rPr>
          <w:iCs/>
        </w:rPr>
        <w:t>who had ES</w:t>
      </w:r>
      <w:r w:rsidRPr="00C63860">
        <w:rPr>
          <w:iCs/>
        </w:rPr>
        <w:t xml:space="preserve"> were more likely to be categorised as fit</w:t>
      </w:r>
      <w:r w:rsidR="00E425D6" w:rsidRPr="00C63860">
        <w:rPr>
          <w:iCs/>
        </w:rPr>
        <w:t xml:space="preserve">, </w:t>
      </w:r>
      <w:r w:rsidRPr="00C63860">
        <w:rPr>
          <w:iCs/>
          <w:highlight w:val="magenta"/>
        </w:rPr>
        <w:t>compar</w:t>
      </w:r>
      <w:r w:rsidR="00114784" w:rsidRPr="00C63860">
        <w:rPr>
          <w:iCs/>
          <w:highlight w:val="magenta"/>
        </w:rPr>
        <w:t>ed to</w:t>
      </w:r>
      <w:r w:rsidR="00114784" w:rsidRPr="00C63860">
        <w:rPr>
          <w:iCs/>
        </w:rPr>
        <w:t xml:space="preserve"> those who had</w:t>
      </w:r>
      <w:r w:rsidRPr="00C63860">
        <w:rPr>
          <w:iCs/>
        </w:rPr>
        <w:t xml:space="preserve"> NES strategies. However, in the diverticular disease cohort, and to a lesser extent in the intestinal obstruction cohort, frailty was more common in patients </w:t>
      </w:r>
      <w:r w:rsidR="00114784" w:rsidRPr="00C63860">
        <w:rPr>
          <w:iCs/>
        </w:rPr>
        <w:t xml:space="preserve">who had </w:t>
      </w:r>
      <w:r w:rsidRPr="00C63860">
        <w:rPr>
          <w:iCs/>
        </w:rPr>
        <w:t xml:space="preserve">ES </w:t>
      </w:r>
      <w:r w:rsidR="00114784" w:rsidRPr="00C63860">
        <w:rPr>
          <w:iCs/>
        </w:rPr>
        <w:t xml:space="preserve">versus </w:t>
      </w:r>
      <w:r w:rsidRPr="00C63860">
        <w:rPr>
          <w:iCs/>
        </w:rPr>
        <w:t>NES strategies. Finally, the distribution of frailty in the hernia cohort was similar between ES and NES strategies.</w:t>
      </w:r>
    </w:p>
    <w:p w14:paraId="28BD40B7" w14:textId="0B845BAE" w:rsidR="00C63860" w:rsidRPr="00C63860" w:rsidRDefault="00C87DCA" w:rsidP="0020028A">
      <w:pPr>
        <w:spacing w:after="160" w:line="276" w:lineRule="auto"/>
        <w:rPr>
          <w:iCs/>
        </w:rPr>
      </w:pPr>
      <w:r w:rsidRPr="00C63860">
        <w:rPr>
          <w:iCs/>
        </w:rPr>
        <w:t>Further analysis of the association between patient characteristics and receipt of ES has been reported elsewhere.</w:t>
      </w:r>
      <w:r w:rsidR="004B50DD" w:rsidRPr="00C63860">
        <w:rPr>
          <w:iCs/>
          <w:noProof/>
          <w:vertAlign w:val="superscript"/>
        </w:rPr>
        <w:t>36</w:t>
      </w:r>
      <w:r w:rsidRPr="00C63860">
        <w:rPr>
          <w:iCs/>
        </w:rPr>
        <w:t xml:space="preserve"> The most common ES procedures for cohort patients in receipt of ES are listed in </w:t>
      </w:r>
      <w:r w:rsidR="00C63860" w:rsidRPr="00C63860">
        <w:rPr>
          <w:i/>
          <w:iCs/>
          <w:color w:val="FF0000"/>
        </w:rPr>
        <w:t>Table 6</w:t>
      </w:r>
      <w:r w:rsidRPr="00C63860">
        <w:rPr>
          <w:iCs/>
        </w:rPr>
        <w:t>.</w:t>
      </w:r>
    </w:p>
    <w:p w14:paraId="10BF7949" w14:textId="21F01197" w:rsidR="00C87DCA" w:rsidRPr="00C63860" w:rsidRDefault="00C63860" w:rsidP="00FA7C93">
      <w:pPr>
        <w:pStyle w:val="Caption"/>
        <w:keepNext/>
        <w:rPr>
          <w:b/>
          <w:bCs/>
          <w:color w:val="auto"/>
          <w:sz w:val="22"/>
          <w:szCs w:val="22"/>
        </w:rPr>
      </w:pPr>
      <w:bookmarkStart w:id="40" w:name="_Toc86670777"/>
      <w:bookmarkStart w:id="41" w:name="_Hlk71054890"/>
      <w:r w:rsidRPr="00C63860">
        <w:rPr>
          <w:b/>
          <w:bCs/>
          <w:color w:val="FF0000"/>
          <w:sz w:val="22"/>
          <w:szCs w:val="22"/>
        </w:rPr>
        <w:t xml:space="preserve">Table </w:t>
      </w:r>
      <w:r w:rsidRPr="00C63860">
        <w:rPr>
          <w:b/>
          <w:bCs/>
          <w:noProof/>
          <w:color w:val="FF0000"/>
          <w:sz w:val="22"/>
          <w:szCs w:val="22"/>
        </w:rPr>
        <w:t>5</w:t>
      </w:r>
      <w:r w:rsidR="00FA7C93" w:rsidRPr="00C63860">
        <w:rPr>
          <w:b/>
          <w:bCs/>
          <w:color w:val="auto"/>
          <w:sz w:val="22"/>
          <w:szCs w:val="22"/>
        </w:rPr>
        <w:t>: Patient characteristics of the five cohorts by emergency surgery (ES) and non-emergency surgery (NES) groups</w:t>
      </w:r>
      <w:bookmarkEnd w:id="40"/>
    </w:p>
    <w:bookmarkEnd w:id="41"/>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95"/>
        <w:gridCol w:w="861"/>
        <w:gridCol w:w="778"/>
        <w:gridCol w:w="778"/>
        <w:gridCol w:w="862"/>
        <w:gridCol w:w="778"/>
        <w:gridCol w:w="862"/>
        <w:gridCol w:w="778"/>
        <w:gridCol w:w="778"/>
        <w:gridCol w:w="778"/>
        <w:gridCol w:w="778"/>
      </w:tblGrid>
      <w:tr w:rsidR="00C87DCA" w:rsidRPr="00C63860" w14:paraId="4E3617BD" w14:textId="77777777" w:rsidTr="00C63860">
        <w:trPr>
          <w:cantSplit/>
        </w:trPr>
        <w:tc>
          <w:tcPr>
            <w:tcW w:w="0" w:type="auto"/>
            <w:shd w:val="clear" w:color="auto" w:fill="auto"/>
          </w:tcPr>
          <w:p w14:paraId="1C9CAEE0" w14:textId="77777777" w:rsidR="00C87DCA" w:rsidRPr="00C63860" w:rsidRDefault="00C87DCA" w:rsidP="00C87DCA">
            <w:pPr>
              <w:jc w:val="center"/>
              <w:rPr>
                <w:b/>
              </w:rPr>
            </w:pPr>
          </w:p>
        </w:tc>
        <w:tc>
          <w:tcPr>
            <w:tcW w:w="0" w:type="auto"/>
            <w:gridSpan w:val="2"/>
            <w:shd w:val="clear" w:color="auto" w:fill="auto"/>
            <w:hideMark/>
          </w:tcPr>
          <w:p w14:paraId="41ED9A8C" w14:textId="77777777" w:rsidR="00C87DCA" w:rsidRPr="00C63860" w:rsidRDefault="00C87DCA" w:rsidP="00C87DCA">
            <w:pPr>
              <w:jc w:val="center"/>
              <w:rPr>
                <w:b/>
              </w:rPr>
            </w:pPr>
            <w:r w:rsidRPr="00C63860">
              <w:rPr>
                <w:b/>
              </w:rPr>
              <w:t>Appendicitis</w:t>
            </w:r>
          </w:p>
          <w:p w14:paraId="534EB829" w14:textId="77777777" w:rsidR="00C87DCA" w:rsidRPr="00C63860" w:rsidRDefault="00C87DCA" w:rsidP="00C87DCA">
            <w:pPr>
              <w:jc w:val="center"/>
              <w:rPr>
                <w:b/>
              </w:rPr>
            </w:pPr>
            <w:r w:rsidRPr="00C63860">
              <w:rPr>
                <w:b/>
                <w:i/>
                <w:color w:val="00B0F0"/>
              </w:rPr>
              <w:t>n</w:t>
            </w:r>
            <w:r w:rsidRPr="00C63860">
              <w:rPr>
                <w:b/>
              </w:rPr>
              <w:t>=268,144</w:t>
            </w:r>
          </w:p>
        </w:tc>
        <w:tc>
          <w:tcPr>
            <w:tcW w:w="0" w:type="auto"/>
            <w:gridSpan w:val="2"/>
            <w:shd w:val="clear" w:color="auto" w:fill="auto"/>
            <w:hideMark/>
          </w:tcPr>
          <w:p w14:paraId="3AAEBC66" w14:textId="77777777" w:rsidR="00C63860" w:rsidRPr="00C63860" w:rsidRDefault="00C87DCA" w:rsidP="00C87DCA">
            <w:pPr>
              <w:jc w:val="center"/>
              <w:rPr>
                <w:b/>
              </w:rPr>
            </w:pPr>
            <w:r w:rsidRPr="00C63860">
              <w:rPr>
                <w:b/>
              </w:rPr>
              <w:t>Cholelithiasis</w:t>
            </w:r>
          </w:p>
          <w:p w14:paraId="149177A2" w14:textId="7C2536A8" w:rsidR="00C87DCA" w:rsidRPr="00C63860" w:rsidRDefault="00C87DCA" w:rsidP="00C87DCA">
            <w:pPr>
              <w:jc w:val="center"/>
              <w:rPr>
                <w:b/>
              </w:rPr>
            </w:pPr>
            <w:r w:rsidRPr="00C63860">
              <w:rPr>
                <w:b/>
                <w:i/>
                <w:color w:val="00B0F0"/>
              </w:rPr>
              <w:t>n</w:t>
            </w:r>
            <w:r w:rsidRPr="00C63860">
              <w:rPr>
                <w:b/>
              </w:rPr>
              <w:t>=240,977</w:t>
            </w:r>
          </w:p>
        </w:tc>
        <w:tc>
          <w:tcPr>
            <w:tcW w:w="0" w:type="auto"/>
            <w:gridSpan w:val="2"/>
            <w:shd w:val="clear" w:color="auto" w:fill="auto"/>
            <w:hideMark/>
          </w:tcPr>
          <w:p w14:paraId="2BA72DC3" w14:textId="77777777" w:rsidR="00C87DCA" w:rsidRPr="00C63860" w:rsidRDefault="00C87DCA" w:rsidP="00C87DCA">
            <w:pPr>
              <w:jc w:val="center"/>
              <w:rPr>
                <w:b/>
              </w:rPr>
            </w:pPr>
            <w:r w:rsidRPr="00C63860">
              <w:rPr>
                <w:b/>
              </w:rPr>
              <w:t>Diverticular disease</w:t>
            </w:r>
          </w:p>
          <w:p w14:paraId="47935640" w14:textId="77777777" w:rsidR="00C87DCA" w:rsidRPr="00C63860" w:rsidRDefault="00C87DCA" w:rsidP="00C87DCA">
            <w:pPr>
              <w:jc w:val="center"/>
              <w:rPr>
                <w:b/>
              </w:rPr>
            </w:pPr>
            <w:r w:rsidRPr="00C63860">
              <w:rPr>
                <w:b/>
                <w:i/>
                <w:color w:val="00B0F0"/>
              </w:rPr>
              <w:t>n</w:t>
            </w:r>
            <w:r w:rsidRPr="00C63860">
              <w:rPr>
                <w:b/>
              </w:rPr>
              <w:t>=138,869</w:t>
            </w:r>
          </w:p>
        </w:tc>
        <w:tc>
          <w:tcPr>
            <w:tcW w:w="0" w:type="auto"/>
            <w:gridSpan w:val="2"/>
            <w:shd w:val="clear" w:color="auto" w:fill="auto"/>
            <w:hideMark/>
          </w:tcPr>
          <w:p w14:paraId="7A60A8DE" w14:textId="77777777" w:rsidR="00C87DCA" w:rsidRPr="00C63860" w:rsidRDefault="00C87DCA" w:rsidP="00C87DCA">
            <w:pPr>
              <w:jc w:val="center"/>
              <w:rPr>
                <w:b/>
              </w:rPr>
            </w:pPr>
            <w:r w:rsidRPr="00C63860">
              <w:rPr>
                <w:b/>
              </w:rPr>
              <w:t>Hernia</w:t>
            </w:r>
          </w:p>
          <w:p w14:paraId="693B41C2" w14:textId="77777777" w:rsidR="00C87DCA" w:rsidRPr="00C63860" w:rsidRDefault="00C87DCA" w:rsidP="00C87DCA">
            <w:pPr>
              <w:jc w:val="center"/>
              <w:rPr>
                <w:b/>
              </w:rPr>
            </w:pPr>
            <w:r w:rsidRPr="00C63860">
              <w:rPr>
                <w:b/>
                <w:i/>
                <w:color w:val="00B0F0"/>
              </w:rPr>
              <w:t>n</w:t>
            </w:r>
            <w:r w:rsidRPr="00C63860">
              <w:rPr>
                <w:b/>
              </w:rPr>
              <w:t>=106,432</w:t>
            </w:r>
          </w:p>
        </w:tc>
        <w:tc>
          <w:tcPr>
            <w:tcW w:w="0" w:type="auto"/>
            <w:gridSpan w:val="2"/>
            <w:shd w:val="clear" w:color="auto" w:fill="auto"/>
            <w:hideMark/>
          </w:tcPr>
          <w:p w14:paraId="2156AC16" w14:textId="77777777" w:rsidR="00C87DCA" w:rsidRPr="00C63860" w:rsidRDefault="00C87DCA" w:rsidP="00C87DCA">
            <w:pPr>
              <w:jc w:val="center"/>
              <w:rPr>
                <w:b/>
              </w:rPr>
            </w:pPr>
            <w:r w:rsidRPr="00C63860">
              <w:rPr>
                <w:b/>
              </w:rPr>
              <w:t>Intestinal obstruction</w:t>
            </w:r>
          </w:p>
          <w:p w14:paraId="15147E18" w14:textId="77777777" w:rsidR="00C87DCA" w:rsidRPr="00C63860" w:rsidRDefault="00C87DCA" w:rsidP="00C87DCA">
            <w:pPr>
              <w:jc w:val="center"/>
              <w:rPr>
                <w:b/>
              </w:rPr>
            </w:pPr>
            <w:r w:rsidRPr="00C63860">
              <w:rPr>
                <w:b/>
                <w:i/>
                <w:color w:val="00B0F0"/>
              </w:rPr>
              <w:t>n</w:t>
            </w:r>
            <w:r w:rsidRPr="00C63860">
              <w:rPr>
                <w:b/>
              </w:rPr>
              <w:t>=133,073</w:t>
            </w:r>
          </w:p>
        </w:tc>
      </w:tr>
      <w:tr w:rsidR="00C87DCA" w:rsidRPr="00C63860" w14:paraId="3CEC1E17" w14:textId="77777777" w:rsidTr="00C63860">
        <w:trPr>
          <w:cantSplit/>
        </w:trPr>
        <w:tc>
          <w:tcPr>
            <w:tcW w:w="0" w:type="auto"/>
            <w:shd w:val="clear" w:color="auto" w:fill="auto"/>
          </w:tcPr>
          <w:p w14:paraId="0C399045" w14:textId="77777777" w:rsidR="00C87DCA" w:rsidRPr="00C63860" w:rsidRDefault="00C87DCA" w:rsidP="00C87DCA">
            <w:pPr>
              <w:rPr>
                <w:bCs/>
              </w:rPr>
            </w:pPr>
            <w:bookmarkStart w:id="42" w:name="_Hlk79410786"/>
          </w:p>
        </w:tc>
        <w:tc>
          <w:tcPr>
            <w:tcW w:w="0" w:type="auto"/>
            <w:shd w:val="clear" w:color="auto" w:fill="auto"/>
            <w:hideMark/>
          </w:tcPr>
          <w:p w14:paraId="17605C0B" w14:textId="77777777" w:rsidR="00C87DCA" w:rsidRPr="00C63860" w:rsidRDefault="00C87DCA" w:rsidP="00C87DCA">
            <w:pPr>
              <w:jc w:val="center"/>
              <w:rPr>
                <w:bCs/>
                <w:i/>
              </w:rPr>
            </w:pPr>
            <w:r w:rsidRPr="00C63860">
              <w:rPr>
                <w:bCs/>
                <w:i/>
              </w:rPr>
              <w:t>ES</w:t>
            </w:r>
          </w:p>
          <w:p w14:paraId="66B7D594" w14:textId="77777777" w:rsidR="00C87DCA" w:rsidRPr="00C63860" w:rsidRDefault="00C87DCA" w:rsidP="00C87DCA">
            <w:pPr>
              <w:jc w:val="center"/>
              <w:rPr>
                <w:bCs/>
                <w:i/>
              </w:rPr>
            </w:pPr>
            <w:r w:rsidRPr="00C63860">
              <w:rPr>
                <w:bCs/>
                <w:i/>
              </w:rPr>
              <w:t>n=247,506</w:t>
            </w:r>
          </w:p>
          <w:p w14:paraId="358988D3" w14:textId="77777777" w:rsidR="00C87DCA" w:rsidRPr="00C63860" w:rsidRDefault="00C87DCA" w:rsidP="00C87DCA">
            <w:pPr>
              <w:jc w:val="center"/>
              <w:rPr>
                <w:bCs/>
                <w:i/>
              </w:rPr>
            </w:pPr>
            <w:r w:rsidRPr="00C63860">
              <w:rPr>
                <w:bCs/>
                <w:i/>
              </w:rPr>
              <w:t>(92.3%)</w:t>
            </w:r>
          </w:p>
        </w:tc>
        <w:tc>
          <w:tcPr>
            <w:tcW w:w="0" w:type="auto"/>
            <w:shd w:val="clear" w:color="auto" w:fill="auto"/>
            <w:hideMark/>
          </w:tcPr>
          <w:p w14:paraId="7852DC5E" w14:textId="77777777" w:rsidR="00C87DCA" w:rsidRPr="00C63860" w:rsidRDefault="00C87DCA" w:rsidP="00C87DCA">
            <w:pPr>
              <w:jc w:val="center"/>
              <w:rPr>
                <w:bCs/>
                <w:i/>
              </w:rPr>
            </w:pPr>
            <w:r w:rsidRPr="00C63860">
              <w:rPr>
                <w:bCs/>
                <w:i/>
              </w:rPr>
              <w:t>NES</w:t>
            </w:r>
          </w:p>
          <w:p w14:paraId="1DDCFA90" w14:textId="77777777" w:rsidR="00C87DCA" w:rsidRPr="00C63860" w:rsidRDefault="00C87DCA" w:rsidP="00C87DCA">
            <w:pPr>
              <w:jc w:val="center"/>
              <w:rPr>
                <w:bCs/>
                <w:i/>
              </w:rPr>
            </w:pPr>
            <w:r w:rsidRPr="00C63860">
              <w:rPr>
                <w:bCs/>
                <w:i/>
              </w:rPr>
              <w:t>n=20,638</w:t>
            </w:r>
          </w:p>
          <w:p w14:paraId="418515E4" w14:textId="77777777" w:rsidR="00C87DCA" w:rsidRPr="00C63860" w:rsidRDefault="00C87DCA" w:rsidP="00C87DCA">
            <w:pPr>
              <w:jc w:val="center"/>
              <w:rPr>
                <w:bCs/>
                <w:i/>
              </w:rPr>
            </w:pPr>
            <w:r w:rsidRPr="00C63860">
              <w:rPr>
                <w:bCs/>
                <w:i/>
              </w:rPr>
              <w:t>(7.7%)</w:t>
            </w:r>
          </w:p>
        </w:tc>
        <w:tc>
          <w:tcPr>
            <w:tcW w:w="0" w:type="auto"/>
            <w:shd w:val="clear" w:color="auto" w:fill="auto"/>
            <w:hideMark/>
          </w:tcPr>
          <w:p w14:paraId="29A5B2C8" w14:textId="77777777" w:rsidR="00C87DCA" w:rsidRPr="00C63860" w:rsidRDefault="00C87DCA" w:rsidP="00C87DCA">
            <w:pPr>
              <w:jc w:val="center"/>
              <w:rPr>
                <w:bCs/>
                <w:i/>
              </w:rPr>
            </w:pPr>
            <w:r w:rsidRPr="00C63860">
              <w:rPr>
                <w:bCs/>
                <w:i/>
              </w:rPr>
              <w:t>ES</w:t>
            </w:r>
          </w:p>
          <w:p w14:paraId="54C86C29" w14:textId="77777777" w:rsidR="00C87DCA" w:rsidRPr="00C63860" w:rsidRDefault="00C87DCA" w:rsidP="00C87DCA">
            <w:pPr>
              <w:jc w:val="center"/>
              <w:rPr>
                <w:bCs/>
                <w:i/>
              </w:rPr>
            </w:pPr>
            <w:r w:rsidRPr="00C63860">
              <w:rPr>
                <w:bCs/>
                <w:i/>
              </w:rPr>
              <w:t>n=52,004</w:t>
            </w:r>
          </w:p>
          <w:p w14:paraId="27EA4201" w14:textId="77777777" w:rsidR="00C87DCA" w:rsidRPr="00C63860" w:rsidRDefault="00C87DCA" w:rsidP="00C87DCA">
            <w:pPr>
              <w:jc w:val="center"/>
              <w:rPr>
                <w:bCs/>
                <w:i/>
              </w:rPr>
            </w:pPr>
            <w:r w:rsidRPr="00C63860">
              <w:rPr>
                <w:bCs/>
                <w:i/>
              </w:rPr>
              <w:t>(21.6%)</w:t>
            </w:r>
          </w:p>
        </w:tc>
        <w:tc>
          <w:tcPr>
            <w:tcW w:w="0" w:type="auto"/>
            <w:shd w:val="clear" w:color="auto" w:fill="auto"/>
            <w:hideMark/>
          </w:tcPr>
          <w:p w14:paraId="60F2E36C" w14:textId="77777777" w:rsidR="00C87DCA" w:rsidRPr="00C63860" w:rsidRDefault="00C87DCA" w:rsidP="00C87DCA">
            <w:pPr>
              <w:jc w:val="center"/>
              <w:rPr>
                <w:bCs/>
                <w:i/>
              </w:rPr>
            </w:pPr>
            <w:r w:rsidRPr="00C63860">
              <w:rPr>
                <w:bCs/>
                <w:i/>
              </w:rPr>
              <w:t>NES</w:t>
            </w:r>
          </w:p>
          <w:p w14:paraId="610B95E0" w14:textId="77777777" w:rsidR="00C87DCA" w:rsidRPr="00C63860" w:rsidRDefault="00C87DCA" w:rsidP="00C87DCA">
            <w:pPr>
              <w:jc w:val="center"/>
              <w:rPr>
                <w:bCs/>
                <w:i/>
              </w:rPr>
            </w:pPr>
            <w:r w:rsidRPr="00C63860">
              <w:rPr>
                <w:bCs/>
                <w:i/>
              </w:rPr>
              <w:t>n=188,973</w:t>
            </w:r>
          </w:p>
          <w:p w14:paraId="1481A4F1" w14:textId="77777777" w:rsidR="00C87DCA" w:rsidRPr="00C63860" w:rsidRDefault="00C87DCA" w:rsidP="00C87DCA">
            <w:pPr>
              <w:jc w:val="center"/>
              <w:rPr>
                <w:bCs/>
                <w:i/>
              </w:rPr>
            </w:pPr>
            <w:r w:rsidRPr="00C63860">
              <w:rPr>
                <w:bCs/>
                <w:i/>
              </w:rPr>
              <w:t>(78.4%)</w:t>
            </w:r>
          </w:p>
        </w:tc>
        <w:tc>
          <w:tcPr>
            <w:tcW w:w="0" w:type="auto"/>
            <w:shd w:val="clear" w:color="auto" w:fill="auto"/>
            <w:hideMark/>
          </w:tcPr>
          <w:p w14:paraId="4CA180F9" w14:textId="77777777" w:rsidR="00C87DCA" w:rsidRPr="00C63860" w:rsidRDefault="00C87DCA" w:rsidP="00C87DCA">
            <w:pPr>
              <w:jc w:val="center"/>
              <w:rPr>
                <w:bCs/>
                <w:i/>
              </w:rPr>
            </w:pPr>
            <w:r w:rsidRPr="00C63860">
              <w:rPr>
                <w:bCs/>
                <w:i/>
              </w:rPr>
              <w:t>ES</w:t>
            </w:r>
          </w:p>
          <w:p w14:paraId="6ADDBEF9" w14:textId="77777777" w:rsidR="00C87DCA" w:rsidRPr="00C63860" w:rsidRDefault="00C87DCA" w:rsidP="00C87DCA">
            <w:pPr>
              <w:jc w:val="center"/>
              <w:rPr>
                <w:bCs/>
                <w:i/>
              </w:rPr>
            </w:pPr>
            <w:r w:rsidRPr="00C63860">
              <w:rPr>
                <w:bCs/>
                <w:i/>
              </w:rPr>
              <w:t>n=15,772</w:t>
            </w:r>
          </w:p>
          <w:p w14:paraId="57F45396" w14:textId="77777777" w:rsidR="00C87DCA" w:rsidRPr="00C63860" w:rsidRDefault="00C87DCA" w:rsidP="00C87DCA">
            <w:pPr>
              <w:jc w:val="center"/>
              <w:rPr>
                <w:bCs/>
                <w:i/>
              </w:rPr>
            </w:pPr>
            <w:r w:rsidRPr="00C63860">
              <w:rPr>
                <w:bCs/>
                <w:i/>
              </w:rPr>
              <w:t>(11.4%)</w:t>
            </w:r>
          </w:p>
        </w:tc>
        <w:tc>
          <w:tcPr>
            <w:tcW w:w="0" w:type="auto"/>
            <w:shd w:val="clear" w:color="auto" w:fill="auto"/>
            <w:hideMark/>
          </w:tcPr>
          <w:p w14:paraId="53378885" w14:textId="77777777" w:rsidR="00C87DCA" w:rsidRPr="00C63860" w:rsidRDefault="00C87DCA" w:rsidP="00C87DCA">
            <w:pPr>
              <w:jc w:val="center"/>
              <w:rPr>
                <w:bCs/>
                <w:i/>
              </w:rPr>
            </w:pPr>
            <w:r w:rsidRPr="00C63860">
              <w:rPr>
                <w:bCs/>
                <w:i/>
              </w:rPr>
              <w:t>NES</w:t>
            </w:r>
          </w:p>
          <w:p w14:paraId="147D26CB" w14:textId="77777777" w:rsidR="00C87DCA" w:rsidRPr="00C63860" w:rsidRDefault="00C87DCA" w:rsidP="00C87DCA">
            <w:pPr>
              <w:jc w:val="center"/>
              <w:rPr>
                <w:bCs/>
                <w:i/>
              </w:rPr>
            </w:pPr>
            <w:r w:rsidRPr="00C63860">
              <w:rPr>
                <w:bCs/>
                <w:i/>
              </w:rPr>
              <w:t>n=123,097</w:t>
            </w:r>
          </w:p>
          <w:p w14:paraId="2045F05F" w14:textId="77777777" w:rsidR="00C87DCA" w:rsidRPr="00C63860" w:rsidRDefault="00C87DCA" w:rsidP="00C87DCA">
            <w:pPr>
              <w:jc w:val="center"/>
              <w:rPr>
                <w:bCs/>
                <w:i/>
              </w:rPr>
            </w:pPr>
            <w:r w:rsidRPr="00C63860">
              <w:rPr>
                <w:bCs/>
                <w:i/>
              </w:rPr>
              <w:t>(88.6%)</w:t>
            </w:r>
          </w:p>
        </w:tc>
        <w:tc>
          <w:tcPr>
            <w:tcW w:w="0" w:type="auto"/>
            <w:shd w:val="clear" w:color="auto" w:fill="auto"/>
            <w:hideMark/>
          </w:tcPr>
          <w:p w14:paraId="36232FF3" w14:textId="77777777" w:rsidR="00C87DCA" w:rsidRPr="00C63860" w:rsidRDefault="00C87DCA" w:rsidP="00C87DCA">
            <w:pPr>
              <w:jc w:val="center"/>
              <w:rPr>
                <w:bCs/>
                <w:i/>
              </w:rPr>
            </w:pPr>
            <w:r w:rsidRPr="00C63860">
              <w:rPr>
                <w:bCs/>
                <w:i/>
              </w:rPr>
              <w:t>ES</w:t>
            </w:r>
          </w:p>
          <w:p w14:paraId="7EF34308" w14:textId="77777777" w:rsidR="00C87DCA" w:rsidRPr="00C63860" w:rsidRDefault="00C87DCA" w:rsidP="00C87DCA">
            <w:pPr>
              <w:jc w:val="center"/>
              <w:rPr>
                <w:bCs/>
                <w:i/>
              </w:rPr>
            </w:pPr>
            <w:r w:rsidRPr="00C63860">
              <w:rPr>
                <w:bCs/>
                <w:i/>
              </w:rPr>
              <w:t>n=62,559</w:t>
            </w:r>
          </w:p>
          <w:p w14:paraId="555F8E3B" w14:textId="77777777" w:rsidR="00C87DCA" w:rsidRPr="00C63860" w:rsidRDefault="00C87DCA" w:rsidP="00C87DCA">
            <w:pPr>
              <w:jc w:val="center"/>
              <w:rPr>
                <w:bCs/>
                <w:i/>
              </w:rPr>
            </w:pPr>
            <w:r w:rsidRPr="00C63860">
              <w:rPr>
                <w:bCs/>
                <w:i/>
              </w:rPr>
              <w:t>(58.8%)</w:t>
            </w:r>
          </w:p>
        </w:tc>
        <w:tc>
          <w:tcPr>
            <w:tcW w:w="0" w:type="auto"/>
            <w:shd w:val="clear" w:color="auto" w:fill="auto"/>
            <w:hideMark/>
          </w:tcPr>
          <w:p w14:paraId="4DE03EE1" w14:textId="77777777" w:rsidR="00C87DCA" w:rsidRPr="00C63860" w:rsidRDefault="00C87DCA" w:rsidP="00C87DCA">
            <w:pPr>
              <w:jc w:val="center"/>
              <w:rPr>
                <w:bCs/>
                <w:i/>
              </w:rPr>
            </w:pPr>
            <w:r w:rsidRPr="00C63860">
              <w:rPr>
                <w:bCs/>
                <w:i/>
              </w:rPr>
              <w:t>NES</w:t>
            </w:r>
          </w:p>
          <w:p w14:paraId="2ED92896" w14:textId="77777777" w:rsidR="00C87DCA" w:rsidRPr="00C63860" w:rsidRDefault="00C87DCA" w:rsidP="00C87DCA">
            <w:pPr>
              <w:jc w:val="center"/>
              <w:rPr>
                <w:bCs/>
                <w:i/>
              </w:rPr>
            </w:pPr>
            <w:r w:rsidRPr="00C63860">
              <w:rPr>
                <w:bCs/>
                <w:i/>
              </w:rPr>
              <w:t>n=43,873 (41.2%)</w:t>
            </w:r>
          </w:p>
        </w:tc>
        <w:tc>
          <w:tcPr>
            <w:tcW w:w="0" w:type="auto"/>
            <w:shd w:val="clear" w:color="auto" w:fill="auto"/>
            <w:hideMark/>
          </w:tcPr>
          <w:p w14:paraId="5BF6DD14" w14:textId="77777777" w:rsidR="00C87DCA" w:rsidRPr="00C63860" w:rsidRDefault="00C87DCA" w:rsidP="00C87DCA">
            <w:pPr>
              <w:jc w:val="center"/>
              <w:rPr>
                <w:bCs/>
                <w:i/>
              </w:rPr>
            </w:pPr>
            <w:r w:rsidRPr="00C63860">
              <w:rPr>
                <w:bCs/>
                <w:i/>
              </w:rPr>
              <w:t>ES</w:t>
            </w:r>
          </w:p>
          <w:p w14:paraId="786E6480" w14:textId="77777777" w:rsidR="00C63860" w:rsidRPr="00C63860" w:rsidRDefault="00C87DCA" w:rsidP="00C87DCA">
            <w:pPr>
              <w:jc w:val="center"/>
              <w:rPr>
                <w:bCs/>
                <w:i/>
              </w:rPr>
            </w:pPr>
            <w:r w:rsidRPr="00C63860">
              <w:rPr>
                <w:bCs/>
                <w:i/>
              </w:rPr>
              <w:t>n=40,550</w:t>
            </w:r>
          </w:p>
          <w:p w14:paraId="267D6F85" w14:textId="5C7E6826" w:rsidR="00C87DCA" w:rsidRPr="00C63860" w:rsidRDefault="00C87DCA" w:rsidP="00C87DCA">
            <w:pPr>
              <w:jc w:val="center"/>
              <w:rPr>
                <w:bCs/>
                <w:i/>
              </w:rPr>
            </w:pPr>
            <w:r w:rsidRPr="00C63860">
              <w:rPr>
                <w:bCs/>
                <w:i/>
              </w:rPr>
              <w:t>(30.5%)</w:t>
            </w:r>
          </w:p>
        </w:tc>
        <w:tc>
          <w:tcPr>
            <w:tcW w:w="0" w:type="auto"/>
            <w:shd w:val="clear" w:color="auto" w:fill="auto"/>
            <w:hideMark/>
          </w:tcPr>
          <w:p w14:paraId="352C134A" w14:textId="77777777" w:rsidR="00C87DCA" w:rsidRPr="00C63860" w:rsidRDefault="00C87DCA" w:rsidP="00C87DCA">
            <w:pPr>
              <w:jc w:val="center"/>
              <w:rPr>
                <w:bCs/>
                <w:i/>
              </w:rPr>
            </w:pPr>
            <w:r w:rsidRPr="00C63860">
              <w:rPr>
                <w:bCs/>
                <w:i/>
              </w:rPr>
              <w:t>NES</w:t>
            </w:r>
          </w:p>
          <w:p w14:paraId="76ECCCC7" w14:textId="77777777" w:rsidR="00C87DCA" w:rsidRPr="00C63860" w:rsidRDefault="00C87DCA" w:rsidP="00C87DCA">
            <w:pPr>
              <w:jc w:val="center"/>
              <w:rPr>
                <w:bCs/>
                <w:i/>
              </w:rPr>
            </w:pPr>
            <w:r w:rsidRPr="00C63860">
              <w:rPr>
                <w:bCs/>
                <w:i/>
              </w:rPr>
              <w:t>n=92,523</w:t>
            </w:r>
          </w:p>
          <w:p w14:paraId="7578F8C2" w14:textId="77777777" w:rsidR="00C87DCA" w:rsidRPr="00C63860" w:rsidRDefault="00C87DCA" w:rsidP="00C87DCA">
            <w:pPr>
              <w:jc w:val="center"/>
              <w:rPr>
                <w:bCs/>
                <w:i/>
              </w:rPr>
            </w:pPr>
            <w:r w:rsidRPr="00C63860">
              <w:rPr>
                <w:bCs/>
                <w:i/>
              </w:rPr>
              <w:t>(69.5%)</w:t>
            </w:r>
          </w:p>
        </w:tc>
        <w:bookmarkEnd w:id="42"/>
      </w:tr>
      <w:tr w:rsidR="00C87DCA" w:rsidRPr="00C63860" w14:paraId="48F22D51" w14:textId="77777777" w:rsidTr="00C63860">
        <w:trPr>
          <w:cantSplit/>
        </w:trPr>
        <w:tc>
          <w:tcPr>
            <w:tcW w:w="0" w:type="auto"/>
            <w:shd w:val="clear" w:color="auto" w:fill="auto"/>
            <w:hideMark/>
          </w:tcPr>
          <w:p w14:paraId="494B3CAF" w14:textId="77777777" w:rsidR="00C87DCA" w:rsidRPr="00C63860" w:rsidRDefault="00C87DCA" w:rsidP="00C87DCA">
            <w:pPr>
              <w:rPr>
                <w:b/>
                <w:bCs/>
              </w:rPr>
            </w:pPr>
            <w:r w:rsidRPr="00C63860">
              <w:rPr>
                <w:b/>
                <w:bCs/>
              </w:rPr>
              <w:t xml:space="preserve">Female, </w:t>
            </w:r>
            <w:r w:rsidRPr="00C63860">
              <w:rPr>
                <w:b/>
                <w:bCs/>
                <w:i/>
                <w:color w:val="00B0F0"/>
              </w:rPr>
              <w:t>n</w:t>
            </w:r>
            <w:r w:rsidRPr="00C63860">
              <w:rPr>
                <w:b/>
                <w:bCs/>
              </w:rPr>
              <w:t xml:space="preserve"> (%) </w:t>
            </w:r>
          </w:p>
        </w:tc>
        <w:tc>
          <w:tcPr>
            <w:tcW w:w="0" w:type="auto"/>
            <w:shd w:val="clear" w:color="auto" w:fill="auto"/>
            <w:hideMark/>
          </w:tcPr>
          <w:p w14:paraId="6663E7BA" w14:textId="77777777" w:rsidR="00C87DCA" w:rsidRPr="00C63860" w:rsidRDefault="00C87DCA" w:rsidP="00C87DCA">
            <w:pPr>
              <w:jc w:val="center"/>
              <w:rPr>
                <w:bCs/>
              </w:rPr>
            </w:pPr>
            <w:r w:rsidRPr="00C63860">
              <w:rPr>
                <w:bCs/>
              </w:rPr>
              <w:t>113,224 (45.8)</w:t>
            </w:r>
          </w:p>
        </w:tc>
        <w:tc>
          <w:tcPr>
            <w:tcW w:w="0" w:type="auto"/>
            <w:shd w:val="clear" w:color="auto" w:fill="auto"/>
            <w:hideMark/>
          </w:tcPr>
          <w:p w14:paraId="21BDC8D4" w14:textId="77777777" w:rsidR="00C87DCA" w:rsidRPr="00C63860" w:rsidRDefault="00C87DCA" w:rsidP="00C87DCA">
            <w:pPr>
              <w:jc w:val="center"/>
              <w:rPr>
                <w:bCs/>
              </w:rPr>
            </w:pPr>
            <w:r w:rsidRPr="00C63860">
              <w:rPr>
                <w:bCs/>
              </w:rPr>
              <w:t>10,228</w:t>
            </w:r>
          </w:p>
          <w:p w14:paraId="08CE22F8" w14:textId="77777777" w:rsidR="00C87DCA" w:rsidRPr="00C63860" w:rsidRDefault="00C87DCA" w:rsidP="00C87DCA">
            <w:pPr>
              <w:jc w:val="center"/>
              <w:rPr>
                <w:bCs/>
              </w:rPr>
            </w:pPr>
            <w:r w:rsidRPr="00C63860">
              <w:rPr>
                <w:bCs/>
              </w:rPr>
              <w:t>(49.6)</w:t>
            </w:r>
          </w:p>
        </w:tc>
        <w:tc>
          <w:tcPr>
            <w:tcW w:w="0" w:type="auto"/>
            <w:shd w:val="clear" w:color="auto" w:fill="auto"/>
            <w:hideMark/>
          </w:tcPr>
          <w:p w14:paraId="67202F2D" w14:textId="77777777" w:rsidR="00C87DCA" w:rsidRPr="00C63860" w:rsidRDefault="00C87DCA" w:rsidP="00C87DCA">
            <w:pPr>
              <w:jc w:val="center"/>
              <w:rPr>
                <w:bCs/>
              </w:rPr>
            </w:pPr>
            <w:r w:rsidRPr="00C63860">
              <w:rPr>
                <w:bCs/>
              </w:rPr>
              <w:t>36,864</w:t>
            </w:r>
          </w:p>
          <w:p w14:paraId="58BEBC32" w14:textId="77777777" w:rsidR="00C87DCA" w:rsidRPr="00C63860" w:rsidRDefault="00C87DCA" w:rsidP="00C87DCA">
            <w:pPr>
              <w:jc w:val="center"/>
              <w:rPr>
                <w:bCs/>
              </w:rPr>
            </w:pPr>
            <w:r w:rsidRPr="00C63860">
              <w:rPr>
                <w:bCs/>
              </w:rPr>
              <w:t>(70.9)</w:t>
            </w:r>
          </w:p>
        </w:tc>
        <w:tc>
          <w:tcPr>
            <w:tcW w:w="0" w:type="auto"/>
            <w:shd w:val="clear" w:color="auto" w:fill="auto"/>
            <w:hideMark/>
          </w:tcPr>
          <w:p w14:paraId="2846A4C1" w14:textId="77777777" w:rsidR="00C87DCA" w:rsidRPr="00C63860" w:rsidRDefault="00C87DCA" w:rsidP="00C87DCA">
            <w:pPr>
              <w:jc w:val="center"/>
              <w:rPr>
                <w:bCs/>
              </w:rPr>
            </w:pPr>
            <w:r w:rsidRPr="00C63860">
              <w:rPr>
                <w:bCs/>
              </w:rPr>
              <w:t>125,927</w:t>
            </w:r>
          </w:p>
          <w:p w14:paraId="392B4ABE" w14:textId="77777777" w:rsidR="00C87DCA" w:rsidRPr="00C63860" w:rsidRDefault="00C87DCA" w:rsidP="00C87DCA">
            <w:pPr>
              <w:jc w:val="center"/>
              <w:rPr>
                <w:bCs/>
              </w:rPr>
            </w:pPr>
            <w:r w:rsidRPr="00C63860">
              <w:rPr>
                <w:bCs/>
              </w:rPr>
              <w:t>(66.6)</w:t>
            </w:r>
          </w:p>
        </w:tc>
        <w:tc>
          <w:tcPr>
            <w:tcW w:w="0" w:type="auto"/>
            <w:shd w:val="clear" w:color="auto" w:fill="auto"/>
            <w:hideMark/>
          </w:tcPr>
          <w:p w14:paraId="4CDF3191" w14:textId="77777777" w:rsidR="00C87DCA" w:rsidRPr="00C63860" w:rsidRDefault="00C87DCA" w:rsidP="00C87DCA">
            <w:pPr>
              <w:jc w:val="center"/>
              <w:rPr>
                <w:bCs/>
              </w:rPr>
            </w:pPr>
            <w:r w:rsidRPr="00C63860">
              <w:rPr>
                <w:bCs/>
              </w:rPr>
              <w:t>8,698</w:t>
            </w:r>
          </w:p>
          <w:p w14:paraId="297D59A6" w14:textId="77777777" w:rsidR="00C87DCA" w:rsidRPr="00C63860" w:rsidRDefault="00C87DCA" w:rsidP="00C87DCA">
            <w:pPr>
              <w:jc w:val="center"/>
              <w:rPr>
                <w:bCs/>
              </w:rPr>
            </w:pPr>
            <w:r w:rsidRPr="00C63860">
              <w:rPr>
                <w:bCs/>
              </w:rPr>
              <w:t>(55.2)</w:t>
            </w:r>
          </w:p>
        </w:tc>
        <w:tc>
          <w:tcPr>
            <w:tcW w:w="0" w:type="auto"/>
            <w:shd w:val="clear" w:color="auto" w:fill="auto"/>
            <w:hideMark/>
          </w:tcPr>
          <w:p w14:paraId="48E50434" w14:textId="77777777" w:rsidR="00C87DCA" w:rsidRPr="00C63860" w:rsidRDefault="00C87DCA" w:rsidP="00C87DCA">
            <w:pPr>
              <w:jc w:val="center"/>
              <w:rPr>
                <w:bCs/>
              </w:rPr>
            </w:pPr>
            <w:r w:rsidRPr="00C63860">
              <w:rPr>
                <w:bCs/>
              </w:rPr>
              <w:t>73,172</w:t>
            </w:r>
          </w:p>
          <w:p w14:paraId="14DF22FF" w14:textId="77777777" w:rsidR="00C87DCA" w:rsidRPr="00C63860" w:rsidRDefault="00C87DCA" w:rsidP="00C87DCA">
            <w:pPr>
              <w:jc w:val="center"/>
              <w:rPr>
                <w:bCs/>
              </w:rPr>
            </w:pPr>
            <w:r w:rsidRPr="00C63860">
              <w:rPr>
                <w:bCs/>
              </w:rPr>
              <w:t>(59.4)</w:t>
            </w:r>
          </w:p>
        </w:tc>
        <w:tc>
          <w:tcPr>
            <w:tcW w:w="0" w:type="auto"/>
            <w:shd w:val="clear" w:color="auto" w:fill="auto"/>
            <w:hideMark/>
          </w:tcPr>
          <w:p w14:paraId="4F4E5DE3" w14:textId="77777777" w:rsidR="00C87DCA" w:rsidRPr="00C63860" w:rsidRDefault="00C87DCA" w:rsidP="00C87DCA">
            <w:pPr>
              <w:jc w:val="center"/>
              <w:rPr>
                <w:bCs/>
              </w:rPr>
            </w:pPr>
            <w:r w:rsidRPr="00C63860">
              <w:rPr>
                <w:bCs/>
              </w:rPr>
              <w:t>25,035</w:t>
            </w:r>
          </w:p>
          <w:p w14:paraId="0C74B1B9" w14:textId="77777777" w:rsidR="00C87DCA" w:rsidRPr="00C63860" w:rsidRDefault="00C87DCA" w:rsidP="00C87DCA">
            <w:pPr>
              <w:jc w:val="center"/>
              <w:rPr>
                <w:bCs/>
              </w:rPr>
            </w:pPr>
            <w:r w:rsidRPr="00C63860">
              <w:rPr>
                <w:bCs/>
              </w:rPr>
              <w:t>(40.0)</w:t>
            </w:r>
          </w:p>
        </w:tc>
        <w:tc>
          <w:tcPr>
            <w:tcW w:w="0" w:type="auto"/>
            <w:shd w:val="clear" w:color="auto" w:fill="auto"/>
            <w:hideMark/>
          </w:tcPr>
          <w:p w14:paraId="73D2BB07" w14:textId="77777777" w:rsidR="00C87DCA" w:rsidRPr="00C63860" w:rsidRDefault="00C87DCA" w:rsidP="00C87DCA">
            <w:pPr>
              <w:jc w:val="center"/>
              <w:rPr>
                <w:bCs/>
              </w:rPr>
            </w:pPr>
            <w:r w:rsidRPr="00C63860">
              <w:rPr>
                <w:bCs/>
              </w:rPr>
              <w:t>12,530</w:t>
            </w:r>
          </w:p>
          <w:p w14:paraId="765DFDEA" w14:textId="77777777" w:rsidR="00C87DCA" w:rsidRPr="00C63860" w:rsidRDefault="00C87DCA" w:rsidP="00C87DCA">
            <w:pPr>
              <w:jc w:val="center"/>
              <w:rPr>
                <w:bCs/>
              </w:rPr>
            </w:pPr>
            <w:r w:rsidRPr="00C63860">
              <w:rPr>
                <w:bCs/>
              </w:rPr>
              <w:t>(28.6)</w:t>
            </w:r>
          </w:p>
        </w:tc>
        <w:tc>
          <w:tcPr>
            <w:tcW w:w="0" w:type="auto"/>
            <w:shd w:val="clear" w:color="auto" w:fill="auto"/>
            <w:hideMark/>
          </w:tcPr>
          <w:p w14:paraId="0EE2FC50" w14:textId="77777777" w:rsidR="00C87DCA" w:rsidRPr="00C63860" w:rsidRDefault="00C87DCA" w:rsidP="00C87DCA">
            <w:pPr>
              <w:jc w:val="center"/>
              <w:rPr>
                <w:bCs/>
              </w:rPr>
            </w:pPr>
            <w:r w:rsidRPr="00C63860">
              <w:rPr>
                <w:bCs/>
              </w:rPr>
              <w:t>23,269</w:t>
            </w:r>
          </w:p>
          <w:p w14:paraId="34F637BE" w14:textId="77777777" w:rsidR="00C87DCA" w:rsidRPr="00C63860" w:rsidRDefault="00C87DCA" w:rsidP="00C87DCA">
            <w:pPr>
              <w:jc w:val="center"/>
              <w:rPr>
                <w:bCs/>
              </w:rPr>
            </w:pPr>
            <w:r w:rsidRPr="00C63860">
              <w:rPr>
                <w:bCs/>
              </w:rPr>
              <w:t>(57.4)</w:t>
            </w:r>
          </w:p>
        </w:tc>
        <w:tc>
          <w:tcPr>
            <w:tcW w:w="0" w:type="auto"/>
            <w:shd w:val="clear" w:color="auto" w:fill="auto"/>
            <w:hideMark/>
          </w:tcPr>
          <w:p w14:paraId="64C55414" w14:textId="77777777" w:rsidR="00C87DCA" w:rsidRPr="00C63860" w:rsidRDefault="00C87DCA" w:rsidP="00C87DCA">
            <w:pPr>
              <w:jc w:val="center"/>
              <w:rPr>
                <w:bCs/>
              </w:rPr>
            </w:pPr>
            <w:r w:rsidRPr="00C63860">
              <w:rPr>
                <w:bCs/>
              </w:rPr>
              <w:t>46,708</w:t>
            </w:r>
          </w:p>
          <w:p w14:paraId="01377E3A" w14:textId="77777777" w:rsidR="00C87DCA" w:rsidRPr="00C63860" w:rsidRDefault="00C87DCA" w:rsidP="00C87DCA">
            <w:pPr>
              <w:jc w:val="center"/>
              <w:rPr>
                <w:bCs/>
              </w:rPr>
            </w:pPr>
            <w:r w:rsidRPr="00C63860">
              <w:rPr>
                <w:bCs/>
              </w:rPr>
              <w:t>(50.5)</w:t>
            </w:r>
          </w:p>
        </w:tc>
      </w:tr>
      <w:tr w:rsidR="00C87DCA" w:rsidRPr="00C63860" w14:paraId="7C3D6220" w14:textId="77777777" w:rsidTr="00C63860">
        <w:trPr>
          <w:cantSplit/>
        </w:trPr>
        <w:tc>
          <w:tcPr>
            <w:tcW w:w="0" w:type="auto"/>
            <w:shd w:val="clear" w:color="auto" w:fill="auto"/>
          </w:tcPr>
          <w:p w14:paraId="0DC169C0" w14:textId="6ED689FF" w:rsidR="00C87DCA" w:rsidRPr="00C63860" w:rsidRDefault="00C87DCA" w:rsidP="00C87DCA"/>
        </w:tc>
        <w:tc>
          <w:tcPr>
            <w:tcW w:w="0" w:type="auto"/>
            <w:shd w:val="clear" w:color="auto" w:fill="auto"/>
          </w:tcPr>
          <w:p w14:paraId="5002AA37" w14:textId="2B65EDD8" w:rsidR="00C87DCA" w:rsidRPr="00C63860" w:rsidRDefault="00C87DCA" w:rsidP="00C87DCA">
            <w:pPr>
              <w:jc w:val="center"/>
            </w:pPr>
          </w:p>
        </w:tc>
        <w:tc>
          <w:tcPr>
            <w:tcW w:w="0" w:type="auto"/>
            <w:shd w:val="clear" w:color="auto" w:fill="auto"/>
          </w:tcPr>
          <w:p w14:paraId="1148D40E" w14:textId="1CC198B3" w:rsidR="00C87DCA" w:rsidRPr="00C63860" w:rsidRDefault="00C87DCA" w:rsidP="00C87DCA">
            <w:pPr>
              <w:jc w:val="center"/>
            </w:pPr>
          </w:p>
        </w:tc>
        <w:tc>
          <w:tcPr>
            <w:tcW w:w="0" w:type="auto"/>
            <w:shd w:val="clear" w:color="auto" w:fill="auto"/>
          </w:tcPr>
          <w:p w14:paraId="31FBC8EC" w14:textId="39743F1E" w:rsidR="00C87DCA" w:rsidRPr="00C63860" w:rsidRDefault="00C87DCA" w:rsidP="00C87DCA">
            <w:pPr>
              <w:jc w:val="center"/>
            </w:pPr>
          </w:p>
        </w:tc>
        <w:tc>
          <w:tcPr>
            <w:tcW w:w="0" w:type="auto"/>
            <w:shd w:val="clear" w:color="auto" w:fill="auto"/>
          </w:tcPr>
          <w:p w14:paraId="2357C32D" w14:textId="63F4038C" w:rsidR="00C87DCA" w:rsidRPr="00C63860" w:rsidRDefault="00C87DCA" w:rsidP="00C87DCA">
            <w:pPr>
              <w:jc w:val="center"/>
            </w:pPr>
          </w:p>
        </w:tc>
        <w:tc>
          <w:tcPr>
            <w:tcW w:w="0" w:type="auto"/>
            <w:shd w:val="clear" w:color="auto" w:fill="auto"/>
          </w:tcPr>
          <w:p w14:paraId="78E76D16" w14:textId="111A2498" w:rsidR="00C87DCA" w:rsidRPr="00C63860" w:rsidRDefault="00C87DCA" w:rsidP="00C87DCA">
            <w:pPr>
              <w:jc w:val="center"/>
            </w:pPr>
          </w:p>
        </w:tc>
        <w:tc>
          <w:tcPr>
            <w:tcW w:w="0" w:type="auto"/>
            <w:shd w:val="clear" w:color="auto" w:fill="auto"/>
          </w:tcPr>
          <w:p w14:paraId="6150D9BB" w14:textId="44E4836C" w:rsidR="00C87DCA" w:rsidRPr="00C63860" w:rsidRDefault="00C87DCA" w:rsidP="00C87DCA">
            <w:pPr>
              <w:jc w:val="center"/>
            </w:pPr>
          </w:p>
        </w:tc>
        <w:tc>
          <w:tcPr>
            <w:tcW w:w="0" w:type="auto"/>
            <w:shd w:val="clear" w:color="auto" w:fill="auto"/>
          </w:tcPr>
          <w:p w14:paraId="75BDB4C5" w14:textId="6F4B1075" w:rsidR="00C87DCA" w:rsidRPr="00C63860" w:rsidRDefault="00C87DCA" w:rsidP="00C87DCA">
            <w:pPr>
              <w:jc w:val="center"/>
            </w:pPr>
          </w:p>
        </w:tc>
        <w:tc>
          <w:tcPr>
            <w:tcW w:w="0" w:type="auto"/>
            <w:shd w:val="clear" w:color="auto" w:fill="auto"/>
          </w:tcPr>
          <w:p w14:paraId="09CCE19B" w14:textId="59D411E5" w:rsidR="00C87DCA" w:rsidRPr="00C63860" w:rsidRDefault="00C87DCA" w:rsidP="00C87DCA">
            <w:pPr>
              <w:jc w:val="center"/>
            </w:pPr>
          </w:p>
        </w:tc>
        <w:tc>
          <w:tcPr>
            <w:tcW w:w="0" w:type="auto"/>
            <w:shd w:val="clear" w:color="auto" w:fill="auto"/>
          </w:tcPr>
          <w:p w14:paraId="13F7AA7D" w14:textId="68BA60BC" w:rsidR="00C87DCA" w:rsidRPr="00C63860" w:rsidRDefault="00C87DCA" w:rsidP="00C87DCA">
            <w:pPr>
              <w:jc w:val="center"/>
            </w:pPr>
          </w:p>
        </w:tc>
        <w:tc>
          <w:tcPr>
            <w:tcW w:w="0" w:type="auto"/>
            <w:shd w:val="clear" w:color="auto" w:fill="auto"/>
          </w:tcPr>
          <w:p w14:paraId="1F543336" w14:textId="565515CE" w:rsidR="00C87DCA" w:rsidRPr="00C63860" w:rsidRDefault="00C87DCA" w:rsidP="00C87DCA">
            <w:pPr>
              <w:jc w:val="center"/>
            </w:pPr>
          </w:p>
        </w:tc>
      </w:tr>
      <w:tr w:rsidR="00C87DCA" w:rsidRPr="00C63860" w14:paraId="077EB079" w14:textId="77777777" w:rsidTr="00C63860">
        <w:trPr>
          <w:cantSplit/>
        </w:trPr>
        <w:tc>
          <w:tcPr>
            <w:tcW w:w="0" w:type="auto"/>
            <w:shd w:val="clear" w:color="auto" w:fill="auto"/>
            <w:hideMark/>
          </w:tcPr>
          <w:p w14:paraId="59EA58B7" w14:textId="06EAFB67" w:rsidR="00C87DCA" w:rsidRPr="00C63860" w:rsidRDefault="00C87DCA" w:rsidP="00C87DCA">
            <w:pPr>
              <w:rPr>
                <w:b/>
                <w:bCs/>
              </w:rPr>
            </w:pPr>
            <w:r w:rsidRPr="00C63860">
              <w:rPr>
                <w:b/>
                <w:bCs/>
              </w:rPr>
              <w:t xml:space="preserve">Mean age </w:t>
            </w:r>
            <w:r w:rsidR="549CE318" w:rsidRPr="00C63860">
              <w:rPr>
                <w:b/>
                <w:bCs/>
              </w:rPr>
              <w:t xml:space="preserve">(sd) </w:t>
            </w:r>
            <w:r w:rsidRPr="00C63860">
              <w:rPr>
                <w:b/>
                <w:bCs/>
              </w:rPr>
              <w:t>in years</w:t>
            </w:r>
          </w:p>
        </w:tc>
        <w:tc>
          <w:tcPr>
            <w:tcW w:w="0" w:type="auto"/>
            <w:shd w:val="clear" w:color="auto" w:fill="auto"/>
            <w:hideMark/>
          </w:tcPr>
          <w:p w14:paraId="5F9515D5" w14:textId="78F18924" w:rsidR="00C87DCA" w:rsidRPr="00C63860" w:rsidRDefault="00C87DCA" w:rsidP="00C87DCA">
            <w:pPr>
              <w:jc w:val="center"/>
            </w:pPr>
            <w:r w:rsidRPr="00C63860">
              <w:rPr>
                <w:bCs/>
              </w:rPr>
              <w:t>38.3</w:t>
            </w:r>
          </w:p>
          <w:p w14:paraId="0E5A3E53" w14:textId="1730CC1B" w:rsidR="00C87DCA" w:rsidRPr="00C63860" w:rsidRDefault="19C0A92E" w:rsidP="00C87DCA">
            <w:pPr>
              <w:jc w:val="center"/>
              <w:rPr>
                <w:rFonts w:eastAsia="Calibri"/>
              </w:rPr>
            </w:pPr>
            <w:r w:rsidRPr="00C63860">
              <w:rPr>
                <w:rFonts w:eastAsia="Calibri"/>
              </w:rPr>
              <w:t>(16.3)</w:t>
            </w:r>
          </w:p>
        </w:tc>
        <w:tc>
          <w:tcPr>
            <w:tcW w:w="0" w:type="auto"/>
            <w:shd w:val="clear" w:color="auto" w:fill="auto"/>
            <w:hideMark/>
          </w:tcPr>
          <w:p w14:paraId="4D88D12D" w14:textId="2698EF4E" w:rsidR="00C87DCA" w:rsidRPr="00C63860" w:rsidRDefault="00C87DCA" w:rsidP="00C87DCA">
            <w:pPr>
              <w:jc w:val="center"/>
            </w:pPr>
            <w:r w:rsidRPr="00C63860">
              <w:rPr>
                <w:bCs/>
              </w:rPr>
              <w:t>47.3</w:t>
            </w:r>
          </w:p>
          <w:p w14:paraId="3715A176" w14:textId="6EA6EA5C" w:rsidR="00C87DCA" w:rsidRPr="00C63860" w:rsidRDefault="77BE7C2C" w:rsidP="00C87DCA">
            <w:pPr>
              <w:jc w:val="center"/>
              <w:rPr>
                <w:rFonts w:eastAsia="Calibri"/>
              </w:rPr>
            </w:pPr>
            <w:r w:rsidRPr="00C63860">
              <w:rPr>
                <w:rFonts w:eastAsia="Calibri"/>
              </w:rPr>
              <w:t>(20.2)</w:t>
            </w:r>
          </w:p>
        </w:tc>
        <w:tc>
          <w:tcPr>
            <w:tcW w:w="0" w:type="auto"/>
            <w:shd w:val="clear" w:color="auto" w:fill="auto"/>
            <w:hideMark/>
          </w:tcPr>
          <w:p w14:paraId="30C648AF" w14:textId="1160B2C8" w:rsidR="00C87DCA" w:rsidRPr="00C63860" w:rsidRDefault="00C87DCA" w:rsidP="00C87DCA">
            <w:pPr>
              <w:jc w:val="center"/>
            </w:pPr>
            <w:r w:rsidRPr="00C63860">
              <w:rPr>
                <w:bCs/>
              </w:rPr>
              <w:t>50.7</w:t>
            </w:r>
          </w:p>
          <w:p w14:paraId="53E00541" w14:textId="0B53DCD8" w:rsidR="00C87DCA" w:rsidRPr="00C63860" w:rsidRDefault="77BE7C2C" w:rsidP="00C87DCA">
            <w:pPr>
              <w:jc w:val="center"/>
              <w:rPr>
                <w:bCs/>
              </w:rPr>
            </w:pPr>
            <w:r w:rsidRPr="00C63860">
              <w:rPr>
                <w:rFonts w:eastAsia="Calibri"/>
              </w:rPr>
              <w:t>(1</w:t>
            </w:r>
            <w:r w:rsidR="4D5051D6" w:rsidRPr="00C63860">
              <w:rPr>
                <w:rFonts w:eastAsia="Calibri"/>
              </w:rPr>
              <w:t>7.7)</w:t>
            </w:r>
          </w:p>
        </w:tc>
        <w:tc>
          <w:tcPr>
            <w:tcW w:w="0" w:type="auto"/>
            <w:shd w:val="clear" w:color="auto" w:fill="auto"/>
            <w:hideMark/>
          </w:tcPr>
          <w:p w14:paraId="124541D2" w14:textId="50F41FD6" w:rsidR="00C87DCA" w:rsidRPr="00C63860" w:rsidRDefault="00C87DCA" w:rsidP="00C87DCA">
            <w:pPr>
              <w:jc w:val="center"/>
            </w:pPr>
            <w:r w:rsidRPr="00C63860">
              <w:rPr>
                <w:bCs/>
              </w:rPr>
              <w:t>56.1</w:t>
            </w:r>
          </w:p>
          <w:p w14:paraId="54368333" w14:textId="50F41FD6" w:rsidR="00C87DCA" w:rsidRPr="00C63860" w:rsidRDefault="4D5051D6" w:rsidP="00C87DCA">
            <w:pPr>
              <w:jc w:val="center"/>
              <w:rPr>
                <w:rFonts w:eastAsia="Calibri"/>
              </w:rPr>
            </w:pPr>
            <w:r w:rsidRPr="00C63860">
              <w:rPr>
                <w:rFonts w:eastAsia="Calibri"/>
              </w:rPr>
              <w:t>(19.2)</w:t>
            </w:r>
          </w:p>
        </w:tc>
        <w:tc>
          <w:tcPr>
            <w:tcW w:w="0" w:type="auto"/>
            <w:shd w:val="clear" w:color="auto" w:fill="auto"/>
            <w:hideMark/>
          </w:tcPr>
          <w:p w14:paraId="6027A224" w14:textId="50F41FD6" w:rsidR="00C87DCA" w:rsidRPr="00C63860" w:rsidRDefault="00C87DCA" w:rsidP="00C87DCA">
            <w:pPr>
              <w:jc w:val="center"/>
            </w:pPr>
            <w:r w:rsidRPr="00C63860">
              <w:rPr>
                <w:bCs/>
              </w:rPr>
              <w:t>63.9</w:t>
            </w:r>
          </w:p>
          <w:p w14:paraId="4A542DA5" w14:textId="50F41FD6" w:rsidR="00C87DCA" w:rsidRPr="00C63860" w:rsidRDefault="4D5051D6" w:rsidP="00C87DCA">
            <w:pPr>
              <w:jc w:val="center"/>
              <w:rPr>
                <w:rFonts w:eastAsia="Calibri"/>
              </w:rPr>
            </w:pPr>
            <w:r w:rsidRPr="00C63860">
              <w:rPr>
                <w:rFonts w:eastAsia="Calibri"/>
              </w:rPr>
              <w:t>(14.8)</w:t>
            </w:r>
          </w:p>
        </w:tc>
        <w:tc>
          <w:tcPr>
            <w:tcW w:w="0" w:type="auto"/>
            <w:shd w:val="clear" w:color="auto" w:fill="auto"/>
            <w:hideMark/>
          </w:tcPr>
          <w:p w14:paraId="6C252623" w14:textId="50F41FD6" w:rsidR="00C87DCA" w:rsidRPr="00C63860" w:rsidRDefault="00C87DCA" w:rsidP="00C87DCA">
            <w:pPr>
              <w:jc w:val="center"/>
            </w:pPr>
            <w:r w:rsidRPr="00C63860">
              <w:rPr>
                <w:bCs/>
              </w:rPr>
              <w:t>64.0</w:t>
            </w:r>
          </w:p>
          <w:p w14:paraId="1A67DEEC" w14:textId="50F41FD6" w:rsidR="00C87DCA" w:rsidRPr="00C63860" w:rsidRDefault="4D5051D6" w:rsidP="00C87DCA">
            <w:pPr>
              <w:jc w:val="center"/>
              <w:rPr>
                <w:rFonts w:eastAsia="Calibri"/>
              </w:rPr>
            </w:pPr>
            <w:r w:rsidRPr="00C63860">
              <w:rPr>
                <w:rFonts w:eastAsia="Calibri"/>
              </w:rPr>
              <w:t>(15.7)</w:t>
            </w:r>
          </w:p>
        </w:tc>
        <w:tc>
          <w:tcPr>
            <w:tcW w:w="0" w:type="auto"/>
            <w:shd w:val="clear" w:color="auto" w:fill="auto"/>
            <w:hideMark/>
          </w:tcPr>
          <w:p w14:paraId="43101FCA" w14:textId="50F41FD6" w:rsidR="00C87DCA" w:rsidRPr="00C63860" w:rsidRDefault="00C87DCA" w:rsidP="00C87DCA">
            <w:pPr>
              <w:jc w:val="center"/>
            </w:pPr>
            <w:r w:rsidRPr="00C63860">
              <w:rPr>
                <w:bCs/>
              </w:rPr>
              <w:t>63.1</w:t>
            </w:r>
          </w:p>
          <w:p w14:paraId="1DDFBE41" w14:textId="6F22A497" w:rsidR="00C87DCA" w:rsidRPr="00C63860" w:rsidRDefault="4D5051D6" w:rsidP="00C87DCA">
            <w:pPr>
              <w:jc w:val="center"/>
              <w:rPr>
                <w:rFonts w:eastAsia="Calibri"/>
              </w:rPr>
            </w:pPr>
            <w:r w:rsidRPr="00C63860">
              <w:rPr>
                <w:rFonts w:eastAsia="Calibri"/>
              </w:rPr>
              <w:t>(18.2)</w:t>
            </w:r>
          </w:p>
        </w:tc>
        <w:tc>
          <w:tcPr>
            <w:tcW w:w="0" w:type="auto"/>
            <w:shd w:val="clear" w:color="auto" w:fill="auto"/>
            <w:hideMark/>
          </w:tcPr>
          <w:p w14:paraId="4FC860A9" w14:textId="0A3D99FF" w:rsidR="00C87DCA" w:rsidRPr="00C63860" w:rsidRDefault="00C87DCA" w:rsidP="00C87DCA">
            <w:pPr>
              <w:jc w:val="center"/>
            </w:pPr>
            <w:r w:rsidRPr="00C63860">
              <w:rPr>
                <w:bCs/>
              </w:rPr>
              <w:t>62.2</w:t>
            </w:r>
          </w:p>
          <w:p w14:paraId="2B929822" w14:textId="23F0B2BF" w:rsidR="00C87DCA" w:rsidRPr="00C63860" w:rsidRDefault="4D5051D6" w:rsidP="00C87DCA">
            <w:pPr>
              <w:jc w:val="center"/>
              <w:rPr>
                <w:bCs/>
              </w:rPr>
            </w:pPr>
            <w:r w:rsidRPr="00C63860">
              <w:rPr>
                <w:rFonts w:eastAsia="Calibri"/>
              </w:rPr>
              <w:t>(19.3)</w:t>
            </w:r>
          </w:p>
        </w:tc>
        <w:tc>
          <w:tcPr>
            <w:tcW w:w="0" w:type="auto"/>
            <w:shd w:val="clear" w:color="auto" w:fill="auto"/>
            <w:hideMark/>
          </w:tcPr>
          <w:p w14:paraId="2E7235CF" w14:textId="044131FD" w:rsidR="00C87DCA" w:rsidRPr="00C63860" w:rsidRDefault="00C87DCA" w:rsidP="00C87DCA">
            <w:pPr>
              <w:jc w:val="center"/>
            </w:pPr>
            <w:r w:rsidRPr="00C63860">
              <w:rPr>
                <w:bCs/>
              </w:rPr>
              <w:t>66.6</w:t>
            </w:r>
          </w:p>
          <w:p w14:paraId="31E325FF" w14:textId="5B144C77" w:rsidR="00C87DCA" w:rsidRPr="00C63860" w:rsidRDefault="6D70ED3E" w:rsidP="00C87DCA">
            <w:pPr>
              <w:jc w:val="center"/>
              <w:rPr>
                <w:rFonts w:eastAsia="Calibri"/>
              </w:rPr>
            </w:pPr>
            <w:r w:rsidRPr="00C63860">
              <w:rPr>
                <w:rFonts w:eastAsia="Calibri"/>
              </w:rPr>
              <w:t>(16.5)</w:t>
            </w:r>
          </w:p>
        </w:tc>
        <w:tc>
          <w:tcPr>
            <w:tcW w:w="0" w:type="auto"/>
            <w:shd w:val="clear" w:color="auto" w:fill="auto"/>
            <w:hideMark/>
          </w:tcPr>
          <w:p w14:paraId="31500DDA" w14:textId="6D77B594" w:rsidR="00C87DCA" w:rsidRPr="00C63860" w:rsidRDefault="00C87DCA" w:rsidP="00C87DCA">
            <w:pPr>
              <w:jc w:val="center"/>
            </w:pPr>
            <w:r w:rsidRPr="00C63860">
              <w:rPr>
                <w:bCs/>
              </w:rPr>
              <w:t>67.8</w:t>
            </w:r>
          </w:p>
          <w:p w14:paraId="723572B6" w14:textId="4B6E51E7" w:rsidR="00C87DCA" w:rsidRPr="00C63860" w:rsidRDefault="6D70ED3E" w:rsidP="00C87DCA">
            <w:pPr>
              <w:jc w:val="center"/>
              <w:rPr>
                <w:rFonts w:eastAsia="Calibri"/>
              </w:rPr>
            </w:pPr>
            <w:r w:rsidRPr="00C63860">
              <w:rPr>
                <w:rFonts w:eastAsia="Calibri"/>
              </w:rPr>
              <w:t>(17.2)</w:t>
            </w:r>
          </w:p>
        </w:tc>
      </w:tr>
      <w:tr w:rsidR="00C87DCA" w:rsidRPr="00C63860" w14:paraId="1504A78D" w14:textId="77777777" w:rsidTr="00C63860">
        <w:trPr>
          <w:cantSplit/>
        </w:trPr>
        <w:tc>
          <w:tcPr>
            <w:tcW w:w="0" w:type="auto"/>
            <w:shd w:val="clear" w:color="auto" w:fill="auto"/>
          </w:tcPr>
          <w:p w14:paraId="2244CB48" w14:textId="4E71EAE1" w:rsidR="00C87DCA" w:rsidRPr="00C63860" w:rsidRDefault="00C87DCA" w:rsidP="00C87DCA"/>
        </w:tc>
        <w:tc>
          <w:tcPr>
            <w:tcW w:w="0" w:type="auto"/>
            <w:shd w:val="clear" w:color="auto" w:fill="auto"/>
          </w:tcPr>
          <w:p w14:paraId="44373AE9" w14:textId="11DAB914" w:rsidR="00C87DCA" w:rsidRPr="00C63860" w:rsidRDefault="00C87DCA" w:rsidP="00C87DCA">
            <w:pPr>
              <w:jc w:val="center"/>
            </w:pPr>
          </w:p>
        </w:tc>
        <w:tc>
          <w:tcPr>
            <w:tcW w:w="0" w:type="auto"/>
            <w:shd w:val="clear" w:color="auto" w:fill="auto"/>
          </w:tcPr>
          <w:p w14:paraId="15DBC780" w14:textId="580C890F" w:rsidR="00C87DCA" w:rsidRPr="00C63860" w:rsidRDefault="00C87DCA" w:rsidP="00C87DCA">
            <w:pPr>
              <w:jc w:val="center"/>
            </w:pPr>
          </w:p>
        </w:tc>
        <w:tc>
          <w:tcPr>
            <w:tcW w:w="0" w:type="auto"/>
            <w:shd w:val="clear" w:color="auto" w:fill="auto"/>
          </w:tcPr>
          <w:p w14:paraId="2B813E96" w14:textId="163042C0" w:rsidR="00C87DCA" w:rsidRPr="00C63860" w:rsidRDefault="00C87DCA" w:rsidP="00C87DCA">
            <w:pPr>
              <w:jc w:val="center"/>
            </w:pPr>
          </w:p>
        </w:tc>
        <w:tc>
          <w:tcPr>
            <w:tcW w:w="0" w:type="auto"/>
            <w:shd w:val="clear" w:color="auto" w:fill="auto"/>
          </w:tcPr>
          <w:p w14:paraId="184AC61A" w14:textId="6644ED51" w:rsidR="00C87DCA" w:rsidRPr="00C63860" w:rsidRDefault="00C87DCA" w:rsidP="00C87DCA">
            <w:pPr>
              <w:jc w:val="center"/>
            </w:pPr>
          </w:p>
        </w:tc>
        <w:tc>
          <w:tcPr>
            <w:tcW w:w="0" w:type="auto"/>
            <w:shd w:val="clear" w:color="auto" w:fill="auto"/>
          </w:tcPr>
          <w:p w14:paraId="079EA379" w14:textId="0D392EFB" w:rsidR="00C87DCA" w:rsidRPr="00C63860" w:rsidRDefault="00C87DCA" w:rsidP="00C87DCA">
            <w:pPr>
              <w:jc w:val="center"/>
            </w:pPr>
          </w:p>
        </w:tc>
        <w:tc>
          <w:tcPr>
            <w:tcW w:w="0" w:type="auto"/>
            <w:shd w:val="clear" w:color="auto" w:fill="auto"/>
          </w:tcPr>
          <w:p w14:paraId="6BF20C21" w14:textId="12076EF3" w:rsidR="00C87DCA" w:rsidRPr="00C63860" w:rsidRDefault="00C87DCA" w:rsidP="00C87DCA">
            <w:pPr>
              <w:jc w:val="center"/>
            </w:pPr>
          </w:p>
        </w:tc>
        <w:tc>
          <w:tcPr>
            <w:tcW w:w="0" w:type="auto"/>
            <w:shd w:val="clear" w:color="auto" w:fill="auto"/>
          </w:tcPr>
          <w:p w14:paraId="3FC85084" w14:textId="2954076D" w:rsidR="00C87DCA" w:rsidRPr="00C63860" w:rsidRDefault="00C87DCA" w:rsidP="00C87DCA">
            <w:pPr>
              <w:jc w:val="center"/>
            </w:pPr>
          </w:p>
        </w:tc>
        <w:tc>
          <w:tcPr>
            <w:tcW w:w="0" w:type="auto"/>
            <w:shd w:val="clear" w:color="auto" w:fill="auto"/>
          </w:tcPr>
          <w:p w14:paraId="02C59B9E" w14:textId="67B56BB9" w:rsidR="00C87DCA" w:rsidRPr="00C63860" w:rsidRDefault="00C87DCA" w:rsidP="00C87DCA">
            <w:pPr>
              <w:jc w:val="center"/>
            </w:pPr>
          </w:p>
        </w:tc>
        <w:tc>
          <w:tcPr>
            <w:tcW w:w="0" w:type="auto"/>
            <w:shd w:val="clear" w:color="auto" w:fill="auto"/>
          </w:tcPr>
          <w:p w14:paraId="71EFB0B2" w14:textId="1CDFFEA5" w:rsidR="00C87DCA" w:rsidRPr="00C63860" w:rsidRDefault="00C87DCA" w:rsidP="00C87DCA">
            <w:pPr>
              <w:jc w:val="center"/>
            </w:pPr>
          </w:p>
        </w:tc>
        <w:tc>
          <w:tcPr>
            <w:tcW w:w="0" w:type="auto"/>
            <w:shd w:val="clear" w:color="auto" w:fill="auto"/>
          </w:tcPr>
          <w:p w14:paraId="135A94A1" w14:textId="728C5613" w:rsidR="00C87DCA" w:rsidRPr="00C63860" w:rsidRDefault="00C87DCA" w:rsidP="00C87DCA">
            <w:pPr>
              <w:jc w:val="center"/>
            </w:pPr>
          </w:p>
        </w:tc>
      </w:tr>
      <w:tr w:rsidR="00C87DCA" w:rsidRPr="00C63860" w14:paraId="7B3766CB" w14:textId="77777777" w:rsidTr="00C63860">
        <w:trPr>
          <w:cantSplit/>
        </w:trPr>
        <w:tc>
          <w:tcPr>
            <w:tcW w:w="0" w:type="auto"/>
            <w:shd w:val="clear" w:color="auto" w:fill="auto"/>
            <w:hideMark/>
          </w:tcPr>
          <w:p w14:paraId="67BE86ED" w14:textId="77777777" w:rsidR="00C63860" w:rsidRPr="00C63860" w:rsidRDefault="00C87DCA" w:rsidP="00C87DCA">
            <w:pPr>
              <w:rPr>
                <w:b/>
                <w:bCs/>
              </w:rPr>
            </w:pPr>
            <w:r w:rsidRPr="00C63860">
              <w:rPr>
                <w:b/>
                <w:bCs/>
              </w:rPr>
              <w:t xml:space="preserve">Charlson comorbidity index, </w:t>
            </w:r>
            <w:r w:rsidRPr="00C63860">
              <w:rPr>
                <w:b/>
                <w:bCs/>
                <w:i/>
                <w:color w:val="00B0F0"/>
              </w:rPr>
              <w:t>n</w:t>
            </w:r>
            <w:r w:rsidRPr="00C63860">
              <w:rPr>
                <w:b/>
                <w:bCs/>
              </w:rPr>
              <w:t xml:space="preserve"> (%)</w:t>
            </w:r>
          </w:p>
          <w:p w14:paraId="24747193" w14:textId="77777777" w:rsidR="00C63860" w:rsidRPr="00C63860" w:rsidRDefault="00C87DCA" w:rsidP="00C87DCA">
            <w:pPr>
              <w:rPr>
                <w:bCs/>
              </w:rPr>
            </w:pPr>
            <w:r w:rsidRPr="00C63860">
              <w:rPr>
                <w:bCs/>
              </w:rPr>
              <w:t>None</w:t>
            </w:r>
          </w:p>
          <w:p w14:paraId="052D89CF" w14:textId="77777777" w:rsidR="00C63860" w:rsidRPr="00C63860" w:rsidRDefault="00C87DCA" w:rsidP="00C87DCA">
            <w:pPr>
              <w:rPr>
                <w:bCs/>
              </w:rPr>
            </w:pPr>
            <w:r w:rsidRPr="00C63860">
              <w:rPr>
                <w:bCs/>
              </w:rPr>
              <w:t>One</w:t>
            </w:r>
          </w:p>
          <w:p w14:paraId="5E469B9F" w14:textId="77777777" w:rsidR="00C63860" w:rsidRPr="00C63860" w:rsidRDefault="00C87DCA" w:rsidP="00C87DCA">
            <w:pPr>
              <w:rPr>
                <w:bCs/>
              </w:rPr>
            </w:pPr>
            <w:r w:rsidRPr="00C63860">
              <w:rPr>
                <w:bCs/>
              </w:rPr>
              <w:t>Two</w:t>
            </w:r>
          </w:p>
          <w:p w14:paraId="57EC775C" w14:textId="3F0C8492" w:rsidR="00C87DCA" w:rsidRPr="00C63860" w:rsidRDefault="00C87DCA" w:rsidP="00C87DCA">
            <w:pPr>
              <w:rPr>
                <w:bCs/>
              </w:rPr>
            </w:pPr>
            <w:r w:rsidRPr="00C63860">
              <w:rPr>
                <w:bCs/>
              </w:rPr>
              <w:t>Three or more</w:t>
            </w:r>
          </w:p>
        </w:tc>
        <w:tc>
          <w:tcPr>
            <w:tcW w:w="0" w:type="auto"/>
            <w:shd w:val="clear" w:color="auto" w:fill="auto"/>
          </w:tcPr>
          <w:p w14:paraId="55CD00A5" w14:textId="77777777" w:rsidR="00C63860" w:rsidRPr="00C63860" w:rsidRDefault="00C63860" w:rsidP="00C87DCA">
            <w:pPr>
              <w:jc w:val="center"/>
              <w:rPr>
                <w:bCs/>
              </w:rPr>
            </w:pPr>
          </w:p>
          <w:p w14:paraId="645D5F80" w14:textId="77777777" w:rsidR="00C63860" w:rsidRPr="00C63860" w:rsidRDefault="00C87DCA" w:rsidP="00C87DCA">
            <w:pPr>
              <w:jc w:val="center"/>
              <w:rPr>
                <w:bCs/>
              </w:rPr>
            </w:pPr>
            <w:r w:rsidRPr="00C63860">
              <w:rPr>
                <w:bCs/>
              </w:rPr>
              <w:t>207,525</w:t>
            </w:r>
          </w:p>
          <w:p w14:paraId="3292E2D6" w14:textId="3964A010" w:rsidR="00C87DCA" w:rsidRPr="00C63860" w:rsidRDefault="00C87DCA" w:rsidP="00C87DCA">
            <w:pPr>
              <w:jc w:val="center"/>
              <w:rPr>
                <w:bCs/>
              </w:rPr>
            </w:pPr>
            <w:r w:rsidRPr="00C63860">
              <w:rPr>
                <w:bCs/>
              </w:rPr>
              <w:t>(83.9)</w:t>
            </w:r>
          </w:p>
          <w:p w14:paraId="56CF1E36" w14:textId="77777777" w:rsidR="00C63860" w:rsidRPr="00C63860" w:rsidRDefault="00C87DCA" w:rsidP="00C87DCA">
            <w:pPr>
              <w:jc w:val="center"/>
              <w:rPr>
                <w:bCs/>
              </w:rPr>
            </w:pPr>
            <w:r w:rsidRPr="00C63860">
              <w:rPr>
                <w:bCs/>
              </w:rPr>
              <w:t>35,721</w:t>
            </w:r>
          </w:p>
          <w:p w14:paraId="685EC3FD" w14:textId="6D259B99" w:rsidR="00C87DCA" w:rsidRPr="00C63860" w:rsidRDefault="00C87DCA" w:rsidP="00C87DCA">
            <w:pPr>
              <w:jc w:val="center"/>
              <w:rPr>
                <w:bCs/>
              </w:rPr>
            </w:pPr>
            <w:r w:rsidRPr="00C63860">
              <w:rPr>
                <w:bCs/>
              </w:rPr>
              <w:t>(14.4)</w:t>
            </w:r>
          </w:p>
          <w:p w14:paraId="052CC82D" w14:textId="77777777" w:rsidR="00C63860" w:rsidRPr="00C63860" w:rsidRDefault="00C87DCA" w:rsidP="00C87DCA">
            <w:pPr>
              <w:jc w:val="center"/>
              <w:rPr>
                <w:bCs/>
              </w:rPr>
            </w:pPr>
            <w:r w:rsidRPr="00C63860">
              <w:rPr>
                <w:bCs/>
              </w:rPr>
              <w:t>3,715</w:t>
            </w:r>
          </w:p>
          <w:p w14:paraId="7059CAD3" w14:textId="62C6F188" w:rsidR="00C87DCA" w:rsidRPr="00C63860" w:rsidRDefault="00C87DCA" w:rsidP="00C87DCA">
            <w:pPr>
              <w:jc w:val="center"/>
              <w:rPr>
                <w:bCs/>
              </w:rPr>
            </w:pPr>
            <w:r w:rsidRPr="00C63860">
              <w:rPr>
                <w:bCs/>
              </w:rPr>
              <w:t>(1.5)</w:t>
            </w:r>
          </w:p>
          <w:p w14:paraId="298EDF73" w14:textId="77777777" w:rsidR="00C63860" w:rsidRPr="00C63860" w:rsidRDefault="00C87DCA" w:rsidP="00C87DCA">
            <w:pPr>
              <w:jc w:val="center"/>
              <w:rPr>
                <w:bCs/>
              </w:rPr>
            </w:pPr>
            <w:r w:rsidRPr="00C63860">
              <w:rPr>
                <w:bCs/>
              </w:rPr>
              <w:t>545</w:t>
            </w:r>
          </w:p>
          <w:p w14:paraId="5072E390" w14:textId="22080AB1" w:rsidR="00C87DCA" w:rsidRPr="00C63860" w:rsidRDefault="00C87DCA" w:rsidP="00C87DCA">
            <w:pPr>
              <w:jc w:val="center"/>
              <w:rPr>
                <w:bCs/>
              </w:rPr>
            </w:pPr>
            <w:r w:rsidRPr="00C63860">
              <w:rPr>
                <w:bCs/>
              </w:rPr>
              <w:t>(0.2)</w:t>
            </w:r>
          </w:p>
        </w:tc>
        <w:tc>
          <w:tcPr>
            <w:tcW w:w="0" w:type="auto"/>
            <w:shd w:val="clear" w:color="auto" w:fill="auto"/>
          </w:tcPr>
          <w:p w14:paraId="349EAAA2" w14:textId="77777777" w:rsidR="00C63860" w:rsidRPr="00C63860" w:rsidRDefault="00C63860" w:rsidP="00C87DCA">
            <w:pPr>
              <w:jc w:val="center"/>
              <w:rPr>
                <w:bCs/>
              </w:rPr>
            </w:pPr>
          </w:p>
          <w:p w14:paraId="67344BC3" w14:textId="77777777" w:rsidR="00C63860" w:rsidRPr="00C63860" w:rsidRDefault="00C87DCA" w:rsidP="00C87DCA">
            <w:pPr>
              <w:jc w:val="center"/>
              <w:rPr>
                <w:bCs/>
              </w:rPr>
            </w:pPr>
            <w:r w:rsidRPr="00C63860">
              <w:rPr>
                <w:bCs/>
              </w:rPr>
              <w:t>15,321</w:t>
            </w:r>
          </w:p>
          <w:p w14:paraId="32E6E575" w14:textId="691F0CA0" w:rsidR="00C87DCA" w:rsidRPr="00C63860" w:rsidRDefault="00C87DCA" w:rsidP="00C87DCA">
            <w:pPr>
              <w:jc w:val="center"/>
              <w:rPr>
                <w:bCs/>
              </w:rPr>
            </w:pPr>
            <w:r w:rsidRPr="00C63860">
              <w:rPr>
                <w:bCs/>
              </w:rPr>
              <w:t>(74.2)</w:t>
            </w:r>
          </w:p>
          <w:p w14:paraId="518C063E" w14:textId="77777777" w:rsidR="00C63860" w:rsidRPr="00C63860" w:rsidRDefault="00C87DCA" w:rsidP="00C87DCA">
            <w:pPr>
              <w:jc w:val="center"/>
              <w:rPr>
                <w:bCs/>
              </w:rPr>
            </w:pPr>
            <w:r w:rsidRPr="00C63860">
              <w:rPr>
                <w:bCs/>
              </w:rPr>
              <w:t>3,989</w:t>
            </w:r>
          </w:p>
          <w:p w14:paraId="40890E76" w14:textId="5C4B586C" w:rsidR="00C87DCA" w:rsidRPr="00C63860" w:rsidRDefault="00C87DCA" w:rsidP="00C87DCA">
            <w:pPr>
              <w:jc w:val="center"/>
              <w:rPr>
                <w:bCs/>
              </w:rPr>
            </w:pPr>
            <w:r w:rsidRPr="00C63860">
              <w:rPr>
                <w:bCs/>
              </w:rPr>
              <w:t>(19.3)</w:t>
            </w:r>
          </w:p>
          <w:p w14:paraId="1EB3F640" w14:textId="77777777" w:rsidR="00C63860" w:rsidRPr="00C63860" w:rsidRDefault="00C87DCA" w:rsidP="00C87DCA">
            <w:pPr>
              <w:jc w:val="center"/>
              <w:rPr>
                <w:bCs/>
              </w:rPr>
            </w:pPr>
            <w:r w:rsidRPr="00C63860">
              <w:rPr>
                <w:bCs/>
              </w:rPr>
              <w:t>1,035</w:t>
            </w:r>
          </w:p>
          <w:p w14:paraId="495BC332" w14:textId="03D85EA8" w:rsidR="00C87DCA" w:rsidRPr="00C63860" w:rsidRDefault="00C87DCA" w:rsidP="00C87DCA">
            <w:pPr>
              <w:jc w:val="center"/>
              <w:rPr>
                <w:bCs/>
              </w:rPr>
            </w:pPr>
            <w:r w:rsidRPr="00C63860">
              <w:rPr>
                <w:bCs/>
              </w:rPr>
              <w:t>(5.0)</w:t>
            </w:r>
          </w:p>
          <w:p w14:paraId="4549E0AC" w14:textId="77777777" w:rsidR="00C63860" w:rsidRPr="00C63860" w:rsidRDefault="00C87DCA" w:rsidP="00C87DCA">
            <w:pPr>
              <w:jc w:val="center"/>
              <w:rPr>
                <w:bCs/>
              </w:rPr>
            </w:pPr>
            <w:r w:rsidRPr="00C63860">
              <w:rPr>
                <w:bCs/>
              </w:rPr>
              <w:t>293</w:t>
            </w:r>
          </w:p>
          <w:p w14:paraId="4A283AAF" w14:textId="78FAB6F5" w:rsidR="00C87DCA" w:rsidRPr="00C63860" w:rsidRDefault="00C87DCA" w:rsidP="00C87DCA">
            <w:pPr>
              <w:jc w:val="center"/>
              <w:rPr>
                <w:bCs/>
              </w:rPr>
            </w:pPr>
            <w:r w:rsidRPr="00C63860">
              <w:rPr>
                <w:bCs/>
              </w:rPr>
              <w:t>(1.4)</w:t>
            </w:r>
          </w:p>
        </w:tc>
        <w:tc>
          <w:tcPr>
            <w:tcW w:w="0" w:type="auto"/>
            <w:shd w:val="clear" w:color="auto" w:fill="auto"/>
          </w:tcPr>
          <w:p w14:paraId="4604E9E2" w14:textId="77777777" w:rsidR="00C63860" w:rsidRPr="00C63860" w:rsidRDefault="00C63860" w:rsidP="00C87DCA">
            <w:pPr>
              <w:jc w:val="center"/>
              <w:rPr>
                <w:bCs/>
              </w:rPr>
            </w:pPr>
          </w:p>
          <w:p w14:paraId="42D55DC2" w14:textId="77777777" w:rsidR="00C63860" w:rsidRPr="00C63860" w:rsidRDefault="00C87DCA" w:rsidP="00C87DCA">
            <w:pPr>
              <w:jc w:val="center"/>
              <w:rPr>
                <w:bCs/>
              </w:rPr>
            </w:pPr>
            <w:r w:rsidRPr="00C63860">
              <w:rPr>
                <w:bCs/>
              </w:rPr>
              <w:t>36,737</w:t>
            </w:r>
          </w:p>
          <w:p w14:paraId="40909567" w14:textId="3E3CF024" w:rsidR="00C87DCA" w:rsidRPr="00C63860" w:rsidRDefault="00C87DCA" w:rsidP="00C87DCA">
            <w:pPr>
              <w:jc w:val="center"/>
              <w:rPr>
                <w:bCs/>
              </w:rPr>
            </w:pPr>
            <w:r w:rsidRPr="00C63860">
              <w:rPr>
                <w:bCs/>
              </w:rPr>
              <w:t>(70.6)</w:t>
            </w:r>
          </w:p>
          <w:p w14:paraId="15A4696D" w14:textId="77777777" w:rsidR="00C63860" w:rsidRPr="00C63860" w:rsidRDefault="00C87DCA" w:rsidP="00C87DCA">
            <w:pPr>
              <w:jc w:val="center"/>
              <w:rPr>
                <w:bCs/>
              </w:rPr>
            </w:pPr>
            <w:r w:rsidRPr="00C63860">
              <w:rPr>
                <w:bCs/>
              </w:rPr>
              <w:t>12,287</w:t>
            </w:r>
          </w:p>
          <w:p w14:paraId="3FA56F93" w14:textId="0E7ABCA9" w:rsidR="00C87DCA" w:rsidRPr="00C63860" w:rsidRDefault="00C87DCA" w:rsidP="00C87DCA">
            <w:pPr>
              <w:jc w:val="center"/>
              <w:rPr>
                <w:bCs/>
              </w:rPr>
            </w:pPr>
            <w:r w:rsidRPr="00C63860">
              <w:rPr>
                <w:bCs/>
              </w:rPr>
              <w:t>(23.6)</w:t>
            </w:r>
          </w:p>
          <w:p w14:paraId="7D33C20D" w14:textId="77777777" w:rsidR="00C63860" w:rsidRPr="00C63860" w:rsidRDefault="00C87DCA" w:rsidP="00C87DCA">
            <w:pPr>
              <w:jc w:val="center"/>
              <w:rPr>
                <w:bCs/>
              </w:rPr>
            </w:pPr>
            <w:r w:rsidRPr="00C63860">
              <w:rPr>
                <w:bCs/>
              </w:rPr>
              <w:t>2,544</w:t>
            </w:r>
          </w:p>
          <w:p w14:paraId="1032E961" w14:textId="5F6D3FC1" w:rsidR="00C87DCA" w:rsidRPr="00C63860" w:rsidRDefault="00C87DCA" w:rsidP="00C87DCA">
            <w:pPr>
              <w:jc w:val="center"/>
              <w:rPr>
                <w:bCs/>
              </w:rPr>
            </w:pPr>
            <w:r w:rsidRPr="00C63860">
              <w:rPr>
                <w:bCs/>
              </w:rPr>
              <w:t>(4.9)</w:t>
            </w:r>
          </w:p>
          <w:p w14:paraId="6750E9E6" w14:textId="77777777" w:rsidR="00C63860" w:rsidRPr="00C63860" w:rsidRDefault="00C87DCA" w:rsidP="00C87DCA">
            <w:pPr>
              <w:jc w:val="center"/>
              <w:rPr>
                <w:bCs/>
              </w:rPr>
            </w:pPr>
            <w:r w:rsidRPr="00C63860">
              <w:rPr>
                <w:bCs/>
              </w:rPr>
              <w:t>436</w:t>
            </w:r>
          </w:p>
          <w:p w14:paraId="277C726B" w14:textId="45A85EFD" w:rsidR="00C87DCA" w:rsidRPr="00C63860" w:rsidRDefault="00C87DCA" w:rsidP="00C87DCA">
            <w:pPr>
              <w:jc w:val="center"/>
              <w:rPr>
                <w:bCs/>
              </w:rPr>
            </w:pPr>
            <w:r w:rsidRPr="00C63860">
              <w:rPr>
                <w:bCs/>
              </w:rPr>
              <w:t>(0.8)</w:t>
            </w:r>
          </w:p>
        </w:tc>
        <w:tc>
          <w:tcPr>
            <w:tcW w:w="0" w:type="auto"/>
            <w:shd w:val="clear" w:color="auto" w:fill="auto"/>
          </w:tcPr>
          <w:p w14:paraId="458D658F" w14:textId="77777777" w:rsidR="00C63860" w:rsidRPr="00C63860" w:rsidRDefault="00C63860" w:rsidP="00C87DCA">
            <w:pPr>
              <w:jc w:val="center"/>
              <w:rPr>
                <w:bCs/>
              </w:rPr>
            </w:pPr>
          </w:p>
          <w:p w14:paraId="33BBA868" w14:textId="77777777" w:rsidR="00C63860" w:rsidRPr="00C63860" w:rsidRDefault="00C87DCA" w:rsidP="00C87DCA">
            <w:pPr>
              <w:jc w:val="center"/>
              <w:rPr>
                <w:bCs/>
              </w:rPr>
            </w:pPr>
            <w:r w:rsidRPr="00C63860">
              <w:rPr>
                <w:bCs/>
              </w:rPr>
              <w:t>120,748</w:t>
            </w:r>
          </w:p>
          <w:p w14:paraId="46AB82D2" w14:textId="2629FC2A" w:rsidR="00C87DCA" w:rsidRPr="00C63860" w:rsidRDefault="00C87DCA" w:rsidP="00C87DCA">
            <w:pPr>
              <w:jc w:val="center"/>
              <w:rPr>
                <w:bCs/>
              </w:rPr>
            </w:pPr>
            <w:r w:rsidRPr="00C63860">
              <w:rPr>
                <w:bCs/>
              </w:rPr>
              <w:t>(63.9)</w:t>
            </w:r>
          </w:p>
          <w:p w14:paraId="2CB11330" w14:textId="77777777" w:rsidR="00C63860" w:rsidRPr="00C63860" w:rsidRDefault="00C87DCA" w:rsidP="00C87DCA">
            <w:pPr>
              <w:jc w:val="center"/>
              <w:rPr>
                <w:bCs/>
              </w:rPr>
            </w:pPr>
            <w:r w:rsidRPr="00C63860">
              <w:rPr>
                <w:bCs/>
              </w:rPr>
              <w:t>49,863</w:t>
            </w:r>
          </w:p>
          <w:p w14:paraId="2A9B4166" w14:textId="41386CC2" w:rsidR="00C87DCA" w:rsidRPr="00C63860" w:rsidRDefault="00C87DCA" w:rsidP="00C87DCA">
            <w:pPr>
              <w:jc w:val="center"/>
              <w:rPr>
                <w:bCs/>
              </w:rPr>
            </w:pPr>
            <w:r w:rsidRPr="00C63860">
              <w:rPr>
                <w:bCs/>
              </w:rPr>
              <w:t>(26.4)</w:t>
            </w:r>
          </w:p>
          <w:p w14:paraId="678F5C4D" w14:textId="77777777" w:rsidR="00C63860" w:rsidRPr="00C63860" w:rsidRDefault="00C87DCA" w:rsidP="00C87DCA">
            <w:pPr>
              <w:jc w:val="center"/>
              <w:rPr>
                <w:bCs/>
              </w:rPr>
            </w:pPr>
            <w:r w:rsidRPr="00C63860">
              <w:rPr>
                <w:bCs/>
              </w:rPr>
              <w:t>14,503</w:t>
            </w:r>
          </w:p>
          <w:p w14:paraId="327C0FB1" w14:textId="2039E192" w:rsidR="00C87DCA" w:rsidRPr="00C63860" w:rsidRDefault="00C87DCA" w:rsidP="00C87DCA">
            <w:pPr>
              <w:jc w:val="center"/>
              <w:rPr>
                <w:bCs/>
              </w:rPr>
            </w:pPr>
            <w:r w:rsidRPr="00C63860">
              <w:rPr>
                <w:bCs/>
              </w:rPr>
              <w:t>(7.7)</w:t>
            </w:r>
          </w:p>
          <w:p w14:paraId="61A191C5" w14:textId="77777777" w:rsidR="00C63860" w:rsidRPr="00C63860" w:rsidRDefault="00C87DCA" w:rsidP="00C87DCA">
            <w:pPr>
              <w:jc w:val="center"/>
              <w:rPr>
                <w:bCs/>
              </w:rPr>
            </w:pPr>
            <w:r w:rsidRPr="00C63860">
              <w:rPr>
                <w:bCs/>
              </w:rPr>
              <w:t>3,859</w:t>
            </w:r>
          </w:p>
          <w:p w14:paraId="3CFB13AA" w14:textId="01D4F402" w:rsidR="00C87DCA" w:rsidRPr="00C63860" w:rsidRDefault="00C87DCA" w:rsidP="00C87DCA">
            <w:pPr>
              <w:jc w:val="center"/>
              <w:rPr>
                <w:bCs/>
              </w:rPr>
            </w:pPr>
            <w:r w:rsidRPr="00C63860">
              <w:rPr>
                <w:bCs/>
              </w:rPr>
              <w:t>(2.0)</w:t>
            </w:r>
          </w:p>
        </w:tc>
        <w:tc>
          <w:tcPr>
            <w:tcW w:w="0" w:type="auto"/>
            <w:shd w:val="clear" w:color="auto" w:fill="auto"/>
          </w:tcPr>
          <w:p w14:paraId="5C7DEC59" w14:textId="77777777" w:rsidR="00C63860" w:rsidRPr="00C63860" w:rsidRDefault="00C63860" w:rsidP="00C87DCA">
            <w:pPr>
              <w:jc w:val="center"/>
              <w:rPr>
                <w:bCs/>
              </w:rPr>
            </w:pPr>
          </w:p>
          <w:p w14:paraId="631B339A" w14:textId="77777777" w:rsidR="00C63860" w:rsidRPr="00C63860" w:rsidRDefault="00C87DCA" w:rsidP="00C87DCA">
            <w:pPr>
              <w:jc w:val="center"/>
              <w:rPr>
                <w:bCs/>
              </w:rPr>
            </w:pPr>
            <w:r w:rsidRPr="00C63860">
              <w:rPr>
                <w:bCs/>
              </w:rPr>
              <w:t>9,789</w:t>
            </w:r>
          </w:p>
          <w:p w14:paraId="7C584008" w14:textId="0E621062" w:rsidR="00C87DCA" w:rsidRPr="00C63860" w:rsidRDefault="00C87DCA" w:rsidP="00C87DCA">
            <w:pPr>
              <w:jc w:val="center"/>
              <w:rPr>
                <w:bCs/>
              </w:rPr>
            </w:pPr>
            <w:r w:rsidRPr="00C63860">
              <w:rPr>
                <w:bCs/>
              </w:rPr>
              <w:t>(62.1)</w:t>
            </w:r>
          </w:p>
          <w:p w14:paraId="3EBE50D0" w14:textId="77777777" w:rsidR="00C63860" w:rsidRPr="00C63860" w:rsidRDefault="00C87DCA" w:rsidP="00C87DCA">
            <w:pPr>
              <w:jc w:val="center"/>
              <w:rPr>
                <w:bCs/>
              </w:rPr>
            </w:pPr>
            <w:r w:rsidRPr="00C63860">
              <w:rPr>
                <w:bCs/>
              </w:rPr>
              <w:t>4,482</w:t>
            </w:r>
          </w:p>
          <w:p w14:paraId="134A4B70" w14:textId="25977709" w:rsidR="00C87DCA" w:rsidRPr="00C63860" w:rsidRDefault="00C87DCA" w:rsidP="00C87DCA">
            <w:pPr>
              <w:jc w:val="center"/>
              <w:rPr>
                <w:bCs/>
              </w:rPr>
            </w:pPr>
            <w:r w:rsidRPr="00C63860">
              <w:rPr>
                <w:bCs/>
              </w:rPr>
              <w:t>(28.4)</w:t>
            </w:r>
          </w:p>
          <w:p w14:paraId="75FBF19B" w14:textId="77777777" w:rsidR="00C63860" w:rsidRPr="00C63860" w:rsidRDefault="00C87DCA" w:rsidP="00C87DCA">
            <w:pPr>
              <w:jc w:val="center"/>
              <w:rPr>
                <w:bCs/>
              </w:rPr>
            </w:pPr>
            <w:r w:rsidRPr="00C63860">
              <w:rPr>
                <w:bCs/>
              </w:rPr>
              <w:t>1,222</w:t>
            </w:r>
          </w:p>
          <w:p w14:paraId="4C57843A" w14:textId="262F0C69" w:rsidR="00C87DCA" w:rsidRPr="00C63860" w:rsidRDefault="00C87DCA" w:rsidP="00C87DCA">
            <w:pPr>
              <w:jc w:val="center"/>
              <w:rPr>
                <w:bCs/>
              </w:rPr>
            </w:pPr>
            <w:r w:rsidRPr="00C63860">
              <w:rPr>
                <w:bCs/>
              </w:rPr>
              <w:t>(7.8)</w:t>
            </w:r>
          </w:p>
          <w:p w14:paraId="49F0865B" w14:textId="77777777" w:rsidR="00C63860" w:rsidRPr="00C63860" w:rsidRDefault="00C87DCA" w:rsidP="00C87DCA">
            <w:pPr>
              <w:jc w:val="center"/>
              <w:rPr>
                <w:bCs/>
              </w:rPr>
            </w:pPr>
            <w:r w:rsidRPr="00C63860">
              <w:rPr>
                <w:bCs/>
              </w:rPr>
              <w:t>279</w:t>
            </w:r>
          </w:p>
          <w:p w14:paraId="2DB7E1AC" w14:textId="5D70C2DD" w:rsidR="00C87DCA" w:rsidRPr="00C63860" w:rsidRDefault="00C87DCA" w:rsidP="00C87DCA">
            <w:pPr>
              <w:jc w:val="center"/>
              <w:rPr>
                <w:bCs/>
              </w:rPr>
            </w:pPr>
            <w:r w:rsidRPr="00C63860">
              <w:rPr>
                <w:bCs/>
              </w:rPr>
              <w:t>(1.8)</w:t>
            </w:r>
          </w:p>
        </w:tc>
        <w:tc>
          <w:tcPr>
            <w:tcW w:w="0" w:type="auto"/>
            <w:shd w:val="clear" w:color="auto" w:fill="auto"/>
          </w:tcPr>
          <w:p w14:paraId="65E10485" w14:textId="77777777" w:rsidR="00C63860" w:rsidRPr="00C63860" w:rsidRDefault="00C63860" w:rsidP="00C87DCA">
            <w:pPr>
              <w:jc w:val="center"/>
              <w:rPr>
                <w:bCs/>
              </w:rPr>
            </w:pPr>
          </w:p>
          <w:p w14:paraId="7C037679" w14:textId="77777777" w:rsidR="00C63860" w:rsidRPr="00C63860" w:rsidRDefault="00C87DCA" w:rsidP="00C87DCA">
            <w:pPr>
              <w:jc w:val="center"/>
              <w:rPr>
                <w:bCs/>
              </w:rPr>
            </w:pPr>
            <w:r w:rsidRPr="00C63860">
              <w:rPr>
                <w:bCs/>
              </w:rPr>
              <w:t>73,457</w:t>
            </w:r>
          </w:p>
          <w:p w14:paraId="6379F43F" w14:textId="2B5F2461" w:rsidR="00C87DCA" w:rsidRPr="00C63860" w:rsidRDefault="00C87DCA" w:rsidP="00C87DCA">
            <w:pPr>
              <w:jc w:val="center"/>
              <w:rPr>
                <w:bCs/>
              </w:rPr>
            </w:pPr>
            <w:r w:rsidRPr="00C63860">
              <w:rPr>
                <w:bCs/>
              </w:rPr>
              <w:t>(59.7)</w:t>
            </w:r>
          </w:p>
          <w:p w14:paraId="0D2F809B" w14:textId="77777777" w:rsidR="00C63860" w:rsidRPr="00C63860" w:rsidRDefault="00C87DCA" w:rsidP="00C87DCA">
            <w:pPr>
              <w:jc w:val="center"/>
              <w:rPr>
                <w:bCs/>
              </w:rPr>
            </w:pPr>
            <w:r w:rsidRPr="00C63860">
              <w:rPr>
                <w:bCs/>
              </w:rPr>
              <w:t>35,106</w:t>
            </w:r>
          </w:p>
          <w:p w14:paraId="723BDA91" w14:textId="2BE50CF9" w:rsidR="00C87DCA" w:rsidRPr="00C63860" w:rsidRDefault="00C87DCA" w:rsidP="00C87DCA">
            <w:pPr>
              <w:jc w:val="center"/>
              <w:rPr>
                <w:bCs/>
              </w:rPr>
            </w:pPr>
            <w:r w:rsidRPr="00C63860">
              <w:rPr>
                <w:bCs/>
              </w:rPr>
              <w:t>(28.5)</w:t>
            </w:r>
          </w:p>
          <w:p w14:paraId="3817AADB" w14:textId="77777777" w:rsidR="00C63860" w:rsidRPr="00C63860" w:rsidRDefault="00C87DCA" w:rsidP="00C87DCA">
            <w:pPr>
              <w:jc w:val="center"/>
              <w:rPr>
                <w:bCs/>
              </w:rPr>
            </w:pPr>
            <w:r w:rsidRPr="00C63860">
              <w:rPr>
                <w:bCs/>
              </w:rPr>
              <w:t>11,454</w:t>
            </w:r>
          </w:p>
          <w:p w14:paraId="223EE92E" w14:textId="72656D1B" w:rsidR="00C87DCA" w:rsidRPr="00C63860" w:rsidRDefault="00C87DCA" w:rsidP="00C87DCA">
            <w:pPr>
              <w:jc w:val="center"/>
              <w:rPr>
                <w:bCs/>
              </w:rPr>
            </w:pPr>
            <w:r w:rsidRPr="00C63860">
              <w:rPr>
                <w:bCs/>
              </w:rPr>
              <w:t>(9.3)</w:t>
            </w:r>
          </w:p>
          <w:p w14:paraId="1AEC7693" w14:textId="77777777" w:rsidR="00C63860" w:rsidRPr="00C63860" w:rsidRDefault="00C87DCA" w:rsidP="00C87DCA">
            <w:pPr>
              <w:jc w:val="center"/>
              <w:rPr>
                <w:bCs/>
              </w:rPr>
            </w:pPr>
            <w:r w:rsidRPr="00C63860">
              <w:rPr>
                <w:bCs/>
              </w:rPr>
              <w:t>3,080</w:t>
            </w:r>
          </w:p>
          <w:p w14:paraId="0AE375CC" w14:textId="7F026BBF" w:rsidR="00C87DCA" w:rsidRPr="00C63860" w:rsidRDefault="00C87DCA" w:rsidP="00C87DCA">
            <w:pPr>
              <w:jc w:val="center"/>
              <w:rPr>
                <w:bCs/>
              </w:rPr>
            </w:pPr>
            <w:r w:rsidRPr="00C63860">
              <w:rPr>
                <w:bCs/>
              </w:rPr>
              <w:t>(2.5)</w:t>
            </w:r>
          </w:p>
        </w:tc>
        <w:tc>
          <w:tcPr>
            <w:tcW w:w="0" w:type="auto"/>
            <w:shd w:val="clear" w:color="auto" w:fill="auto"/>
          </w:tcPr>
          <w:p w14:paraId="04775BA1" w14:textId="77777777" w:rsidR="00C63860" w:rsidRPr="00C63860" w:rsidRDefault="00C63860" w:rsidP="00C87DCA">
            <w:pPr>
              <w:jc w:val="center"/>
              <w:rPr>
                <w:bCs/>
              </w:rPr>
            </w:pPr>
          </w:p>
          <w:p w14:paraId="61342A21" w14:textId="77777777" w:rsidR="00C63860" w:rsidRPr="00C63860" w:rsidRDefault="00C87DCA" w:rsidP="00C87DCA">
            <w:pPr>
              <w:jc w:val="center"/>
              <w:rPr>
                <w:bCs/>
              </w:rPr>
            </w:pPr>
            <w:r w:rsidRPr="00C63860">
              <w:rPr>
                <w:bCs/>
              </w:rPr>
              <w:t>39,216</w:t>
            </w:r>
          </w:p>
          <w:p w14:paraId="3D1D9F26" w14:textId="7C8DA65D" w:rsidR="00C87DCA" w:rsidRPr="00C63860" w:rsidRDefault="00C87DCA" w:rsidP="00C87DCA">
            <w:pPr>
              <w:jc w:val="center"/>
              <w:rPr>
                <w:bCs/>
              </w:rPr>
            </w:pPr>
            <w:r w:rsidRPr="00C63860">
              <w:rPr>
                <w:bCs/>
              </w:rPr>
              <w:t>(62.7)</w:t>
            </w:r>
          </w:p>
          <w:p w14:paraId="4382243C" w14:textId="77777777" w:rsidR="00C63860" w:rsidRPr="00C63860" w:rsidRDefault="00C87DCA" w:rsidP="00C87DCA">
            <w:pPr>
              <w:jc w:val="center"/>
              <w:rPr>
                <w:bCs/>
              </w:rPr>
            </w:pPr>
            <w:r w:rsidRPr="00C63860">
              <w:rPr>
                <w:bCs/>
              </w:rPr>
              <w:t>17,494</w:t>
            </w:r>
          </w:p>
          <w:p w14:paraId="2B62B60C" w14:textId="29412701" w:rsidR="00C87DCA" w:rsidRPr="00C63860" w:rsidRDefault="00C87DCA" w:rsidP="00C87DCA">
            <w:pPr>
              <w:jc w:val="center"/>
              <w:rPr>
                <w:bCs/>
              </w:rPr>
            </w:pPr>
            <w:r w:rsidRPr="00C63860">
              <w:rPr>
                <w:bCs/>
              </w:rPr>
              <w:t>(28.0)</w:t>
            </w:r>
          </w:p>
          <w:p w14:paraId="212564DF" w14:textId="77777777" w:rsidR="00C63860" w:rsidRPr="00C63860" w:rsidRDefault="00C87DCA" w:rsidP="00C87DCA">
            <w:pPr>
              <w:jc w:val="center"/>
              <w:rPr>
                <w:bCs/>
              </w:rPr>
            </w:pPr>
            <w:r w:rsidRPr="00C63860">
              <w:rPr>
                <w:bCs/>
              </w:rPr>
              <w:t>4,792</w:t>
            </w:r>
          </w:p>
          <w:p w14:paraId="56B02CC9" w14:textId="72B4E796" w:rsidR="00C87DCA" w:rsidRPr="00C63860" w:rsidRDefault="00C87DCA" w:rsidP="00C87DCA">
            <w:pPr>
              <w:jc w:val="center"/>
              <w:rPr>
                <w:bCs/>
              </w:rPr>
            </w:pPr>
            <w:r w:rsidRPr="00C63860">
              <w:rPr>
                <w:bCs/>
              </w:rPr>
              <w:t>(7.7)</w:t>
            </w:r>
          </w:p>
          <w:p w14:paraId="150D42D6" w14:textId="77777777" w:rsidR="00C63860" w:rsidRPr="00C63860" w:rsidRDefault="00C87DCA" w:rsidP="00C87DCA">
            <w:pPr>
              <w:jc w:val="center"/>
              <w:rPr>
                <w:bCs/>
              </w:rPr>
            </w:pPr>
            <w:r w:rsidRPr="00C63860">
              <w:rPr>
                <w:bCs/>
              </w:rPr>
              <w:t>1,057</w:t>
            </w:r>
          </w:p>
          <w:p w14:paraId="5031A48A" w14:textId="329B90C2" w:rsidR="00C87DCA" w:rsidRPr="00C63860" w:rsidRDefault="00C87DCA" w:rsidP="00C87DCA">
            <w:pPr>
              <w:jc w:val="center"/>
              <w:rPr>
                <w:bCs/>
              </w:rPr>
            </w:pPr>
            <w:r w:rsidRPr="00C63860">
              <w:rPr>
                <w:bCs/>
              </w:rPr>
              <w:t>(1.7)</w:t>
            </w:r>
          </w:p>
        </w:tc>
        <w:tc>
          <w:tcPr>
            <w:tcW w:w="0" w:type="auto"/>
            <w:shd w:val="clear" w:color="auto" w:fill="auto"/>
          </w:tcPr>
          <w:p w14:paraId="7202E5E2" w14:textId="77777777" w:rsidR="00C63860" w:rsidRPr="00C63860" w:rsidRDefault="00C63860" w:rsidP="00C87DCA">
            <w:pPr>
              <w:jc w:val="center"/>
              <w:rPr>
                <w:bCs/>
              </w:rPr>
            </w:pPr>
          </w:p>
          <w:p w14:paraId="321DB1F6" w14:textId="77777777" w:rsidR="00C63860" w:rsidRPr="00C63860" w:rsidRDefault="00C87DCA" w:rsidP="00C87DCA">
            <w:pPr>
              <w:jc w:val="center"/>
              <w:rPr>
                <w:bCs/>
              </w:rPr>
            </w:pPr>
            <w:r w:rsidRPr="00C63860">
              <w:rPr>
                <w:bCs/>
              </w:rPr>
              <w:t>26,297</w:t>
            </w:r>
          </w:p>
          <w:p w14:paraId="57588034" w14:textId="38C9D5D9" w:rsidR="00C87DCA" w:rsidRPr="00C63860" w:rsidRDefault="00C87DCA" w:rsidP="00C87DCA">
            <w:pPr>
              <w:jc w:val="center"/>
              <w:rPr>
                <w:bCs/>
              </w:rPr>
            </w:pPr>
            <w:r w:rsidRPr="00C63860">
              <w:rPr>
                <w:bCs/>
              </w:rPr>
              <w:t>(59.9)</w:t>
            </w:r>
          </w:p>
          <w:p w14:paraId="2EB054EE" w14:textId="77777777" w:rsidR="00C63860" w:rsidRPr="00C63860" w:rsidRDefault="00C87DCA" w:rsidP="00C87DCA">
            <w:pPr>
              <w:jc w:val="center"/>
              <w:rPr>
                <w:bCs/>
              </w:rPr>
            </w:pPr>
            <w:r w:rsidRPr="00C63860">
              <w:rPr>
                <w:bCs/>
              </w:rPr>
              <w:t>12,163</w:t>
            </w:r>
          </w:p>
          <w:p w14:paraId="6BBDD9F5" w14:textId="3840F2D3" w:rsidR="00C87DCA" w:rsidRPr="00C63860" w:rsidRDefault="00C87DCA" w:rsidP="00C87DCA">
            <w:pPr>
              <w:jc w:val="center"/>
              <w:rPr>
                <w:bCs/>
              </w:rPr>
            </w:pPr>
            <w:r w:rsidRPr="00C63860">
              <w:rPr>
                <w:bCs/>
              </w:rPr>
              <w:t>(27.7)</w:t>
            </w:r>
          </w:p>
          <w:p w14:paraId="31420998" w14:textId="77777777" w:rsidR="00C63860" w:rsidRPr="00C63860" w:rsidRDefault="00C87DCA" w:rsidP="00C87DCA">
            <w:pPr>
              <w:jc w:val="center"/>
              <w:rPr>
                <w:bCs/>
              </w:rPr>
            </w:pPr>
            <w:r w:rsidRPr="00C63860">
              <w:rPr>
                <w:bCs/>
              </w:rPr>
              <w:t>4,169</w:t>
            </w:r>
          </w:p>
          <w:p w14:paraId="051424B2" w14:textId="3DB704DB" w:rsidR="00C87DCA" w:rsidRPr="00C63860" w:rsidRDefault="00C87DCA" w:rsidP="00C87DCA">
            <w:pPr>
              <w:jc w:val="center"/>
              <w:rPr>
                <w:bCs/>
              </w:rPr>
            </w:pPr>
            <w:r w:rsidRPr="00C63860">
              <w:rPr>
                <w:bCs/>
              </w:rPr>
              <w:t>(9.5)</w:t>
            </w:r>
          </w:p>
          <w:p w14:paraId="64FD23C6" w14:textId="77777777" w:rsidR="00C63860" w:rsidRPr="00C63860" w:rsidRDefault="00C87DCA" w:rsidP="00C87DCA">
            <w:pPr>
              <w:jc w:val="center"/>
              <w:rPr>
                <w:bCs/>
              </w:rPr>
            </w:pPr>
            <w:r w:rsidRPr="00C63860">
              <w:rPr>
                <w:bCs/>
              </w:rPr>
              <w:t>1,244</w:t>
            </w:r>
          </w:p>
          <w:p w14:paraId="076EE17B" w14:textId="4D76E35C" w:rsidR="00C87DCA" w:rsidRPr="00C63860" w:rsidRDefault="00C87DCA" w:rsidP="00C87DCA">
            <w:pPr>
              <w:jc w:val="center"/>
              <w:rPr>
                <w:bCs/>
              </w:rPr>
            </w:pPr>
            <w:r w:rsidRPr="00C63860">
              <w:rPr>
                <w:bCs/>
              </w:rPr>
              <w:t>(2.8)</w:t>
            </w:r>
          </w:p>
        </w:tc>
        <w:tc>
          <w:tcPr>
            <w:tcW w:w="0" w:type="auto"/>
            <w:shd w:val="clear" w:color="auto" w:fill="auto"/>
          </w:tcPr>
          <w:p w14:paraId="743A0A5B" w14:textId="77777777" w:rsidR="00C63860" w:rsidRPr="00C63860" w:rsidRDefault="00C63860" w:rsidP="00C87DCA">
            <w:pPr>
              <w:jc w:val="center"/>
              <w:rPr>
                <w:bCs/>
              </w:rPr>
            </w:pPr>
          </w:p>
          <w:p w14:paraId="18DD2A99" w14:textId="77777777" w:rsidR="00C63860" w:rsidRPr="00C63860" w:rsidRDefault="00C87DCA" w:rsidP="00C87DCA">
            <w:pPr>
              <w:jc w:val="center"/>
              <w:rPr>
                <w:bCs/>
              </w:rPr>
            </w:pPr>
            <w:r w:rsidRPr="00C63860">
              <w:rPr>
                <w:bCs/>
              </w:rPr>
              <w:t>22,487</w:t>
            </w:r>
          </w:p>
          <w:p w14:paraId="49ECF39A" w14:textId="5E525D96" w:rsidR="00C87DCA" w:rsidRPr="00C63860" w:rsidRDefault="00C87DCA" w:rsidP="00C87DCA">
            <w:pPr>
              <w:jc w:val="center"/>
              <w:rPr>
                <w:bCs/>
              </w:rPr>
            </w:pPr>
            <w:r w:rsidRPr="00C63860">
              <w:rPr>
                <w:bCs/>
              </w:rPr>
              <w:t>(55.5)</w:t>
            </w:r>
          </w:p>
          <w:p w14:paraId="64328C42" w14:textId="77777777" w:rsidR="00C63860" w:rsidRPr="00C63860" w:rsidRDefault="00C87DCA" w:rsidP="00C87DCA">
            <w:pPr>
              <w:jc w:val="center"/>
              <w:rPr>
                <w:bCs/>
              </w:rPr>
            </w:pPr>
            <w:r w:rsidRPr="00C63860">
              <w:rPr>
                <w:bCs/>
              </w:rPr>
              <w:t>12,849</w:t>
            </w:r>
          </w:p>
          <w:p w14:paraId="167E362C" w14:textId="77B7E0A8" w:rsidR="00C87DCA" w:rsidRPr="00C63860" w:rsidRDefault="00C87DCA" w:rsidP="00C87DCA">
            <w:pPr>
              <w:jc w:val="center"/>
              <w:rPr>
                <w:bCs/>
              </w:rPr>
            </w:pPr>
            <w:r w:rsidRPr="00C63860">
              <w:rPr>
                <w:bCs/>
              </w:rPr>
              <w:t>(31.7)</w:t>
            </w:r>
          </w:p>
          <w:p w14:paraId="46011C25" w14:textId="77777777" w:rsidR="00C63860" w:rsidRPr="00C63860" w:rsidRDefault="00C87DCA" w:rsidP="00C87DCA">
            <w:pPr>
              <w:jc w:val="center"/>
              <w:rPr>
                <w:bCs/>
              </w:rPr>
            </w:pPr>
            <w:r w:rsidRPr="00C63860">
              <w:rPr>
                <w:bCs/>
              </w:rPr>
              <w:t>4,221</w:t>
            </w:r>
          </w:p>
          <w:p w14:paraId="72E23B60" w14:textId="023BAA4E" w:rsidR="00C87DCA" w:rsidRPr="00C63860" w:rsidRDefault="00C87DCA" w:rsidP="00C87DCA">
            <w:pPr>
              <w:jc w:val="center"/>
              <w:rPr>
                <w:bCs/>
              </w:rPr>
            </w:pPr>
            <w:r w:rsidRPr="00C63860">
              <w:rPr>
                <w:bCs/>
              </w:rPr>
              <w:t>(10.4)</w:t>
            </w:r>
          </w:p>
          <w:p w14:paraId="5A5A884B" w14:textId="77777777" w:rsidR="00C63860" w:rsidRPr="00C63860" w:rsidRDefault="00C87DCA" w:rsidP="00C87DCA">
            <w:pPr>
              <w:jc w:val="center"/>
              <w:rPr>
                <w:bCs/>
              </w:rPr>
            </w:pPr>
            <w:r w:rsidRPr="00C63860">
              <w:rPr>
                <w:bCs/>
              </w:rPr>
              <w:t>993</w:t>
            </w:r>
          </w:p>
          <w:p w14:paraId="42B63403" w14:textId="33A19EEC" w:rsidR="00C87DCA" w:rsidRPr="00C63860" w:rsidRDefault="00C87DCA" w:rsidP="00C87DCA">
            <w:pPr>
              <w:jc w:val="center"/>
              <w:rPr>
                <w:bCs/>
              </w:rPr>
            </w:pPr>
            <w:r w:rsidRPr="00C63860">
              <w:rPr>
                <w:bCs/>
              </w:rPr>
              <w:t>(2.5)</w:t>
            </w:r>
          </w:p>
        </w:tc>
        <w:tc>
          <w:tcPr>
            <w:tcW w:w="0" w:type="auto"/>
            <w:shd w:val="clear" w:color="auto" w:fill="auto"/>
          </w:tcPr>
          <w:p w14:paraId="71AC3D9E" w14:textId="77777777" w:rsidR="00C63860" w:rsidRPr="00C63860" w:rsidRDefault="00C63860" w:rsidP="00C87DCA">
            <w:pPr>
              <w:jc w:val="center"/>
              <w:rPr>
                <w:bCs/>
              </w:rPr>
            </w:pPr>
          </w:p>
          <w:p w14:paraId="46DF5358" w14:textId="77777777" w:rsidR="00C63860" w:rsidRPr="00C63860" w:rsidRDefault="00C87DCA" w:rsidP="00C87DCA">
            <w:pPr>
              <w:jc w:val="center"/>
              <w:rPr>
                <w:bCs/>
              </w:rPr>
            </w:pPr>
            <w:r w:rsidRPr="00C63860">
              <w:rPr>
                <w:bCs/>
              </w:rPr>
              <w:t>47,161</w:t>
            </w:r>
          </w:p>
          <w:p w14:paraId="1CE38981" w14:textId="5E2B86CD" w:rsidR="00C87DCA" w:rsidRPr="00C63860" w:rsidRDefault="00C87DCA" w:rsidP="00C87DCA">
            <w:pPr>
              <w:jc w:val="center"/>
              <w:rPr>
                <w:bCs/>
              </w:rPr>
            </w:pPr>
            <w:r w:rsidRPr="00C63860">
              <w:rPr>
                <w:bCs/>
              </w:rPr>
              <w:t>(51.0)</w:t>
            </w:r>
          </w:p>
          <w:p w14:paraId="43262BEA" w14:textId="77777777" w:rsidR="00C63860" w:rsidRPr="00C63860" w:rsidRDefault="00C87DCA" w:rsidP="00C87DCA">
            <w:pPr>
              <w:jc w:val="center"/>
              <w:rPr>
                <w:bCs/>
              </w:rPr>
            </w:pPr>
            <w:r w:rsidRPr="00C63860">
              <w:rPr>
                <w:bCs/>
              </w:rPr>
              <w:t>29,296</w:t>
            </w:r>
          </w:p>
          <w:p w14:paraId="1B1F789B" w14:textId="008D2DE4" w:rsidR="00C87DCA" w:rsidRPr="00C63860" w:rsidRDefault="00C87DCA" w:rsidP="00C87DCA">
            <w:pPr>
              <w:jc w:val="center"/>
              <w:rPr>
                <w:bCs/>
              </w:rPr>
            </w:pPr>
            <w:r w:rsidRPr="00C63860">
              <w:rPr>
                <w:bCs/>
              </w:rPr>
              <w:t>(31.7)</w:t>
            </w:r>
          </w:p>
          <w:p w14:paraId="150DBB34" w14:textId="77777777" w:rsidR="00C63860" w:rsidRPr="00C63860" w:rsidRDefault="00C87DCA" w:rsidP="00C87DCA">
            <w:pPr>
              <w:jc w:val="center"/>
              <w:rPr>
                <w:bCs/>
              </w:rPr>
            </w:pPr>
            <w:r w:rsidRPr="00C63860">
              <w:rPr>
                <w:bCs/>
              </w:rPr>
              <w:t>12,425</w:t>
            </w:r>
          </w:p>
          <w:p w14:paraId="5BB341B1" w14:textId="2A6F90AB" w:rsidR="00C87DCA" w:rsidRPr="00C63860" w:rsidRDefault="00C87DCA" w:rsidP="00C87DCA">
            <w:pPr>
              <w:jc w:val="center"/>
              <w:rPr>
                <w:bCs/>
              </w:rPr>
            </w:pPr>
            <w:r w:rsidRPr="00C63860">
              <w:rPr>
                <w:bCs/>
              </w:rPr>
              <w:t>(13.4)</w:t>
            </w:r>
          </w:p>
          <w:p w14:paraId="2C1D4090" w14:textId="77777777" w:rsidR="00C63860" w:rsidRPr="00C63860" w:rsidRDefault="00C87DCA" w:rsidP="00C87DCA">
            <w:pPr>
              <w:jc w:val="center"/>
              <w:rPr>
                <w:bCs/>
              </w:rPr>
            </w:pPr>
            <w:r w:rsidRPr="00C63860">
              <w:rPr>
                <w:bCs/>
              </w:rPr>
              <w:t>3,641</w:t>
            </w:r>
          </w:p>
          <w:p w14:paraId="2649E087" w14:textId="4AD36D84" w:rsidR="00C87DCA" w:rsidRPr="00C63860" w:rsidRDefault="00C87DCA" w:rsidP="00C87DCA">
            <w:pPr>
              <w:jc w:val="center"/>
              <w:rPr>
                <w:bCs/>
              </w:rPr>
            </w:pPr>
            <w:r w:rsidRPr="00C63860">
              <w:rPr>
                <w:bCs/>
              </w:rPr>
              <w:t>(3.9)</w:t>
            </w:r>
          </w:p>
        </w:tc>
      </w:tr>
      <w:tr w:rsidR="00C87DCA" w:rsidRPr="00C63860" w14:paraId="0043FACB" w14:textId="77777777" w:rsidTr="00C63860">
        <w:trPr>
          <w:cantSplit/>
        </w:trPr>
        <w:tc>
          <w:tcPr>
            <w:tcW w:w="0" w:type="auto"/>
            <w:shd w:val="clear" w:color="auto" w:fill="auto"/>
          </w:tcPr>
          <w:p w14:paraId="176F6C17" w14:textId="6AD2A9F4" w:rsidR="00C87DCA" w:rsidRPr="00C63860" w:rsidRDefault="00C87DCA" w:rsidP="00C87DCA"/>
        </w:tc>
        <w:tc>
          <w:tcPr>
            <w:tcW w:w="0" w:type="auto"/>
            <w:shd w:val="clear" w:color="auto" w:fill="auto"/>
          </w:tcPr>
          <w:p w14:paraId="28926907" w14:textId="786B8D6F" w:rsidR="00C87DCA" w:rsidRPr="00C63860" w:rsidRDefault="00C87DCA" w:rsidP="00C87DCA">
            <w:pPr>
              <w:jc w:val="center"/>
            </w:pPr>
          </w:p>
        </w:tc>
        <w:tc>
          <w:tcPr>
            <w:tcW w:w="0" w:type="auto"/>
            <w:shd w:val="clear" w:color="auto" w:fill="auto"/>
          </w:tcPr>
          <w:p w14:paraId="13D3EDA3" w14:textId="232ADD63" w:rsidR="00C87DCA" w:rsidRPr="00C63860" w:rsidRDefault="00C87DCA" w:rsidP="00C87DCA">
            <w:pPr>
              <w:jc w:val="center"/>
            </w:pPr>
          </w:p>
        </w:tc>
        <w:tc>
          <w:tcPr>
            <w:tcW w:w="0" w:type="auto"/>
            <w:shd w:val="clear" w:color="auto" w:fill="auto"/>
          </w:tcPr>
          <w:p w14:paraId="4450539E" w14:textId="6B1C9660" w:rsidR="00C87DCA" w:rsidRPr="00C63860" w:rsidRDefault="00C87DCA" w:rsidP="00C87DCA">
            <w:pPr>
              <w:jc w:val="center"/>
            </w:pPr>
          </w:p>
        </w:tc>
        <w:tc>
          <w:tcPr>
            <w:tcW w:w="0" w:type="auto"/>
            <w:shd w:val="clear" w:color="auto" w:fill="auto"/>
          </w:tcPr>
          <w:p w14:paraId="58A4A03A" w14:textId="5D9F262B" w:rsidR="00C87DCA" w:rsidRPr="00C63860" w:rsidRDefault="00C87DCA" w:rsidP="00C87DCA">
            <w:pPr>
              <w:jc w:val="center"/>
            </w:pPr>
          </w:p>
        </w:tc>
        <w:tc>
          <w:tcPr>
            <w:tcW w:w="0" w:type="auto"/>
            <w:shd w:val="clear" w:color="auto" w:fill="auto"/>
          </w:tcPr>
          <w:p w14:paraId="3EA3A404" w14:textId="0722AA64" w:rsidR="00C87DCA" w:rsidRPr="00C63860" w:rsidRDefault="00C87DCA" w:rsidP="00C87DCA">
            <w:pPr>
              <w:jc w:val="center"/>
            </w:pPr>
          </w:p>
        </w:tc>
        <w:tc>
          <w:tcPr>
            <w:tcW w:w="0" w:type="auto"/>
            <w:shd w:val="clear" w:color="auto" w:fill="auto"/>
          </w:tcPr>
          <w:p w14:paraId="26D80A37" w14:textId="3D8879CE" w:rsidR="00C87DCA" w:rsidRPr="00C63860" w:rsidRDefault="00C87DCA" w:rsidP="00C87DCA">
            <w:pPr>
              <w:jc w:val="center"/>
            </w:pPr>
          </w:p>
        </w:tc>
        <w:tc>
          <w:tcPr>
            <w:tcW w:w="0" w:type="auto"/>
            <w:shd w:val="clear" w:color="auto" w:fill="auto"/>
          </w:tcPr>
          <w:p w14:paraId="490CB4E0" w14:textId="6BFDC5A2" w:rsidR="00C87DCA" w:rsidRPr="00C63860" w:rsidRDefault="00C87DCA" w:rsidP="00C87DCA">
            <w:pPr>
              <w:jc w:val="center"/>
            </w:pPr>
          </w:p>
        </w:tc>
        <w:tc>
          <w:tcPr>
            <w:tcW w:w="0" w:type="auto"/>
            <w:shd w:val="clear" w:color="auto" w:fill="auto"/>
          </w:tcPr>
          <w:p w14:paraId="0783C780" w14:textId="72792F48" w:rsidR="00C87DCA" w:rsidRPr="00C63860" w:rsidRDefault="00C87DCA" w:rsidP="00C87DCA">
            <w:pPr>
              <w:jc w:val="center"/>
            </w:pPr>
          </w:p>
        </w:tc>
        <w:tc>
          <w:tcPr>
            <w:tcW w:w="0" w:type="auto"/>
            <w:shd w:val="clear" w:color="auto" w:fill="auto"/>
          </w:tcPr>
          <w:p w14:paraId="65892FF9" w14:textId="54DBFD9B" w:rsidR="00C87DCA" w:rsidRPr="00C63860" w:rsidRDefault="00C87DCA" w:rsidP="00C87DCA">
            <w:pPr>
              <w:jc w:val="center"/>
            </w:pPr>
          </w:p>
        </w:tc>
        <w:tc>
          <w:tcPr>
            <w:tcW w:w="0" w:type="auto"/>
            <w:shd w:val="clear" w:color="auto" w:fill="auto"/>
          </w:tcPr>
          <w:p w14:paraId="5B023F51" w14:textId="3F59F834" w:rsidR="00C87DCA" w:rsidRPr="00C63860" w:rsidRDefault="00C87DCA" w:rsidP="00C87DCA">
            <w:pPr>
              <w:jc w:val="center"/>
            </w:pPr>
          </w:p>
        </w:tc>
      </w:tr>
      <w:tr w:rsidR="00C87DCA" w:rsidRPr="00C63860" w14:paraId="7F887598" w14:textId="77777777" w:rsidTr="00C63860">
        <w:trPr>
          <w:cantSplit/>
        </w:trPr>
        <w:tc>
          <w:tcPr>
            <w:tcW w:w="0" w:type="auto"/>
            <w:shd w:val="clear" w:color="auto" w:fill="auto"/>
          </w:tcPr>
          <w:p w14:paraId="16725136" w14:textId="77777777" w:rsidR="00C63860" w:rsidRPr="00C63860" w:rsidRDefault="00C87DCA" w:rsidP="00C87DCA">
            <w:pPr>
              <w:rPr>
                <w:b/>
                <w:bCs/>
              </w:rPr>
            </w:pPr>
            <w:r w:rsidRPr="00C63860">
              <w:rPr>
                <w:b/>
                <w:bCs/>
              </w:rPr>
              <w:t xml:space="preserve">SCARF frailty index, </w:t>
            </w:r>
            <w:r w:rsidRPr="00C63860">
              <w:rPr>
                <w:b/>
                <w:bCs/>
                <w:i/>
                <w:color w:val="00B0F0"/>
              </w:rPr>
              <w:t>n</w:t>
            </w:r>
            <w:r w:rsidRPr="00C63860">
              <w:rPr>
                <w:b/>
                <w:bCs/>
              </w:rPr>
              <w:t xml:space="preserve"> (%)</w:t>
            </w:r>
          </w:p>
          <w:p w14:paraId="512B1494" w14:textId="77777777" w:rsidR="00C63860" w:rsidRPr="00C63860" w:rsidRDefault="00C87DCA" w:rsidP="00C87DCA">
            <w:pPr>
              <w:rPr>
                <w:bCs/>
              </w:rPr>
            </w:pPr>
            <w:r w:rsidRPr="00C63860">
              <w:rPr>
                <w:bCs/>
              </w:rPr>
              <w:t>Fit</w:t>
            </w:r>
          </w:p>
          <w:p w14:paraId="1D3699BA" w14:textId="77777777" w:rsidR="00C63860" w:rsidRPr="00C63860" w:rsidRDefault="00C87DCA" w:rsidP="00C87DCA">
            <w:pPr>
              <w:rPr>
                <w:bCs/>
              </w:rPr>
            </w:pPr>
            <w:r w:rsidRPr="00C63860">
              <w:rPr>
                <w:bCs/>
              </w:rPr>
              <w:t>Mild frailty</w:t>
            </w:r>
          </w:p>
          <w:p w14:paraId="65CA1683" w14:textId="77777777" w:rsidR="00C63860" w:rsidRPr="00C63860" w:rsidRDefault="00C87DCA" w:rsidP="00C87DCA">
            <w:pPr>
              <w:rPr>
                <w:bCs/>
              </w:rPr>
            </w:pPr>
            <w:r w:rsidRPr="00C63860">
              <w:rPr>
                <w:bCs/>
              </w:rPr>
              <w:t>Moderate frailty</w:t>
            </w:r>
          </w:p>
          <w:p w14:paraId="120C71DD" w14:textId="52B43109" w:rsidR="00C87DCA" w:rsidRPr="00C63860" w:rsidRDefault="00C87DCA" w:rsidP="00C87DCA">
            <w:pPr>
              <w:rPr>
                <w:bCs/>
              </w:rPr>
            </w:pPr>
            <w:r w:rsidRPr="00C63860">
              <w:rPr>
                <w:bCs/>
              </w:rPr>
              <w:t>Severe frailty</w:t>
            </w:r>
          </w:p>
        </w:tc>
        <w:tc>
          <w:tcPr>
            <w:tcW w:w="0" w:type="auto"/>
            <w:shd w:val="clear" w:color="auto" w:fill="auto"/>
          </w:tcPr>
          <w:p w14:paraId="0278EB34" w14:textId="77777777" w:rsidR="00C87DCA" w:rsidRPr="00C63860" w:rsidRDefault="00C87DCA" w:rsidP="00C87DCA">
            <w:pPr>
              <w:jc w:val="center"/>
              <w:rPr>
                <w:bCs/>
              </w:rPr>
            </w:pPr>
          </w:p>
          <w:p w14:paraId="73E3DB0A" w14:textId="77777777" w:rsidR="00C87DCA" w:rsidRPr="00C63860" w:rsidRDefault="00C87DCA" w:rsidP="00C87DCA">
            <w:pPr>
              <w:jc w:val="center"/>
              <w:rPr>
                <w:bCs/>
              </w:rPr>
            </w:pPr>
            <w:r w:rsidRPr="00C63860">
              <w:rPr>
                <w:bCs/>
              </w:rPr>
              <w:t>206,796</w:t>
            </w:r>
          </w:p>
          <w:p w14:paraId="075714D6" w14:textId="77777777" w:rsidR="00C87DCA" w:rsidRPr="00C63860" w:rsidRDefault="00C87DCA" w:rsidP="00C87DCA">
            <w:pPr>
              <w:jc w:val="center"/>
              <w:rPr>
                <w:bCs/>
              </w:rPr>
            </w:pPr>
            <w:r w:rsidRPr="00C63860">
              <w:rPr>
                <w:bCs/>
              </w:rPr>
              <w:t>(83.6)</w:t>
            </w:r>
          </w:p>
          <w:p w14:paraId="2C1F8295" w14:textId="77777777" w:rsidR="00C63860" w:rsidRPr="00C63860" w:rsidRDefault="00C87DCA" w:rsidP="00C87DCA">
            <w:pPr>
              <w:jc w:val="center"/>
              <w:rPr>
                <w:bCs/>
              </w:rPr>
            </w:pPr>
            <w:r w:rsidRPr="00C63860">
              <w:rPr>
                <w:bCs/>
              </w:rPr>
              <w:t>34,544</w:t>
            </w:r>
          </w:p>
          <w:p w14:paraId="1840C073" w14:textId="7FF31953" w:rsidR="00C87DCA" w:rsidRPr="00C63860" w:rsidRDefault="00C87DCA" w:rsidP="00C87DCA">
            <w:pPr>
              <w:jc w:val="center"/>
              <w:rPr>
                <w:bCs/>
              </w:rPr>
            </w:pPr>
            <w:r w:rsidRPr="00C63860">
              <w:rPr>
                <w:bCs/>
              </w:rPr>
              <w:t>(14.0)</w:t>
            </w:r>
          </w:p>
          <w:p w14:paraId="15C5E21D" w14:textId="77777777" w:rsidR="00C63860" w:rsidRPr="00C63860" w:rsidRDefault="00C87DCA" w:rsidP="00C87DCA">
            <w:pPr>
              <w:jc w:val="center"/>
              <w:rPr>
                <w:bCs/>
              </w:rPr>
            </w:pPr>
            <w:r w:rsidRPr="00C63860">
              <w:rPr>
                <w:bCs/>
              </w:rPr>
              <w:t>5,041</w:t>
            </w:r>
          </w:p>
          <w:p w14:paraId="01E7012F" w14:textId="4FE16AAA" w:rsidR="00C87DCA" w:rsidRPr="00C63860" w:rsidRDefault="00C87DCA" w:rsidP="00C87DCA">
            <w:pPr>
              <w:jc w:val="center"/>
              <w:rPr>
                <w:bCs/>
              </w:rPr>
            </w:pPr>
            <w:r w:rsidRPr="00C63860">
              <w:rPr>
                <w:bCs/>
              </w:rPr>
              <w:t>(2.0)</w:t>
            </w:r>
          </w:p>
          <w:p w14:paraId="46F14ABE" w14:textId="77777777" w:rsidR="00C63860" w:rsidRPr="00C63860" w:rsidRDefault="00C87DCA" w:rsidP="00C87DCA">
            <w:pPr>
              <w:jc w:val="center"/>
              <w:rPr>
                <w:bCs/>
              </w:rPr>
            </w:pPr>
            <w:r w:rsidRPr="00C63860">
              <w:rPr>
                <w:bCs/>
              </w:rPr>
              <w:t>1,125</w:t>
            </w:r>
          </w:p>
          <w:p w14:paraId="25ADA3C8" w14:textId="63802AA8" w:rsidR="00C87DCA" w:rsidRPr="00C63860" w:rsidRDefault="00C87DCA" w:rsidP="00C87DCA">
            <w:pPr>
              <w:jc w:val="center"/>
              <w:rPr>
                <w:bCs/>
              </w:rPr>
            </w:pPr>
            <w:r w:rsidRPr="00C63860">
              <w:rPr>
                <w:bCs/>
              </w:rPr>
              <w:t>(0.5)</w:t>
            </w:r>
          </w:p>
        </w:tc>
        <w:tc>
          <w:tcPr>
            <w:tcW w:w="0" w:type="auto"/>
            <w:shd w:val="clear" w:color="auto" w:fill="auto"/>
          </w:tcPr>
          <w:p w14:paraId="1170FF3C" w14:textId="77777777" w:rsidR="00C87DCA" w:rsidRPr="00C63860" w:rsidRDefault="00C87DCA" w:rsidP="00C87DCA">
            <w:pPr>
              <w:jc w:val="center"/>
              <w:rPr>
                <w:bCs/>
              </w:rPr>
            </w:pPr>
          </w:p>
          <w:p w14:paraId="36FC5087" w14:textId="77777777" w:rsidR="00C87DCA" w:rsidRPr="00C63860" w:rsidRDefault="00C87DCA" w:rsidP="00C87DCA">
            <w:pPr>
              <w:jc w:val="center"/>
              <w:rPr>
                <w:bCs/>
              </w:rPr>
            </w:pPr>
            <w:r w:rsidRPr="00C63860">
              <w:rPr>
                <w:bCs/>
              </w:rPr>
              <w:t>15,015 (72.8)</w:t>
            </w:r>
          </w:p>
          <w:p w14:paraId="2A54BE3B" w14:textId="77777777" w:rsidR="00C63860" w:rsidRPr="00C63860" w:rsidRDefault="00C87DCA" w:rsidP="00C87DCA">
            <w:pPr>
              <w:jc w:val="center"/>
              <w:rPr>
                <w:bCs/>
              </w:rPr>
            </w:pPr>
            <w:r w:rsidRPr="00C63860">
              <w:rPr>
                <w:bCs/>
              </w:rPr>
              <w:t>4,052</w:t>
            </w:r>
          </w:p>
          <w:p w14:paraId="00A3B74E" w14:textId="31CD4174" w:rsidR="00C87DCA" w:rsidRPr="00C63860" w:rsidRDefault="00C87DCA" w:rsidP="00C87DCA">
            <w:pPr>
              <w:jc w:val="center"/>
              <w:rPr>
                <w:bCs/>
              </w:rPr>
            </w:pPr>
            <w:r w:rsidRPr="00C63860">
              <w:rPr>
                <w:bCs/>
              </w:rPr>
              <w:t>(19.6)</w:t>
            </w:r>
          </w:p>
          <w:p w14:paraId="38B78DFB" w14:textId="77777777" w:rsidR="00C63860" w:rsidRPr="00C63860" w:rsidRDefault="00C87DCA" w:rsidP="00C87DCA">
            <w:pPr>
              <w:jc w:val="center"/>
              <w:rPr>
                <w:bCs/>
              </w:rPr>
            </w:pPr>
            <w:r w:rsidRPr="00C63860">
              <w:rPr>
                <w:bCs/>
              </w:rPr>
              <w:t>1,155</w:t>
            </w:r>
          </w:p>
          <w:p w14:paraId="7A933565" w14:textId="1012B507" w:rsidR="00C87DCA" w:rsidRPr="00C63860" w:rsidRDefault="00C87DCA" w:rsidP="00C87DCA">
            <w:pPr>
              <w:jc w:val="center"/>
              <w:rPr>
                <w:bCs/>
              </w:rPr>
            </w:pPr>
            <w:r w:rsidRPr="00C63860">
              <w:rPr>
                <w:bCs/>
              </w:rPr>
              <w:t>(5.6)</w:t>
            </w:r>
          </w:p>
          <w:p w14:paraId="397A19E3" w14:textId="77777777" w:rsidR="00C63860" w:rsidRPr="00C63860" w:rsidRDefault="00C87DCA" w:rsidP="00C87DCA">
            <w:pPr>
              <w:jc w:val="center"/>
              <w:rPr>
                <w:bCs/>
              </w:rPr>
            </w:pPr>
            <w:r w:rsidRPr="00C63860">
              <w:rPr>
                <w:bCs/>
              </w:rPr>
              <w:t>416</w:t>
            </w:r>
          </w:p>
          <w:p w14:paraId="16F9D78C" w14:textId="74CEB81D" w:rsidR="00C87DCA" w:rsidRPr="00C63860" w:rsidRDefault="00C87DCA" w:rsidP="00C87DCA">
            <w:pPr>
              <w:jc w:val="center"/>
              <w:rPr>
                <w:bCs/>
              </w:rPr>
            </w:pPr>
            <w:r w:rsidRPr="00C63860">
              <w:rPr>
                <w:bCs/>
              </w:rPr>
              <w:t>(2.0)</w:t>
            </w:r>
          </w:p>
        </w:tc>
        <w:tc>
          <w:tcPr>
            <w:tcW w:w="0" w:type="auto"/>
            <w:shd w:val="clear" w:color="auto" w:fill="auto"/>
          </w:tcPr>
          <w:p w14:paraId="09CED939" w14:textId="77777777" w:rsidR="00C87DCA" w:rsidRPr="00C63860" w:rsidRDefault="00C87DCA" w:rsidP="00C87DCA">
            <w:pPr>
              <w:jc w:val="center"/>
              <w:rPr>
                <w:bCs/>
              </w:rPr>
            </w:pPr>
          </w:p>
          <w:p w14:paraId="58E4F15B" w14:textId="77777777" w:rsidR="00C63860" w:rsidRPr="00C63860" w:rsidRDefault="00C87DCA" w:rsidP="00C87DCA">
            <w:pPr>
              <w:jc w:val="center"/>
              <w:rPr>
                <w:bCs/>
              </w:rPr>
            </w:pPr>
            <w:r w:rsidRPr="00C63860">
              <w:rPr>
                <w:bCs/>
              </w:rPr>
              <w:t>34,056</w:t>
            </w:r>
          </w:p>
          <w:p w14:paraId="6B4ED037" w14:textId="1C3FDBEE" w:rsidR="00C87DCA" w:rsidRPr="00C63860" w:rsidRDefault="00C87DCA" w:rsidP="00C87DCA">
            <w:pPr>
              <w:jc w:val="center"/>
              <w:rPr>
                <w:bCs/>
              </w:rPr>
            </w:pPr>
            <w:r w:rsidRPr="00C63860">
              <w:rPr>
                <w:bCs/>
              </w:rPr>
              <w:t>(65.5)</w:t>
            </w:r>
          </w:p>
          <w:p w14:paraId="05CA2CDD" w14:textId="77777777" w:rsidR="00C63860" w:rsidRPr="00C63860" w:rsidRDefault="00C87DCA" w:rsidP="00C87DCA">
            <w:pPr>
              <w:jc w:val="center"/>
              <w:rPr>
                <w:bCs/>
              </w:rPr>
            </w:pPr>
            <w:r w:rsidRPr="00C63860">
              <w:rPr>
                <w:bCs/>
              </w:rPr>
              <w:t>13,608</w:t>
            </w:r>
          </w:p>
          <w:p w14:paraId="381AA223" w14:textId="620C1D3A" w:rsidR="00C87DCA" w:rsidRPr="00C63860" w:rsidRDefault="00C87DCA" w:rsidP="00C87DCA">
            <w:pPr>
              <w:jc w:val="center"/>
              <w:rPr>
                <w:bCs/>
              </w:rPr>
            </w:pPr>
            <w:r w:rsidRPr="00C63860">
              <w:rPr>
                <w:bCs/>
              </w:rPr>
              <w:t>(26.2)</w:t>
            </w:r>
          </w:p>
          <w:p w14:paraId="6B9FF167" w14:textId="77777777" w:rsidR="00C63860" w:rsidRPr="00C63860" w:rsidRDefault="00C87DCA" w:rsidP="00C87DCA">
            <w:pPr>
              <w:jc w:val="center"/>
              <w:rPr>
                <w:bCs/>
              </w:rPr>
            </w:pPr>
            <w:r w:rsidRPr="00C63860">
              <w:rPr>
                <w:bCs/>
              </w:rPr>
              <w:t>3,385</w:t>
            </w:r>
          </w:p>
          <w:p w14:paraId="3377B264" w14:textId="3827D840" w:rsidR="00C87DCA" w:rsidRPr="00C63860" w:rsidRDefault="00C87DCA" w:rsidP="00C87DCA">
            <w:pPr>
              <w:jc w:val="center"/>
              <w:rPr>
                <w:bCs/>
              </w:rPr>
            </w:pPr>
            <w:r w:rsidRPr="00C63860">
              <w:rPr>
                <w:bCs/>
              </w:rPr>
              <w:t>(6.5)</w:t>
            </w:r>
          </w:p>
          <w:p w14:paraId="112974E0" w14:textId="77777777" w:rsidR="00C63860" w:rsidRPr="00C63860" w:rsidRDefault="00C87DCA" w:rsidP="00C87DCA">
            <w:pPr>
              <w:jc w:val="center"/>
              <w:rPr>
                <w:bCs/>
              </w:rPr>
            </w:pPr>
            <w:r w:rsidRPr="00C63860">
              <w:rPr>
                <w:bCs/>
              </w:rPr>
              <w:t>955</w:t>
            </w:r>
          </w:p>
          <w:p w14:paraId="28CF2086" w14:textId="71FCFAAB" w:rsidR="00C87DCA" w:rsidRPr="00C63860" w:rsidRDefault="00C87DCA" w:rsidP="00C87DCA">
            <w:pPr>
              <w:jc w:val="center"/>
              <w:rPr>
                <w:bCs/>
              </w:rPr>
            </w:pPr>
            <w:r w:rsidRPr="00C63860">
              <w:rPr>
                <w:bCs/>
              </w:rPr>
              <w:t>(1.8)</w:t>
            </w:r>
          </w:p>
        </w:tc>
        <w:tc>
          <w:tcPr>
            <w:tcW w:w="0" w:type="auto"/>
            <w:shd w:val="clear" w:color="auto" w:fill="auto"/>
          </w:tcPr>
          <w:p w14:paraId="2D1F7259" w14:textId="77777777" w:rsidR="00C87DCA" w:rsidRPr="00C63860" w:rsidRDefault="00C87DCA" w:rsidP="00C87DCA">
            <w:pPr>
              <w:jc w:val="center"/>
              <w:rPr>
                <w:bCs/>
              </w:rPr>
            </w:pPr>
          </w:p>
          <w:p w14:paraId="79108731" w14:textId="77777777" w:rsidR="00C63860" w:rsidRPr="00C63860" w:rsidRDefault="00C87DCA" w:rsidP="00C87DCA">
            <w:pPr>
              <w:jc w:val="center"/>
              <w:rPr>
                <w:bCs/>
              </w:rPr>
            </w:pPr>
            <w:r w:rsidRPr="00C63860">
              <w:rPr>
                <w:bCs/>
              </w:rPr>
              <w:t>114,973</w:t>
            </w:r>
          </w:p>
          <w:p w14:paraId="06A31D6A" w14:textId="7E756780" w:rsidR="00C87DCA" w:rsidRPr="00C63860" w:rsidRDefault="00C87DCA" w:rsidP="00C87DCA">
            <w:pPr>
              <w:jc w:val="center"/>
              <w:rPr>
                <w:bCs/>
              </w:rPr>
            </w:pPr>
            <w:r w:rsidRPr="00C63860">
              <w:rPr>
                <w:bCs/>
              </w:rPr>
              <w:t>(60.8)</w:t>
            </w:r>
          </w:p>
          <w:p w14:paraId="70B2F448" w14:textId="77777777" w:rsidR="00C63860" w:rsidRPr="00C63860" w:rsidRDefault="00C87DCA" w:rsidP="00C87DCA">
            <w:pPr>
              <w:jc w:val="center"/>
              <w:rPr>
                <w:bCs/>
              </w:rPr>
            </w:pPr>
            <w:r w:rsidRPr="00C63860">
              <w:rPr>
                <w:bCs/>
              </w:rPr>
              <w:t>52,629</w:t>
            </w:r>
          </w:p>
          <w:p w14:paraId="7852D989" w14:textId="0A1F6002" w:rsidR="00C87DCA" w:rsidRPr="00C63860" w:rsidRDefault="00C87DCA" w:rsidP="00C87DCA">
            <w:pPr>
              <w:jc w:val="center"/>
              <w:rPr>
                <w:bCs/>
              </w:rPr>
            </w:pPr>
            <w:r w:rsidRPr="00C63860">
              <w:rPr>
                <w:bCs/>
              </w:rPr>
              <w:t>(27.9)</w:t>
            </w:r>
          </w:p>
          <w:p w14:paraId="1E4FD48D" w14:textId="77777777" w:rsidR="00C63860" w:rsidRPr="00C63860" w:rsidRDefault="00C87DCA" w:rsidP="00C87DCA">
            <w:pPr>
              <w:jc w:val="center"/>
              <w:rPr>
                <w:bCs/>
              </w:rPr>
            </w:pPr>
            <w:r w:rsidRPr="00C63860">
              <w:rPr>
                <w:bCs/>
              </w:rPr>
              <w:t>16,175</w:t>
            </w:r>
          </w:p>
          <w:p w14:paraId="7852C94E" w14:textId="1C5259E8" w:rsidR="00C87DCA" w:rsidRPr="00C63860" w:rsidRDefault="00C87DCA" w:rsidP="00C87DCA">
            <w:pPr>
              <w:jc w:val="center"/>
              <w:rPr>
                <w:bCs/>
              </w:rPr>
            </w:pPr>
            <w:r w:rsidRPr="00C63860">
              <w:rPr>
                <w:bCs/>
              </w:rPr>
              <w:t>(8.6)</w:t>
            </w:r>
          </w:p>
          <w:p w14:paraId="68008FD2" w14:textId="77777777" w:rsidR="00C63860" w:rsidRPr="00C63860" w:rsidRDefault="00C87DCA" w:rsidP="00C87DCA">
            <w:pPr>
              <w:jc w:val="center"/>
              <w:rPr>
                <w:bCs/>
              </w:rPr>
            </w:pPr>
            <w:r w:rsidRPr="00C63860">
              <w:rPr>
                <w:bCs/>
              </w:rPr>
              <w:t>5,196</w:t>
            </w:r>
          </w:p>
          <w:p w14:paraId="2A7BEE05" w14:textId="7799F2B2" w:rsidR="00C87DCA" w:rsidRPr="00C63860" w:rsidRDefault="00C87DCA" w:rsidP="00C87DCA">
            <w:pPr>
              <w:jc w:val="center"/>
              <w:rPr>
                <w:bCs/>
              </w:rPr>
            </w:pPr>
            <w:r w:rsidRPr="00C63860">
              <w:rPr>
                <w:bCs/>
              </w:rPr>
              <w:t>(2.8)</w:t>
            </w:r>
          </w:p>
        </w:tc>
        <w:tc>
          <w:tcPr>
            <w:tcW w:w="0" w:type="auto"/>
            <w:shd w:val="clear" w:color="auto" w:fill="auto"/>
          </w:tcPr>
          <w:p w14:paraId="6F66F102" w14:textId="77777777" w:rsidR="00C87DCA" w:rsidRPr="00C63860" w:rsidRDefault="00C87DCA" w:rsidP="00C87DCA">
            <w:pPr>
              <w:jc w:val="center"/>
              <w:rPr>
                <w:bCs/>
              </w:rPr>
            </w:pPr>
          </w:p>
          <w:p w14:paraId="5576E553" w14:textId="77777777" w:rsidR="00C63860" w:rsidRPr="00C63860" w:rsidRDefault="00C87DCA" w:rsidP="00C87DCA">
            <w:pPr>
              <w:jc w:val="center"/>
              <w:rPr>
                <w:bCs/>
              </w:rPr>
            </w:pPr>
            <w:r w:rsidRPr="00C63860">
              <w:rPr>
                <w:bCs/>
              </w:rPr>
              <w:t>6,197</w:t>
            </w:r>
          </w:p>
          <w:p w14:paraId="2C27B293" w14:textId="789A608C" w:rsidR="00C87DCA" w:rsidRPr="00C63860" w:rsidRDefault="00C87DCA" w:rsidP="00C87DCA">
            <w:pPr>
              <w:jc w:val="center"/>
              <w:rPr>
                <w:bCs/>
              </w:rPr>
            </w:pPr>
            <w:r w:rsidRPr="00C63860">
              <w:rPr>
                <w:bCs/>
              </w:rPr>
              <w:t>(39.3)</w:t>
            </w:r>
          </w:p>
          <w:p w14:paraId="74800774" w14:textId="77777777" w:rsidR="00C63860" w:rsidRPr="00C63860" w:rsidRDefault="00C87DCA" w:rsidP="00C87DCA">
            <w:pPr>
              <w:jc w:val="center"/>
              <w:rPr>
                <w:bCs/>
              </w:rPr>
            </w:pPr>
            <w:r w:rsidRPr="00C63860">
              <w:rPr>
                <w:bCs/>
              </w:rPr>
              <w:t>5,631</w:t>
            </w:r>
          </w:p>
          <w:p w14:paraId="6B1302D3" w14:textId="4D4894C4" w:rsidR="00C87DCA" w:rsidRPr="00C63860" w:rsidRDefault="00C87DCA" w:rsidP="00C87DCA">
            <w:pPr>
              <w:jc w:val="center"/>
              <w:rPr>
                <w:bCs/>
              </w:rPr>
            </w:pPr>
            <w:r w:rsidRPr="00C63860">
              <w:rPr>
                <w:bCs/>
              </w:rPr>
              <w:t>(35.7)</w:t>
            </w:r>
          </w:p>
          <w:p w14:paraId="2E93D864" w14:textId="77777777" w:rsidR="00C63860" w:rsidRPr="00C63860" w:rsidRDefault="00C87DCA" w:rsidP="00C87DCA">
            <w:pPr>
              <w:jc w:val="center"/>
              <w:rPr>
                <w:bCs/>
              </w:rPr>
            </w:pPr>
            <w:r w:rsidRPr="00C63860">
              <w:rPr>
                <w:bCs/>
              </w:rPr>
              <w:t>2,706</w:t>
            </w:r>
          </w:p>
          <w:p w14:paraId="2E5DE800" w14:textId="6EAAEEB0" w:rsidR="00C87DCA" w:rsidRPr="00C63860" w:rsidRDefault="00C87DCA" w:rsidP="00C87DCA">
            <w:pPr>
              <w:jc w:val="center"/>
              <w:rPr>
                <w:bCs/>
              </w:rPr>
            </w:pPr>
            <w:r w:rsidRPr="00C63860">
              <w:rPr>
                <w:bCs/>
              </w:rPr>
              <w:t>(17.2)</w:t>
            </w:r>
          </w:p>
          <w:p w14:paraId="721F8BBA" w14:textId="77777777" w:rsidR="00C63860" w:rsidRPr="00C63860" w:rsidRDefault="00C87DCA" w:rsidP="00C87DCA">
            <w:pPr>
              <w:jc w:val="center"/>
              <w:rPr>
                <w:bCs/>
              </w:rPr>
            </w:pPr>
            <w:r w:rsidRPr="00C63860">
              <w:rPr>
                <w:bCs/>
              </w:rPr>
              <w:t>1,238</w:t>
            </w:r>
          </w:p>
          <w:p w14:paraId="27AFCDB5" w14:textId="78E130F1" w:rsidR="00C87DCA" w:rsidRPr="00C63860" w:rsidRDefault="00C87DCA" w:rsidP="00C87DCA">
            <w:pPr>
              <w:jc w:val="center"/>
              <w:rPr>
                <w:bCs/>
              </w:rPr>
            </w:pPr>
            <w:r w:rsidRPr="00C63860">
              <w:rPr>
                <w:bCs/>
              </w:rPr>
              <w:t>(7.9)</w:t>
            </w:r>
          </w:p>
        </w:tc>
        <w:tc>
          <w:tcPr>
            <w:tcW w:w="0" w:type="auto"/>
            <w:shd w:val="clear" w:color="auto" w:fill="auto"/>
          </w:tcPr>
          <w:p w14:paraId="1E735898" w14:textId="77777777" w:rsidR="00C87DCA" w:rsidRPr="00C63860" w:rsidRDefault="00C87DCA" w:rsidP="00C87DCA">
            <w:pPr>
              <w:jc w:val="center"/>
              <w:rPr>
                <w:bCs/>
              </w:rPr>
            </w:pPr>
          </w:p>
          <w:p w14:paraId="22D42B70" w14:textId="77777777" w:rsidR="00C63860" w:rsidRPr="00C63860" w:rsidRDefault="00C87DCA" w:rsidP="00C87DCA">
            <w:pPr>
              <w:jc w:val="center"/>
              <w:rPr>
                <w:bCs/>
              </w:rPr>
            </w:pPr>
            <w:r w:rsidRPr="00C63860">
              <w:rPr>
                <w:bCs/>
              </w:rPr>
              <w:t>65,911</w:t>
            </w:r>
          </w:p>
          <w:p w14:paraId="780A3628" w14:textId="3F405A47" w:rsidR="00C87DCA" w:rsidRPr="00C63860" w:rsidRDefault="00C87DCA" w:rsidP="00C87DCA">
            <w:pPr>
              <w:jc w:val="center"/>
              <w:rPr>
                <w:bCs/>
              </w:rPr>
            </w:pPr>
            <w:r w:rsidRPr="00C63860">
              <w:rPr>
                <w:bCs/>
              </w:rPr>
              <w:t>(53.5)</w:t>
            </w:r>
          </w:p>
          <w:p w14:paraId="6A0F6331" w14:textId="77777777" w:rsidR="00C63860" w:rsidRPr="00C63860" w:rsidRDefault="00C87DCA" w:rsidP="00C87DCA">
            <w:pPr>
              <w:jc w:val="center"/>
              <w:rPr>
                <w:bCs/>
              </w:rPr>
            </w:pPr>
            <w:r w:rsidRPr="00C63860">
              <w:rPr>
                <w:bCs/>
              </w:rPr>
              <w:t>38,851</w:t>
            </w:r>
          </w:p>
          <w:p w14:paraId="52AC17D3" w14:textId="409332C4" w:rsidR="00C87DCA" w:rsidRPr="00C63860" w:rsidRDefault="00C87DCA" w:rsidP="00C87DCA">
            <w:pPr>
              <w:jc w:val="center"/>
              <w:rPr>
                <w:bCs/>
              </w:rPr>
            </w:pPr>
            <w:r w:rsidRPr="00C63860">
              <w:rPr>
                <w:bCs/>
              </w:rPr>
              <w:t>(31.6)</w:t>
            </w:r>
          </w:p>
          <w:p w14:paraId="70CA434A" w14:textId="77777777" w:rsidR="00C63860" w:rsidRPr="00C63860" w:rsidRDefault="00C87DCA" w:rsidP="00C87DCA">
            <w:pPr>
              <w:jc w:val="center"/>
              <w:rPr>
                <w:bCs/>
              </w:rPr>
            </w:pPr>
            <w:r w:rsidRPr="00C63860">
              <w:rPr>
                <w:bCs/>
              </w:rPr>
              <w:t>13,433</w:t>
            </w:r>
          </w:p>
          <w:p w14:paraId="3452AD62" w14:textId="6B5D2E68" w:rsidR="00C87DCA" w:rsidRPr="00C63860" w:rsidRDefault="00C87DCA" w:rsidP="00C87DCA">
            <w:pPr>
              <w:jc w:val="center"/>
              <w:rPr>
                <w:bCs/>
              </w:rPr>
            </w:pPr>
            <w:r w:rsidRPr="00C63860">
              <w:rPr>
                <w:bCs/>
              </w:rPr>
              <w:t>(10.9)</w:t>
            </w:r>
          </w:p>
          <w:p w14:paraId="63E2265C" w14:textId="77777777" w:rsidR="00C63860" w:rsidRPr="00C63860" w:rsidRDefault="00C87DCA" w:rsidP="00C87DCA">
            <w:pPr>
              <w:jc w:val="center"/>
              <w:rPr>
                <w:bCs/>
              </w:rPr>
            </w:pPr>
            <w:r w:rsidRPr="00C63860">
              <w:rPr>
                <w:bCs/>
              </w:rPr>
              <w:t>4,902</w:t>
            </w:r>
          </w:p>
          <w:p w14:paraId="3CE3718A" w14:textId="1A84634C" w:rsidR="00C87DCA" w:rsidRPr="00C63860" w:rsidRDefault="00C87DCA" w:rsidP="00C87DCA">
            <w:pPr>
              <w:jc w:val="center"/>
              <w:rPr>
                <w:bCs/>
              </w:rPr>
            </w:pPr>
            <w:r w:rsidRPr="00C63860">
              <w:rPr>
                <w:bCs/>
              </w:rPr>
              <w:t>(4.0)</w:t>
            </w:r>
          </w:p>
        </w:tc>
        <w:tc>
          <w:tcPr>
            <w:tcW w:w="0" w:type="auto"/>
            <w:shd w:val="clear" w:color="auto" w:fill="auto"/>
          </w:tcPr>
          <w:p w14:paraId="7C87A2D5" w14:textId="77777777" w:rsidR="00C87DCA" w:rsidRPr="00C63860" w:rsidRDefault="00C87DCA" w:rsidP="00C87DCA">
            <w:pPr>
              <w:jc w:val="center"/>
              <w:rPr>
                <w:bCs/>
              </w:rPr>
            </w:pPr>
          </w:p>
          <w:p w14:paraId="283FDEB9" w14:textId="77777777" w:rsidR="00C63860" w:rsidRPr="00C63860" w:rsidRDefault="00C87DCA" w:rsidP="00C87DCA">
            <w:pPr>
              <w:jc w:val="center"/>
              <w:rPr>
                <w:bCs/>
              </w:rPr>
            </w:pPr>
            <w:r w:rsidRPr="00C63860">
              <w:rPr>
                <w:bCs/>
              </w:rPr>
              <w:t>33,014</w:t>
            </w:r>
          </w:p>
          <w:p w14:paraId="68EDDF39" w14:textId="75E689C2" w:rsidR="00C87DCA" w:rsidRPr="00C63860" w:rsidRDefault="00C87DCA" w:rsidP="00C87DCA">
            <w:pPr>
              <w:jc w:val="center"/>
              <w:rPr>
                <w:bCs/>
              </w:rPr>
            </w:pPr>
            <w:r w:rsidRPr="00C63860">
              <w:rPr>
                <w:bCs/>
              </w:rPr>
              <w:t>(52.8)</w:t>
            </w:r>
          </w:p>
          <w:p w14:paraId="60E01C15" w14:textId="77777777" w:rsidR="00C63860" w:rsidRPr="00C63860" w:rsidRDefault="00C87DCA" w:rsidP="00C87DCA">
            <w:pPr>
              <w:jc w:val="center"/>
              <w:rPr>
                <w:bCs/>
              </w:rPr>
            </w:pPr>
            <w:r w:rsidRPr="00C63860">
              <w:rPr>
                <w:bCs/>
              </w:rPr>
              <w:t>19,608</w:t>
            </w:r>
          </w:p>
          <w:p w14:paraId="041A0A03" w14:textId="355033CD" w:rsidR="00C87DCA" w:rsidRPr="00C63860" w:rsidRDefault="00C87DCA" w:rsidP="00C87DCA">
            <w:pPr>
              <w:jc w:val="center"/>
              <w:rPr>
                <w:bCs/>
              </w:rPr>
            </w:pPr>
            <w:r w:rsidRPr="00C63860">
              <w:rPr>
                <w:bCs/>
              </w:rPr>
              <w:t>(31.3)</w:t>
            </w:r>
          </w:p>
          <w:p w14:paraId="3B55CAA4" w14:textId="77777777" w:rsidR="00C63860" w:rsidRPr="00C63860" w:rsidRDefault="00C87DCA" w:rsidP="00C87DCA">
            <w:pPr>
              <w:jc w:val="center"/>
              <w:rPr>
                <w:bCs/>
              </w:rPr>
            </w:pPr>
            <w:r w:rsidRPr="00C63860">
              <w:rPr>
                <w:bCs/>
              </w:rPr>
              <w:t>7,360</w:t>
            </w:r>
          </w:p>
          <w:p w14:paraId="4B63E8B5" w14:textId="10A23EF4" w:rsidR="00C87DCA" w:rsidRPr="00C63860" w:rsidRDefault="00C87DCA" w:rsidP="00C87DCA">
            <w:pPr>
              <w:jc w:val="center"/>
              <w:rPr>
                <w:bCs/>
              </w:rPr>
            </w:pPr>
            <w:r w:rsidRPr="00C63860">
              <w:rPr>
                <w:bCs/>
              </w:rPr>
              <w:t>(11.8)</w:t>
            </w:r>
          </w:p>
          <w:p w14:paraId="28B749AA" w14:textId="77777777" w:rsidR="00C63860" w:rsidRPr="00C63860" w:rsidRDefault="00C87DCA" w:rsidP="00C87DCA">
            <w:pPr>
              <w:jc w:val="center"/>
              <w:rPr>
                <w:bCs/>
              </w:rPr>
            </w:pPr>
            <w:r w:rsidRPr="00C63860">
              <w:rPr>
                <w:bCs/>
              </w:rPr>
              <w:t>2,577</w:t>
            </w:r>
          </w:p>
          <w:p w14:paraId="752FA0AE" w14:textId="654BD1AA" w:rsidR="00C87DCA" w:rsidRPr="00C63860" w:rsidRDefault="00C87DCA" w:rsidP="00C87DCA">
            <w:pPr>
              <w:jc w:val="center"/>
              <w:rPr>
                <w:bCs/>
              </w:rPr>
            </w:pPr>
            <w:r w:rsidRPr="00C63860">
              <w:rPr>
                <w:bCs/>
              </w:rPr>
              <w:t>(4.1)</w:t>
            </w:r>
          </w:p>
        </w:tc>
        <w:tc>
          <w:tcPr>
            <w:tcW w:w="0" w:type="auto"/>
            <w:shd w:val="clear" w:color="auto" w:fill="auto"/>
          </w:tcPr>
          <w:p w14:paraId="3F341B49" w14:textId="77777777" w:rsidR="00C87DCA" w:rsidRPr="00C63860" w:rsidRDefault="00C87DCA" w:rsidP="00C87DCA">
            <w:pPr>
              <w:jc w:val="center"/>
              <w:rPr>
                <w:bCs/>
              </w:rPr>
            </w:pPr>
          </w:p>
          <w:p w14:paraId="66D646C5" w14:textId="77777777" w:rsidR="00C63860" w:rsidRPr="00C63860" w:rsidRDefault="00C87DCA" w:rsidP="00C87DCA">
            <w:pPr>
              <w:jc w:val="center"/>
              <w:rPr>
                <w:bCs/>
              </w:rPr>
            </w:pPr>
            <w:r w:rsidRPr="00C63860">
              <w:rPr>
                <w:bCs/>
              </w:rPr>
              <w:t>23,871</w:t>
            </w:r>
          </w:p>
          <w:p w14:paraId="394DDC2E" w14:textId="1A91CF9C" w:rsidR="00C87DCA" w:rsidRPr="00C63860" w:rsidRDefault="00C87DCA" w:rsidP="00C87DCA">
            <w:pPr>
              <w:jc w:val="center"/>
              <w:rPr>
                <w:bCs/>
              </w:rPr>
            </w:pPr>
            <w:r w:rsidRPr="00C63860">
              <w:rPr>
                <w:bCs/>
              </w:rPr>
              <w:t>(54.4)</w:t>
            </w:r>
          </w:p>
          <w:p w14:paraId="72936641" w14:textId="77777777" w:rsidR="00C63860" w:rsidRPr="00C63860" w:rsidRDefault="00C87DCA" w:rsidP="00C87DCA">
            <w:pPr>
              <w:jc w:val="center"/>
              <w:rPr>
                <w:bCs/>
              </w:rPr>
            </w:pPr>
            <w:r w:rsidRPr="00C63860">
              <w:rPr>
                <w:bCs/>
              </w:rPr>
              <w:t>13,104</w:t>
            </w:r>
          </w:p>
          <w:p w14:paraId="79DF599F" w14:textId="4565EF20" w:rsidR="00C87DCA" w:rsidRPr="00C63860" w:rsidRDefault="00C87DCA" w:rsidP="00C87DCA">
            <w:pPr>
              <w:jc w:val="center"/>
              <w:rPr>
                <w:bCs/>
              </w:rPr>
            </w:pPr>
            <w:r w:rsidRPr="00C63860">
              <w:rPr>
                <w:bCs/>
              </w:rPr>
              <w:t>(29.9)</w:t>
            </w:r>
          </w:p>
          <w:p w14:paraId="328079F4" w14:textId="77777777" w:rsidR="00C63860" w:rsidRPr="00C63860" w:rsidRDefault="00C87DCA" w:rsidP="00C87DCA">
            <w:pPr>
              <w:jc w:val="center"/>
              <w:rPr>
                <w:bCs/>
              </w:rPr>
            </w:pPr>
            <w:r w:rsidRPr="00C63860">
              <w:rPr>
                <w:bCs/>
              </w:rPr>
              <w:t>4,987</w:t>
            </w:r>
          </w:p>
          <w:p w14:paraId="68167E95" w14:textId="1BC6BE55" w:rsidR="00C87DCA" w:rsidRPr="00C63860" w:rsidRDefault="00C87DCA" w:rsidP="00C87DCA">
            <w:pPr>
              <w:jc w:val="center"/>
              <w:rPr>
                <w:bCs/>
              </w:rPr>
            </w:pPr>
            <w:r w:rsidRPr="00C63860">
              <w:rPr>
                <w:bCs/>
              </w:rPr>
              <w:t>(11.4)</w:t>
            </w:r>
          </w:p>
          <w:p w14:paraId="162B8414" w14:textId="77777777" w:rsidR="00C63860" w:rsidRPr="00C63860" w:rsidRDefault="00C87DCA" w:rsidP="00C87DCA">
            <w:pPr>
              <w:jc w:val="center"/>
              <w:rPr>
                <w:bCs/>
              </w:rPr>
            </w:pPr>
            <w:r w:rsidRPr="00C63860">
              <w:rPr>
                <w:bCs/>
              </w:rPr>
              <w:t>1,911</w:t>
            </w:r>
          </w:p>
          <w:p w14:paraId="0A303669" w14:textId="05D34C87" w:rsidR="00C87DCA" w:rsidRPr="00C63860" w:rsidRDefault="00C87DCA" w:rsidP="00C87DCA">
            <w:pPr>
              <w:jc w:val="center"/>
              <w:rPr>
                <w:bCs/>
              </w:rPr>
            </w:pPr>
            <w:r w:rsidRPr="00C63860">
              <w:rPr>
                <w:bCs/>
              </w:rPr>
              <w:t>(4.4)</w:t>
            </w:r>
          </w:p>
        </w:tc>
        <w:tc>
          <w:tcPr>
            <w:tcW w:w="0" w:type="auto"/>
            <w:shd w:val="clear" w:color="auto" w:fill="auto"/>
          </w:tcPr>
          <w:p w14:paraId="76A41316" w14:textId="77777777" w:rsidR="00C87DCA" w:rsidRPr="00C63860" w:rsidRDefault="00C87DCA" w:rsidP="00C87DCA">
            <w:pPr>
              <w:jc w:val="center"/>
              <w:rPr>
                <w:bCs/>
              </w:rPr>
            </w:pPr>
          </w:p>
          <w:p w14:paraId="49DBEDB4" w14:textId="77777777" w:rsidR="00C63860" w:rsidRPr="00C63860" w:rsidRDefault="00C87DCA" w:rsidP="00C87DCA">
            <w:pPr>
              <w:jc w:val="center"/>
              <w:rPr>
                <w:bCs/>
              </w:rPr>
            </w:pPr>
            <w:r w:rsidRPr="00C63860">
              <w:rPr>
                <w:bCs/>
              </w:rPr>
              <w:t>17,473</w:t>
            </w:r>
          </w:p>
          <w:p w14:paraId="5166D3CE" w14:textId="1E76AD1D" w:rsidR="00C87DCA" w:rsidRPr="00C63860" w:rsidRDefault="00C87DCA" w:rsidP="00C87DCA">
            <w:pPr>
              <w:jc w:val="center"/>
              <w:rPr>
                <w:bCs/>
              </w:rPr>
            </w:pPr>
            <w:r w:rsidRPr="00C63860">
              <w:rPr>
                <w:bCs/>
              </w:rPr>
              <w:t>(43.1)</w:t>
            </w:r>
          </w:p>
          <w:p w14:paraId="0FB38E8D" w14:textId="77777777" w:rsidR="00C63860" w:rsidRPr="00C63860" w:rsidRDefault="00C87DCA" w:rsidP="00C87DCA">
            <w:pPr>
              <w:jc w:val="center"/>
              <w:rPr>
                <w:bCs/>
              </w:rPr>
            </w:pPr>
            <w:r w:rsidRPr="00C63860">
              <w:rPr>
                <w:bCs/>
              </w:rPr>
              <w:t>13,722</w:t>
            </w:r>
          </w:p>
          <w:p w14:paraId="3B423A56" w14:textId="153AE6C3" w:rsidR="00C87DCA" w:rsidRPr="00C63860" w:rsidRDefault="00C87DCA" w:rsidP="00C87DCA">
            <w:pPr>
              <w:jc w:val="center"/>
              <w:rPr>
                <w:bCs/>
              </w:rPr>
            </w:pPr>
            <w:r w:rsidRPr="00C63860">
              <w:rPr>
                <w:bCs/>
              </w:rPr>
              <w:t>(33.8)</w:t>
            </w:r>
          </w:p>
          <w:p w14:paraId="50C011F3" w14:textId="77777777" w:rsidR="00C63860" w:rsidRPr="00C63860" w:rsidRDefault="00C87DCA" w:rsidP="00C87DCA">
            <w:pPr>
              <w:jc w:val="center"/>
              <w:rPr>
                <w:bCs/>
              </w:rPr>
            </w:pPr>
            <w:r w:rsidRPr="00C63860">
              <w:rPr>
                <w:bCs/>
              </w:rPr>
              <w:t>6,511</w:t>
            </w:r>
          </w:p>
          <w:p w14:paraId="74130F49" w14:textId="7670642D" w:rsidR="00C87DCA" w:rsidRPr="00C63860" w:rsidRDefault="00C87DCA" w:rsidP="00C87DCA">
            <w:pPr>
              <w:jc w:val="center"/>
              <w:rPr>
                <w:bCs/>
              </w:rPr>
            </w:pPr>
            <w:r w:rsidRPr="00C63860">
              <w:rPr>
                <w:bCs/>
              </w:rPr>
              <w:t>(16.1)</w:t>
            </w:r>
          </w:p>
          <w:p w14:paraId="3057C754" w14:textId="77777777" w:rsidR="00C63860" w:rsidRPr="00C63860" w:rsidRDefault="00C87DCA" w:rsidP="00C87DCA">
            <w:pPr>
              <w:jc w:val="center"/>
              <w:rPr>
                <w:bCs/>
              </w:rPr>
            </w:pPr>
            <w:r w:rsidRPr="00C63860">
              <w:rPr>
                <w:bCs/>
              </w:rPr>
              <w:t>2,844</w:t>
            </w:r>
          </w:p>
          <w:p w14:paraId="64DB1518" w14:textId="737D7E00" w:rsidR="00C87DCA" w:rsidRPr="00C63860" w:rsidRDefault="00C87DCA" w:rsidP="00C87DCA">
            <w:pPr>
              <w:jc w:val="center"/>
              <w:rPr>
                <w:bCs/>
              </w:rPr>
            </w:pPr>
            <w:r w:rsidRPr="00C63860">
              <w:rPr>
                <w:bCs/>
              </w:rPr>
              <w:t>(7.0)</w:t>
            </w:r>
          </w:p>
        </w:tc>
        <w:tc>
          <w:tcPr>
            <w:tcW w:w="0" w:type="auto"/>
            <w:shd w:val="clear" w:color="auto" w:fill="auto"/>
          </w:tcPr>
          <w:p w14:paraId="43C5162E" w14:textId="77777777" w:rsidR="00C87DCA" w:rsidRPr="00C63860" w:rsidRDefault="00C87DCA" w:rsidP="00C87DCA">
            <w:pPr>
              <w:jc w:val="center"/>
              <w:rPr>
                <w:bCs/>
              </w:rPr>
            </w:pPr>
          </w:p>
          <w:p w14:paraId="730583CD" w14:textId="77777777" w:rsidR="00C63860" w:rsidRPr="00C63860" w:rsidRDefault="00C87DCA" w:rsidP="00C87DCA">
            <w:pPr>
              <w:jc w:val="center"/>
              <w:rPr>
                <w:bCs/>
              </w:rPr>
            </w:pPr>
            <w:r w:rsidRPr="00C63860">
              <w:rPr>
                <w:bCs/>
              </w:rPr>
              <w:t>42,879</w:t>
            </w:r>
          </w:p>
          <w:p w14:paraId="0152F554" w14:textId="3286A8C6" w:rsidR="00C87DCA" w:rsidRPr="00C63860" w:rsidRDefault="00C87DCA" w:rsidP="00C87DCA">
            <w:pPr>
              <w:jc w:val="center"/>
              <w:rPr>
                <w:bCs/>
              </w:rPr>
            </w:pPr>
            <w:r w:rsidRPr="00C63860">
              <w:rPr>
                <w:bCs/>
              </w:rPr>
              <w:t>(46.3)</w:t>
            </w:r>
          </w:p>
          <w:p w14:paraId="13414A2B" w14:textId="77777777" w:rsidR="00C63860" w:rsidRPr="00C63860" w:rsidRDefault="00C87DCA" w:rsidP="00C87DCA">
            <w:pPr>
              <w:jc w:val="center"/>
              <w:rPr>
                <w:bCs/>
              </w:rPr>
            </w:pPr>
            <w:r w:rsidRPr="00C63860">
              <w:rPr>
                <w:bCs/>
              </w:rPr>
              <w:t>30,286</w:t>
            </w:r>
          </w:p>
          <w:p w14:paraId="4875415C" w14:textId="359E4171" w:rsidR="00C87DCA" w:rsidRPr="00C63860" w:rsidRDefault="00C87DCA" w:rsidP="00C87DCA">
            <w:pPr>
              <w:jc w:val="center"/>
              <w:rPr>
                <w:bCs/>
              </w:rPr>
            </w:pPr>
            <w:r w:rsidRPr="00C63860">
              <w:rPr>
                <w:bCs/>
              </w:rPr>
              <w:t>(32.7)</w:t>
            </w:r>
          </w:p>
          <w:p w14:paraId="53BDD558" w14:textId="77777777" w:rsidR="00C63860" w:rsidRPr="00C63860" w:rsidRDefault="00C87DCA" w:rsidP="00C87DCA">
            <w:pPr>
              <w:jc w:val="center"/>
              <w:rPr>
                <w:bCs/>
              </w:rPr>
            </w:pPr>
            <w:r w:rsidRPr="00C63860">
              <w:rPr>
                <w:bCs/>
              </w:rPr>
              <w:t>13,493</w:t>
            </w:r>
          </w:p>
          <w:p w14:paraId="5CCF32D4" w14:textId="4AC71D5A" w:rsidR="00C87DCA" w:rsidRPr="00C63860" w:rsidRDefault="00C87DCA" w:rsidP="00C87DCA">
            <w:pPr>
              <w:jc w:val="center"/>
              <w:rPr>
                <w:bCs/>
              </w:rPr>
            </w:pPr>
            <w:r w:rsidRPr="00C63860">
              <w:rPr>
                <w:bCs/>
              </w:rPr>
              <w:t>(14.6)</w:t>
            </w:r>
          </w:p>
          <w:p w14:paraId="22BFF350" w14:textId="77777777" w:rsidR="00C63860" w:rsidRPr="00C63860" w:rsidRDefault="00C87DCA" w:rsidP="00C87DCA">
            <w:pPr>
              <w:jc w:val="center"/>
              <w:rPr>
                <w:bCs/>
              </w:rPr>
            </w:pPr>
            <w:r w:rsidRPr="00C63860">
              <w:rPr>
                <w:bCs/>
              </w:rPr>
              <w:t>5,865</w:t>
            </w:r>
          </w:p>
          <w:p w14:paraId="4083134E" w14:textId="34AE6E08" w:rsidR="00C87DCA" w:rsidRPr="00C63860" w:rsidRDefault="00C87DCA" w:rsidP="00C87DCA">
            <w:pPr>
              <w:jc w:val="center"/>
              <w:rPr>
                <w:bCs/>
              </w:rPr>
            </w:pPr>
            <w:r w:rsidRPr="00C63860">
              <w:rPr>
                <w:bCs/>
              </w:rPr>
              <w:t>(6.3)</w:t>
            </w:r>
          </w:p>
        </w:tc>
      </w:tr>
    </w:tbl>
    <w:p w14:paraId="12F2F551" w14:textId="7D58E1AF" w:rsidR="00C87DCA" w:rsidRPr="00C63860" w:rsidRDefault="00C63860" w:rsidP="00FA7C93">
      <w:pPr>
        <w:pStyle w:val="Caption"/>
        <w:rPr>
          <w:b/>
          <w:bCs/>
          <w:color w:val="auto"/>
          <w:sz w:val="22"/>
          <w:szCs w:val="22"/>
        </w:rPr>
      </w:pPr>
      <w:bookmarkStart w:id="43" w:name="_Toc86670778"/>
      <w:r w:rsidRPr="00C63860">
        <w:rPr>
          <w:b/>
          <w:bCs/>
          <w:color w:val="FF0000"/>
          <w:sz w:val="22"/>
          <w:szCs w:val="22"/>
        </w:rPr>
        <w:t xml:space="preserve">Table </w:t>
      </w:r>
      <w:r w:rsidRPr="00C63860">
        <w:rPr>
          <w:b/>
          <w:bCs/>
          <w:noProof/>
          <w:color w:val="FF0000"/>
          <w:sz w:val="22"/>
          <w:szCs w:val="22"/>
        </w:rPr>
        <w:t>6</w:t>
      </w:r>
      <w:r w:rsidR="00FA7C93" w:rsidRPr="00C63860">
        <w:rPr>
          <w:b/>
          <w:bCs/>
          <w:color w:val="auto"/>
          <w:sz w:val="22"/>
          <w:szCs w:val="22"/>
        </w:rPr>
        <w:t>: Most common surgical procedures in the emergency surgery group</w:t>
      </w:r>
      <w:bookmarkEnd w:id="43"/>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90"/>
        <w:gridCol w:w="1603"/>
        <w:gridCol w:w="1521"/>
        <w:gridCol w:w="1736"/>
        <w:gridCol w:w="1078"/>
        <w:gridCol w:w="1898"/>
      </w:tblGrid>
      <w:tr w:rsidR="00C87DCA" w:rsidRPr="00C63860" w14:paraId="354FA318" w14:textId="77777777" w:rsidTr="00C63860">
        <w:trPr>
          <w:cantSplit/>
        </w:trPr>
        <w:tc>
          <w:tcPr>
            <w:tcW w:w="0" w:type="auto"/>
            <w:shd w:val="clear" w:color="auto" w:fill="auto"/>
          </w:tcPr>
          <w:p w14:paraId="0DB9DC1A" w14:textId="77777777" w:rsidR="00C87DCA" w:rsidRPr="00C63860" w:rsidRDefault="00C87DCA" w:rsidP="00C87DCA">
            <w:pPr>
              <w:rPr>
                <w:b/>
              </w:rPr>
            </w:pPr>
          </w:p>
        </w:tc>
        <w:tc>
          <w:tcPr>
            <w:tcW w:w="0" w:type="auto"/>
            <w:shd w:val="clear" w:color="auto" w:fill="auto"/>
            <w:hideMark/>
          </w:tcPr>
          <w:p w14:paraId="2E3D8359" w14:textId="77777777" w:rsidR="00C87DCA" w:rsidRPr="00C63860" w:rsidRDefault="00C87DCA" w:rsidP="00C87DCA">
            <w:pPr>
              <w:jc w:val="center"/>
              <w:rPr>
                <w:rFonts w:eastAsia="Calibri"/>
                <w:b/>
              </w:rPr>
            </w:pPr>
            <w:r w:rsidRPr="00C63860">
              <w:rPr>
                <w:rFonts w:eastAsia="Calibri"/>
                <w:b/>
              </w:rPr>
              <w:t>Appendicitis</w:t>
            </w:r>
          </w:p>
          <w:p w14:paraId="08E4C620" w14:textId="77777777" w:rsidR="00C87DCA" w:rsidRPr="00C63860" w:rsidRDefault="00C87DCA" w:rsidP="00C87DCA">
            <w:pPr>
              <w:jc w:val="center"/>
              <w:rPr>
                <w:b/>
              </w:rPr>
            </w:pPr>
            <w:r w:rsidRPr="00C63860">
              <w:rPr>
                <w:rFonts w:eastAsia="Calibri"/>
                <w:b/>
              </w:rPr>
              <w:t>(</w:t>
            </w:r>
            <w:r w:rsidRPr="00C63860">
              <w:rPr>
                <w:rFonts w:eastAsia="Calibri"/>
                <w:b/>
                <w:i/>
                <w:color w:val="00B0F0"/>
              </w:rPr>
              <w:t>n</w:t>
            </w:r>
            <w:r w:rsidRPr="00C63860">
              <w:rPr>
                <w:rFonts w:eastAsia="Calibri"/>
                <w:b/>
              </w:rPr>
              <w:t>=247,506)</w:t>
            </w:r>
          </w:p>
        </w:tc>
        <w:tc>
          <w:tcPr>
            <w:tcW w:w="0" w:type="auto"/>
            <w:shd w:val="clear" w:color="auto" w:fill="auto"/>
            <w:hideMark/>
          </w:tcPr>
          <w:p w14:paraId="4B917677" w14:textId="77777777" w:rsidR="00C87DCA" w:rsidRPr="00C63860" w:rsidRDefault="00C87DCA" w:rsidP="00C87DCA">
            <w:pPr>
              <w:jc w:val="center"/>
              <w:rPr>
                <w:rFonts w:eastAsia="Calibri"/>
                <w:b/>
              </w:rPr>
            </w:pPr>
            <w:r w:rsidRPr="00C63860">
              <w:rPr>
                <w:rFonts w:eastAsia="Calibri"/>
                <w:b/>
              </w:rPr>
              <w:t>Cholelithiasis</w:t>
            </w:r>
          </w:p>
          <w:p w14:paraId="267A9FF4" w14:textId="77777777" w:rsidR="00C87DCA" w:rsidRPr="00C63860" w:rsidRDefault="00C87DCA" w:rsidP="00C87DCA">
            <w:pPr>
              <w:jc w:val="center"/>
              <w:rPr>
                <w:b/>
              </w:rPr>
            </w:pPr>
            <w:r w:rsidRPr="00C63860">
              <w:rPr>
                <w:rFonts w:eastAsia="Calibri"/>
                <w:b/>
              </w:rPr>
              <w:t>(</w:t>
            </w:r>
            <w:r w:rsidRPr="00C63860">
              <w:rPr>
                <w:rFonts w:eastAsia="Calibri"/>
                <w:b/>
                <w:i/>
                <w:color w:val="00B0F0"/>
              </w:rPr>
              <w:t>n</w:t>
            </w:r>
            <w:r w:rsidRPr="00C63860">
              <w:rPr>
                <w:rFonts w:eastAsia="Calibri"/>
                <w:b/>
              </w:rPr>
              <w:t>=52,004)</w:t>
            </w:r>
          </w:p>
        </w:tc>
        <w:tc>
          <w:tcPr>
            <w:tcW w:w="0" w:type="auto"/>
            <w:shd w:val="clear" w:color="auto" w:fill="auto"/>
            <w:hideMark/>
          </w:tcPr>
          <w:p w14:paraId="49571C9F" w14:textId="77777777" w:rsidR="00C87DCA" w:rsidRPr="00C63860" w:rsidRDefault="00C87DCA" w:rsidP="00C87DCA">
            <w:pPr>
              <w:jc w:val="center"/>
              <w:rPr>
                <w:b/>
              </w:rPr>
            </w:pPr>
            <w:r w:rsidRPr="00C63860">
              <w:rPr>
                <w:rFonts w:eastAsia="Calibri"/>
                <w:b/>
              </w:rPr>
              <w:t>Diverticular disease (</w:t>
            </w:r>
            <w:r w:rsidRPr="00C63860">
              <w:rPr>
                <w:rFonts w:eastAsia="Calibri"/>
                <w:b/>
                <w:i/>
                <w:color w:val="00B0F0"/>
              </w:rPr>
              <w:t>n</w:t>
            </w:r>
            <w:r w:rsidRPr="00C63860">
              <w:rPr>
                <w:rFonts w:eastAsia="Calibri"/>
                <w:b/>
              </w:rPr>
              <w:t>=15,772)</w:t>
            </w:r>
          </w:p>
        </w:tc>
        <w:tc>
          <w:tcPr>
            <w:tcW w:w="0" w:type="auto"/>
            <w:shd w:val="clear" w:color="auto" w:fill="auto"/>
            <w:hideMark/>
          </w:tcPr>
          <w:p w14:paraId="2DF1D675" w14:textId="77777777" w:rsidR="00C87DCA" w:rsidRPr="00C63860" w:rsidRDefault="00C87DCA" w:rsidP="00C87DCA">
            <w:pPr>
              <w:jc w:val="center"/>
              <w:rPr>
                <w:rFonts w:eastAsia="Calibri"/>
                <w:b/>
              </w:rPr>
            </w:pPr>
            <w:r w:rsidRPr="00C63860">
              <w:rPr>
                <w:rFonts w:eastAsia="Calibri"/>
                <w:b/>
              </w:rPr>
              <w:t>Hernia</w:t>
            </w:r>
          </w:p>
          <w:p w14:paraId="31BD000D" w14:textId="77777777" w:rsidR="00C87DCA" w:rsidRPr="00C63860" w:rsidRDefault="00C87DCA" w:rsidP="00C87DCA">
            <w:pPr>
              <w:jc w:val="center"/>
              <w:rPr>
                <w:b/>
              </w:rPr>
            </w:pPr>
            <w:r w:rsidRPr="00C63860">
              <w:rPr>
                <w:rFonts w:eastAsia="Calibri"/>
                <w:b/>
              </w:rPr>
              <w:t>(</w:t>
            </w:r>
            <w:r w:rsidRPr="00C63860">
              <w:rPr>
                <w:rFonts w:eastAsia="Calibri"/>
                <w:b/>
                <w:i/>
                <w:color w:val="00B0F0"/>
              </w:rPr>
              <w:t>n</w:t>
            </w:r>
            <w:r w:rsidRPr="00C63860">
              <w:rPr>
                <w:rFonts w:eastAsia="Calibri"/>
                <w:b/>
              </w:rPr>
              <w:t>=62,559)</w:t>
            </w:r>
          </w:p>
        </w:tc>
        <w:tc>
          <w:tcPr>
            <w:tcW w:w="0" w:type="auto"/>
            <w:shd w:val="clear" w:color="auto" w:fill="auto"/>
            <w:hideMark/>
          </w:tcPr>
          <w:p w14:paraId="3AB7B961" w14:textId="77777777" w:rsidR="00C87DCA" w:rsidRPr="00C63860" w:rsidRDefault="00C87DCA" w:rsidP="00C87DCA">
            <w:pPr>
              <w:jc w:val="center"/>
              <w:rPr>
                <w:b/>
              </w:rPr>
            </w:pPr>
            <w:r w:rsidRPr="00C63860">
              <w:rPr>
                <w:rFonts w:eastAsia="Calibri"/>
                <w:b/>
              </w:rPr>
              <w:t>Intestinal obstruction (</w:t>
            </w:r>
            <w:r w:rsidRPr="00C63860">
              <w:rPr>
                <w:rFonts w:eastAsia="Calibri"/>
                <w:b/>
                <w:i/>
                <w:color w:val="00B0F0"/>
              </w:rPr>
              <w:t>n</w:t>
            </w:r>
            <w:r w:rsidRPr="00C63860">
              <w:rPr>
                <w:rFonts w:eastAsia="Calibri"/>
                <w:b/>
              </w:rPr>
              <w:t>=40,550)</w:t>
            </w:r>
          </w:p>
        </w:tc>
      </w:tr>
      <w:tr w:rsidR="00C87DCA" w:rsidRPr="00C63860" w14:paraId="21661EBF" w14:textId="77777777" w:rsidTr="00C63860">
        <w:trPr>
          <w:cantSplit/>
        </w:trPr>
        <w:tc>
          <w:tcPr>
            <w:tcW w:w="0" w:type="auto"/>
            <w:shd w:val="clear" w:color="auto" w:fill="auto"/>
            <w:hideMark/>
          </w:tcPr>
          <w:p w14:paraId="4B3095ED" w14:textId="77777777" w:rsidR="00C87DCA" w:rsidRPr="00C63860" w:rsidRDefault="00C87DCA" w:rsidP="00C87DCA">
            <w:pPr>
              <w:rPr>
                <w:b/>
                <w:bCs/>
              </w:rPr>
            </w:pPr>
            <w:r w:rsidRPr="00C63860">
              <w:rPr>
                <w:b/>
                <w:bCs/>
              </w:rPr>
              <w:t>Median (IQR) days to surgery</w:t>
            </w:r>
          </w:p>
        </w:tc>
        <w:tc>
          <w:tcPr>
            <w:tcW w:w="0" w:type="auto"/>
            <w:shd w:val="clear" w:color="auto" w:fill="auto"/>
            <w:hideMark/>
          </w:tcPr>
          <w:p w14:paraId="21F48682" w14:textId="77777777" w:rsidR="00C87DCA" w:rsidRPr="00C63860" w:rsidRDefault="00C87DCA" w:rsidP="00C87DCA">
            <w:pPr>
              <w:jc w:val="center"/>
              <w:rPr>
                <w:color w:val="201F1E"/>
                <w:bdr w:val="none" w:sz="0" w:space="0" w:color="auto" w:frame="1"/>
              </w:rPr>
            </w:pPr>
            <w:r w:rsidRPr="00C63860">
              <w:rPr>
                <w:color w:val="201F1E"/>
                <w:bdr w:val="none" w:sz="0" w:space="0" w:color="auto" w:frame="1"/>
              </w:rPr>
              <w:t>1 (0;1)</w:t>
            </w:r>
          </w:p>
        </w:tc>
        <w:tc>
          <w:tcPr>
            <w:tcW w:w="0" w:type="auto"/>
            <w:shd w:val="clear" w:color="auto" w:fill="auto"/>
            <w:hideMark/>
          </w:tcPr>
          <w:p w14:paraId="3CD8E1CC" w14:textId="77777777" w:rsidR="00C87DCA" w:rsidRPr="00C63860" w:rsidRDefault="00C87DCA" w:rsidP="00C87DCA">
            <w:pPr>
              <w:jc w:val="center"/>
              <w:rPr>
                <w:color w:val="201F1E"/>
                <w:bdr w:val="none" w:sz="0" w:space="0" w:color="auto" w:frame="1"/>
              </w:rPr>
            </w:pPr>
            <w:r w:rsidRPr="00C63860">
              <w:rPr>
                <w:color w:val="201F1E"/>
                <w:bdr w:val="none" w:sz="0" w:space="0" w:color="auto" w:frame="1"/>
              </w:rPr>
              <w:t>2 (1;4)</w:t>
            </w:r>
          </w:p>
        </w:tc>
        <w:tc>
          <w:tcPr>
            <w:tcW w:w="0" w:type="auto"/>
            <w:shd w:val="clear" w:color="auto" w:fill="auto"/>
            <w:hideMark/>
          </w:tcPr>
          <w:p w14:paraId="675B2E44" w14:textId="77777777" w:rsidR="00C87DCA" w:rsidRPr="00C63860" w:rsidRDefault="00C87DCA" w:rsidP="00C87DCA">
            <w:pPr>
              <w:jc w:val="center"/>
              <w:rPr>
                <w:color w:val="201F1E"/>
                <w:bdr w:val="none" w:sz="0" w:space="0" w:color="auto" w:frame="1"/>
              </w:rPr>
            </w:pPr>
            <w:r w:rsidRPr="00C63860">
              <w:rPr>
                <w:color w:val="201F1E"/>
                <w:bdr w:val="none" w:sz="0" w:space="0" w:color="auto" w:frame="1"/>
              </w:rPr>
              <w:t>1 (0;2)</w:t>
            </w:r>
          </w:p>
        </w:tc>
        <w:tc>
          <w:tcPr>
            <w:tcW w:w="0" w:type="auto"/>
            <w:shd w:val="clear" w:color="auto" w:fill="auto"/>
            <w:hideMark/>
          </w:tcPr>
          <w:p w14:paraId="300ADAC5" w14:textId="77777777" w:rsidR="00C87DCA" w:rsidRPr="00C63860" w:rsidRDefault="00C87DCA" w:rsidP="00C87DCA">
            <w:pPr>
              <w:jc w:val="center"/>
              <w:rPr>
                <w:bCs/>
              </w:rPr>
            </w:pPr>
            <w:r w:rsidRPr="00C63860">
              <w:rPr>
                <w:color w:val="201F1E"/>
                <w:bdr w:val="none" w:sz="0" w:space="0" w:color="auto" w:frame="1"/>
              </w:rPr>
              <w:t>0 (0;1)</w:t>
            </w:r>
          </w:p>
        </w:tc>
        <w:tc>
          <w:tcPr>
            <w:tcW w:w="0" w:type="auto"/>
            <w:shd w:val="clear" w:color="auto" w:fill="auto"/>
            <w:hideMark/>
          </w:tcPr>
          <w:p w14:paraId="2B7778E8" w14:textId="77777777" w:rsidR="00C87DCA" w:rsidRPr="00C63860" w:rsidRDefault="00C87DCA" w:rsidP="00C87DCA">
            <w:pPr>
              <w:jc w:val="center"/>
              <w:rPr>
                <w:bCs/>
              </w:rPr>
            </w:pPr>
            <w:r w:rsidRPr="00C63860">
              <w:rPr>
                <w:color w:val="201F1E"/>
                <w:bdr w:val="none" w:sz="0" w:space="0" w:color="auto" w:frame="1"/>
              </w:rPr>
              <w:t>1 (0;3)</w:t>
            </w:r>
          </w:p>
        </w:tc>
      </w:tr>
      <w:tr w:rsidR="00C87DCA" w:rsidRPr="00C63860" w14:paraId="020BFE85" w14:textId="77777777" w:rsidTr="00C63860">
        <w:trPr>
          <w:cantSplit/>
        </w:trPr>
        <w:tc>
          <w:tcPr>
            <w:tcW w:w="0" w:type="auto"/>
            <w:shd w:val="clear" w:color="auto" w:fill="auto"/>
            <w:hideMark/>
          </w:tcPr>
          <w:p w14:paraId="65B63D48" w14:textId="77777777" w:rsidR="00C87DCA" w:rsidRPr="00C63860" w:rsidRDefault="00C87DCA" w:rsidP="00C87DCA">
            <w:pPr>
              <w:rPr>
                <w:b/>
                <w:bCs/>
              </w:rPr>
            </w:pPr>
            <w:r w:rsidRPr="00C63860">
              <w:rPr>
                <w:b/>
                <w:bCs/>
              </w:rPr>
              <w:t xml:space="preserve">Common main procedures: </w:t>
            </w:r>
            <w:r w:rsidRPr="00C63860">
              <w:rPr>
                <w:b/>
                <w:bCs/>
                <w:i/>
                <w:color w:val="00B0F0"/>
              </w:rPr>
              <w:t>n</w:t>
            </w:r>
            <w:r w:rsidRPr="00C63860">
              <w:rPr>
                <w:b/>
                <w:bCs/>
              </w:rPr>
              <w:t xml:space="preserve"> (%)</w:t>
            </w:r>
          </w:p>
        </w:tc>
        <w:tc>
          <w:tcPr>
            <w:tcW w:w="0" w:type="auto"/>
            <w:shd w:val="clear" w:color="auto" w:fill="auto"/>
          </w:tcPr>
          <w:p w14:paraId="6B75825C" w14:textId="77777777" w:rsidR="00C63860" w:rsidRPr="00C63860" w:rsidRDefault="00C87DCA" w:rsidP="00C87DCA">
            <w:r w:rsidRPr="00C63860">
              <w:t>Emergency excision of appendix</w:t>
            </w:r>
          </w:p>
          <w:p w14:paraId="50A4FC2A" w14:textId="77777777" w:rsidR="00C63860" w:rsidRPr="00C63860" w:rsidRDefault="00C87DCA" w:rsidP="00C87DCA">
            <w:pPr>
              <w:rPr>
                <w:rFonts w:ascii="Arial" w:hAnsi="Arial" w:cs="Arial"/>
                <w:sz w:val="36"/>
                <w:szCs w:val="36"/>
              </w:rPr>
            </w:pPr>
            <w:r w:rsidRPr="00C63860">
              <w:t>(93.5%)</w:t>
            </w:r>
          </w:p>
          <w:p w14:paraId="6FA534E2" w14:textId="77777777" w:rsidR="00C63860" w:rsidRPr="00C63860" w:rsidRDefault="00C87DCA" w:rsidP="00C87DCA">
            <w:pPr>
              <w:rPr>
                <w:rFonts w:asciiTheme="minorHAnsi" w:eastAsiaTheme="minorEastAsia" w:hAnsiTheme="minorHAnsi" w:cstheme="minorBidi"/>
              </w:rPr>
            </w:pPr>
            <w:r w:rsidRPr="00C63860">
              <w:rPr>
                <w:rFonts w:eastAsiaTheme="minorEastAsia"/>
              </w:rPr>
              <w:t>Appendicectomy &amp; endoscopic resection of lesion of peritoneum (3.0%)</w:t>
            </w:r>
          </w:p>
          <w:p w14:paraId="5C6C393C" w14:textId="77777777" w:rsidR="00C63860" w:rsidRPr="00C63860" w:rsidRDefault="00C87DCA" w:rsidP="00C87DCA">
            <w:pPr>
              <w:rPr>
                <w:rFonts w:ascii="Arial" w:hAnsi="Arial" w:cs="Arial"/>
                <w:sz w:val="36"/>
                <w:szCs w:val="36"/>
              </w:rPr>
            </w:pPr>
            <w:r w:rsidRPr="00C63860">
              <w:rPr>
                <w:rFonts w:eastAsiaTheme="minorEastAsia"/>
              </w:rPr>
              <w:t>Emergency excision of appendix and drainage</w:t>
            </w:r>
            <w:r w:rsidR="00C63860" w:rsidRPr="00C63860">
              <w:rPr>
                <w:rFonts w:eastAsiaTheme="minorEastAsia"/>
              </w:rPr>
              <w:t xml:space="preserve"> </w:t>
            </w:r>
            <w:r w:rsidRPr="00C63860">
              <w:t>(1.9%)</w:t>
            </w:r>
          </w:p>
          <w:p w14:paraId="0A2417C6" w14:textId="2FEAC3F4" w:rsidR="00C63860" w:rsidRPr="00C63860" w:rsidRDefault="00C87DCA" w:rsidP="00C87DCA">
            <w:r w:rsidRPr="00C63860">
              <w:t>Other</w:t>
            </w:r>
          </w:p>
          <w:p w14:paraId="19C270A3" w14:textId="1616F790" w:rsidR="00C87DCA" w:rsidRPr="00C63860" w:rsidRDefault="00C87DCA" w:rsidP="00C87DCA">
            <w:pPr>
              <w:rPr>
                <w:highlight w:val="yellow"/>
              </w:rPr>
            </w:pPr>
            <w:r w:rsidRPr="00C63860">
              <w:t>(1.6%)</w:t>
            </w:r>
          </w:p>
        </w:tc>
        <w:tc>
          <w:tcPr>
            <w:tcW w:w="0" w:type="auto"/>
            <w:shd w:val="clear" w:color="auto" w:fill="auto"/>
          </w:tcPr>
          <w:p w14:paraId="05E3B0DD" w14:textId="77777777" w:rsidR="00C63860" w:rsidRPr="00C63860" w:rsidRDefault="00C87DCA" w:rsidP="00C87DCA">
            <w:r w:rsidRPr="00C63860">
              <w:t>Total cholecystectomy</w:t>
            </w:r>
          </w:p>
          <w:p w14:paraId="32AF457A" w14:textId="77777777" w:rsidR="00C63860" w:rsidRPr="00C63860" w:rsidRDefault="00C87DCA" w:rsidP="00C87DCA">
            <w:pPr>
              <w:rPr>
                <w:rFonts w:ascii="Arial" w:hAnsi="Arial" w:cs="Arial"/>
                <w:sz w:val="36"/>
                <w:szCs w:val="36"/>
              </w:rPr>
            </w:pPr>
            <w:r w:rsidRPr="00C63860">
              <w:t>(85.3%)</w:t>
            </w:r>
          </w:p>
          <w:p w14:paraId="53056AEE" w14:textId="3EDCAB95" w:rsidR="00C63860" w:rsidRPr="00C63860" w:rsidRDefault="00C87DCA" w:rsidP="00C87DCA">
            <w:r w:rsidRPr="00C63860">
              <w:t>Drainage of gall bladder</w:t>
            </w:r>
          </w:p>
          <w:p w14:paraId="3ED1B687" w14:textId="77777777" w:rsidR="00C63860" w:rsidRPr="00C63860" w:rsidRDefault="00C87DCA" w:rsidP="00C87DCA">
            <w:pPr>
              <w:rPr>
                <w:rFonts w:ascii="Arial" w:hAnsi="Arial" w:cs="Arial"/>
                <w:sz w:val="36"/>
                <w:szCs w:val="36"/>
              </w:rPr>
            </w:pPr>
            <w:r w:rsidRPr="00C63860">
              <w:t>(7.6%)</w:t>
            </w:r>
          </w:p>
          <w:p w14:paraId="753F9938" w14:textId="090924B4" w:rsidR="00C63860" w:rsidRPr="00C63860" w:rsidRDefault="00C87DCA" w:rsidP="00C87DCA">
            <w:r w:rsidRPr="00C63860">
              <w:t>Partial cholecystectomy</w:t>
            </w:r>
          </w:p>
          <w:p w14:paraId="4D95CC44" w14:textId="77777777" w:rsidR="00C63860" w:rsidRPr="00C63860" w:rsidRDefault="00C87DCA" w:rsidP="00C87DCA">
            <w:pPr>
              <w:rPr>
                <w:rFonts w:ascii="Arial" w:hAnsi="Arial" w:cs="Arial"/>
                <w:sz w:val="36"/>
                <w:szCs w:val="36"/>
              </w:rPr>
            </w:pPr>
            <w:r w:rsidRPr="00C63860">
              <w:t>(3.4%)</w:t>
            </w:r>
          </w:p>
          <w:p w14:paraId="44E04CDB" w14:textId="0E54282C" w:rsidR="00C63860" w:rsidRPr="00C63860" w:rsidRDefault="00C87DCA" w:rsidP="00C87DCA">
            <w:r w:rsidRPr="00C63860">
              <w:t>Total cholecystectomy exploration bile duct</w:t>
            </w:r>
          </w:p>
          <w:p w14:paraId="1637FD05" w14:textId="77777777" w:rsidR="00C63860" w:rsidRPr="00C63860" w:rsidRDefault="00C87DCA" w:rsidP="00C87DCA">
            <w:pPr>
              <w:rPr>
                <w:rFonts w:ascii="Arial" w:hAnsi="Arial" w:cs="Arial"/>
                <w:sz w:val="36"/>
                <w:szCs w:val="36"/>
              </w:rPr>
            </w:pPr>
            <w:r w:rsidRPr="00C63860">
              <w:t>(2.4%)</w:t>
            </w:r>
          </w:p>
          <w:p w14:paraId="22278769" w14:textId="06CA33F5" w:rsidR="00C63860" w:rsidRPr="00C63860" w:rsidRDefault="00C87DCA" w:rsidP="00C87DCA">
            <w:r w:rsidRPr="00C63860">
              <w:t>Other</w:t>
            </w:r>
          </w:p>
          <w:p w14:paraId="6D36C1BE" w14:textId="6BF1466C" w:rsidR="00C87DCA" w:rsidRPr="00C63860" w:rsidRDefault="00C87DCA" w:rsidP="00C87DCA">
            <w:r w:rsidRPr="00C63860">
              <w:t>(1.5%)</w:t>
            </w:r>
          </w:p>
        </w:tc>
        <w:tc>
          <w:tcPr>
            <w:tcW w:w="0" w:type="auto"/>
            <w:shd w:val="clear" w:color="auto" w:fill="auto"/>
          </w:tcPr>
          <w:p w14:paraId="68B38A16" w14:textId="7511AC24" w:rsidR="00C87DCA" w:rsidRPr="00C63860" w:rsidRDefault="00C87DCA" w:rsidP="00C87DCA">
            <w:pPr>
              <w:rPr>
                <w:rFonts w:ascii="Arial" w:hAnsi="Arial" w:cs="Arial"/>
                <w:sz w:val="36"/>
                <w:szCs w:val="36"/>
              </w:rPr>
            </w:pPr>
            <w:r w:rsidRPr="00C63860">
              <w:rPr>
                <w:rFonts w:eastAsiaTheme="minorEastAsia"/>
              </w:rPr>
              <w:t>Resection with end colostomy</w:t>
            </w:r>
            <w:r w:rsidR="00C63860" w:rsidRPr="00C63860">
              <w:rPr>
                <w:rFonts w:eastAsiaTheme="minorEastAsia"/>
                <w:color w:val="00B0F0"/>
              </w:rPr>
              <w:t xml:space="preserve"> – </w:t>
            </w:r>
            <w:r w:rsidRPr="00C63860">
              <w:rPr>
                <w:rFonts w:eastAsiaTheme="minorEastAsia"/>
              </w:rPr>
              <w:t>Hartmann</w:t>
            </w:r>
            <w:r w:rsidR="00C63860" w:rsidRPr="00C63860">
              <w:rPr>
                <w:rFonts w:eastAsiaTheme="minorEastAsia"/>
                <w:color w:val="00B0F0"/>
              </w:rPr>
              <w:t>’</w:t>
            </w:r>
            <w:r w:rsidRPr="00C63860">
              <w:rPr>
                <w:rFonts w:eastAsiaTheme="minorEastAsia"/>
              </w:rPr>
              <w:t>s</w:t>
            </w:r>
          </w:p>
          <w:p w14:paraId="7D29A89B" w14:textId="77777777" w:rsidR="00C63860" w:rsidRPr="00C63860" w:rsidRDefault="00C87DCA" w:rsidP="00C87DCA">
            <w:pPr>
              <w:rPr>
                <w:rFonts w:ascii="Arial" w:hAnsi="Arial" w:cs="Arial"/>
                <w:sz w:val="36"/>
                <w:szCs w:val="36"/>
              </w:rPr>
            </w:pPr>
            <w:r w:rsidRPr="00C63860">
              <w:rPr>
                <w:rFonts w:eastAsiaTheme="minorEastAsia"/>
              </w:rPr>
              <w:t>(44.1%)</w:t>
            </w:r>
          </w:p>
          <w:p w14:paraId="67E01DD3" w14:textId="7CF27970" w:rsidR="00C63860" w:rsidRPr="00C63860" w:rsidRDefault="00C87DCA" w:rsidP="00C87DCA">
            <w:pPr>
              <w:rPr>
                <w:rFonts w:eastAsiaTheme="minorEastAsia"/>
              </w:rPr>
            </w:pPr>
            <w:r w:rsidRPr="00C63860">
              <w:rPr>
                <w:rFonts w:eastAsiaTheme="minorEastAsia"/>
              </w:rPr>
              <w:t>Resection with other colostomy (e.g. loop colostomy)</w:t>
            </w:r>
          </w:p>
          <w:p w14:paraId="37CD5FE3" w14:textId="77777777" w:rsidR="00C63860" w:rsidRPr="00C63860" w:rsidRDefault="00C87DCA" w:rsidP="00C87DCA">
            <w:pPr>
              <w:rPr>
                <w:rFonts w:ascii="Arial" w:hAnsi="Arial" w:cs="Arial"/>
                <w:sz w:val="36"/>
                <w:szCs w:val="36"/>
              </w:rPr>
            </w:pPr>
            <w:r w:rsidRPr="00C63860">
              <w:t>(25.7%)</w:t>
            </w:r>
          </w:p>
          <w:p w14:paraId="3F98E0DB" w14:textId="42364A4E" w:rsidR="00C63860" w:rsidRPr="00C63860" w:rsidRDefault="00C87DCA" w:rsidP="00C87DCA">
            <w:pPr>
              <w:rPr>
                <w:rFonts w:eastAsiaTheme="minorEastAsia"/>
              </w:rPr>
            </w:pPr>
            <w:r w:rsidRPr="00C63860">
              <w:rPr>
                <w:rFonts w:eastAsiaTheme="minorEastAsia"/>
              </w:rPr>
              <w:t>Irrigation/Drainage (colon, abdominal or pelvic area)</w:t>
            </w:r>
          </w:p>
          <w:p w14:paraId="4072DF23" w14:textId="77777777" w:rsidR="00C63860" w:rsidRPr="00C63860" w:rsidRDefault="00C87DCA" w:rsidP="00C87DCA">
            <w:pPr>
              <w:rPr>
                <w:rFonts w:ascii="Arial" w:hAnsi="Arial" w:cs="Arial"/>
                <w:sz w:val="36"/>
                <w:szCs w:val="36"/>
              </w:rPr>
            </w:pPr>
            <w:r w:rsidRPr="00C63860">
              <w:t>(12.7%)</w:t>
            </w:r>
          </w:p>
          <w:p w14:paraId="2B5DFDAE" w14:textId="5CE4613A" w:rsidR="00C63860" w:rsidRPr="00C63860" w:rsidRDefault="00C87DCA" w:rsidP="00C87DCA">
            <w:pPr>
              <w:rPr>
                <w:rFonts w:eastAsiaTheme="minorEastAsia"/>
              </w:rPr>
            </w:pPr>
            <w:r w:rsidRPr="00C63860">
              <w:rPr>
                <w:rFonts w:eastAsiaTheme="minorEastAsia"/>
              </w:rPr>
              <w:t>Resection and anastomosis</w:t>
            </w:r>
          </w:p>
          <w:p w14:paraId="6AA5C1EB" w14:textId="77777777" w:rsidR="00C63860" w:rsidRPr="00C63860" w:rsidRDefault="00C87DCA" w:rsidP="00C87DCA">
            <w:pPr>
              <w:rPr>
                <w:rFonts w:ascii="Arial" w:hAnsi="Arial" w:cs="Arial"/>
                <w:sz w:val="36"/>
                <w:szCs w:val="36"/>
              </w:rPr>
            </w:pPr>
            <w:r w:rsidRPr="00C63860">
              <w:t>(6.9%)</w:t>
            </w:r>
          </w:p>
          <w:p w14:paraId="721B0C38" w14:textId="11E71F3A" w:rsidR="00C63860" w:rsidRPr="00C63860" w:rsidRDefault="00C87DCA" w:rsidP="00C87DCA">
            <w:r w:rsidRPr="00C63860">
              <w:rPr>
                <w:rFonts w:eastAsiaTheme="minorEastAsia"/>
              </w:rPr>
              <w:t>Colostomy with no resection on the same date</w:t>
            </w:r>
          </w:p>
          <w:p w14:paraId="3CDD0F4F" w14:textId="77777777" w:rsidR="00C63860" w:rsidRPr="00C63860" w:rsidRDefault="00C87DCA" w:rsidP="00C87DCA">
            <w:r w:rsidRPr="00C63860">
              <w:t>(2.9%)</w:t>
            </w:r>
          </w:p>
          <w:p w14:paraId="22B7C285" w14:textId="740D4A01" w:rsidR="00C63860" w:rsidRPr="00C63860" w:rsidRDefault="00C87DCA" w:rsidP="00C87DCA">
            <w:r w:rsidRPr="00C63860">
              <w:t>Other</w:t>
            </w:r>
          </w:p>
          <w:p w14:paraId="7EBCC66D" w14:textId="12B0C665" w:rsidR="00C87DCA" w:rsidRPr="00C63860" w:rsidRDefault="00C87DCA" w:rsidP="00C87DCA">
            <w:r w:rsidRPr="00C63860">
              <w:t>(7.7%)</w:t>
            </w:r>
          </w:p>
        </w:tc>
        <w:tc>
          <w:tcPr>
            <w:tcW w:w="0" w:type="auto"/>
            <w:shd w:val="clear" w:color="auto" w:fill="auto"/>
          </w:tcPr>
          <w:p w14:paraId="2B1540E1" w14:textId="77777777" w:rsidR="00C87DCA" w:rsidRPr="00C63860" w:rsidRDefault="00C87DCA" w:rsidP="00C87DCA">
            <w:pPr>
              <w:rPr>
                <w:rFonts w:ascii="Arial" w:hAnsi="Arial" w:cs="Arial"/>
                <w:sz w:val="36"/>
                <w:szCs w:val="36"/>
              </w:rPr>
            </w:pPr>
            <w:r w:rsidRPr="00C63860">
              <w:t>Repair of inguinal hernia</w:t>
            </w:r>
          </w:p>
          <w:p w14:paraId="4CA66DC0" w14:textId="77777777" w:rsidR="00C63860" w:rsidRPr="00C63860" w:rsidRDefault="00C87DCA" w:rsidP="00C87DCA">
            <w:pPr>
              <w:rPr>
                <w:rFonts w:ascii="Arial" w:hAnsi="Arial" w:cs="Arial"/>
                <w:sz w:val="36"/>
                <w:szCs w:val="36"/>
              </w:rPr>
            </w:pPr>
            <w:r w:rsidRPr="00C63860">
              <w:t>(39.6%)</w:t>
            </w:r>
          </w:p>
          <w:p w14:paraId="09B2AB7E" w14:textId="77777777" w:rsidR="00C63860" w:rsidRPr="00C63860" w:rsidRDefault="00C87DCA" w:rsidP="00C87DCA">
            <w:pPr>
              <w:rPr>
                <w:rFonts w:ascii="Arial" w:hAnsi="Arial" w:cs="Arial"/>
                <w:sz w:val="36"/>
                <w:szCs w:val="36"/>
              </w:rPr>
            </w:pPr>
            <w:r w:rsidRPr="00C63860">
              <w:t>Repair of umbilical hernia (37.2%)</w:t>
            </w:r>
          </w:p>
          <w:p w14:paraId="7CF9380A" w14:textId="27CD4A93" w:rsidR="00C63860" w:rsidRPr="00C63860" w:rsidRDefault="00C87DCA" w:rsidP="00C87DCA">
            <w:r w:rsidRPr="00C63860">
              <w:t>Repair of femoral hernia</w:t>
            </w:r>
          </w:p>
          <w:p w14:paraId="41657F37" w14:textId="77777777" w:rsidR="00C63860" w:rsidRPr="00C63860" w:rsidRDefault="00C87DCA" w:rsidP="00C87DCA">
            <w:pPr>
              <w:rPr>
                <w:rFonts w:ascii="Arial" w:hAnsi="Arial" w:cs="Arial"/>
                <w:sz w:val="36"/>
                <w:szCs w:val="36"/>
              </w:rPr>
            </w:pPr>
            <w:r w:rsidRPr="00C63860">
              <w:t>(19.8%)</w:t>
            </w:r>
          </w:p>
          <w:p w14:paraId="1968F659" w14:textId="77777777" w:rsidR="00C63860" w:rsidRPr="00C63860" w:rsidRDefault="00C87DCA" w:rsidP="00C87DCA">
            <w:pPr>
              <w:rPr>
                <w:rFonts w:ascii="Arial" w:hAnsi="Arial" w:cs="Arial"/>
                <w:sz w:val="36"/>
                <w:szCs w:val="36"/>
              </w:rPr>
            </w:pPr>
            <w:r w:rsidRPr="00C63860">
              <w:t>Repair of ventral hernia (2.6%)</w:t>
            </w:r>
          </w:p>
          <w:p w14:paraId="795920A1" w14:textId="6DCE2B88" w:rsidR="00C63860" w:rsidRPr="00C63860" w:rsidRDefault="00C87DCA" w:rsidP="00C87DCA">
            <w:r w:rsidRPr="00C63860">
              <w:t>Other</w:t>
            </w:r>
          </w:p>
          <w:p w14:paraId="78754E15" w14:textId="7FE7C40D" w:rsidR="00C87DCA" w:rsidRPr="00C63860" w:rsidRDefault="00C87DCA" w:rsidP="00C87DCA">
            <w:r w:rsidRPr="00C63860">
              <w:t>(0.1%)</w:t>
            </w:r>
          </w:p>
        </w:tc>
        <w:tc>
          <w:tcPr>
            <w:tcW w:w="0" w:type="auto"/>
            <w:shd w:val="clear" w:color="auto" w:fill="auto"/>
          </w:tcPr>
          <w:p w14:paraId="6B4C3715" w14:textId="77777777" w:rsidR="00C63860" w:rsidRPr="00C63860" w:rsidRDefault="00C87DCA" w:rsidP="00C87DCA">
            <w:r w:rsidRPr="00C63860">
              <w:t>Freeing of adhesions of peritoneum and related procedures</w:t>
            </w:r>
          </w:p>
          <w:p w14:paraId="4B744814" w14:textId="77777777" w:rsidR="00C63860" w:rsidRPr="00C63860" w:rsidRDefault="00C87DCA" w:rsidP="00C87DCA">
            <w:r w:rsidRPr="00C63860">
              <w:t>(48.9%)</w:t>
            </w:r>
          </w:p>
          <w:p w14:paraId="68142CC8" w14:textId="6ABF6435" w:rsidR="00C63860" w:rsidRPr="00C63860" w:rsidRDefault="00C87DCA" w:rsidP="00C87DCA">
            <w:r w:rsidRPr="00C63860">
              <w:t>Hemicolectomy</w:t>
            </w:r>
          </w:p>
          <w:p w14:paraId="1A51F0EA" w14:textId="77777777" w:rsidR="00C63860" w:rsidRPr="00C63860" w:rsidRDefault="00C87DCA" w:rsidP="00C87DCA">
            <w:pPr>
              <w:rPr>
                <w:rFonts w:ascii="Arial" w:hAnsi="Arial" w:cs="Arial"/>
                <w:sz w:val="36"/>
                <w:szCs w:val="36"/>
              </w:rPr>
            </w:pPr>
            <w:r w:rsidRPr="00C63860">
              <w:t>(12.3%)</w:t>
            </w:r>
          </w:p>
          <w:p w14:paraId="4B508822" w14:textId="77777777" w:rsidR="00C63860" w:rsidRPr="00C63860" w:rsidRDefault="00C87DCA" w:rsidP="00C87DCA">
            <w:pPr>
              <w:rPr>
                <w:sz w:val="16"/>
                <w:szCs w:val="16"/>
              </w:rPr>
            </w:pPr>
            <w:r w:rsidRPr="00C63860">
              <w:t>Colostomy or Ileostomy (5.3%)</w:t>
            </w:r>
          </w:p>
          <w:p w14:paraId="6F6323E0" w14:textId="5493F5FB" w:rsidR="00C63860" w:rsidRPr="00C63860" w:rsidRDefault="00C87DCA" w:rsidP="00C87DCA">
            <w:r w:rsidRPr="00C63860">
              <w:t>Ileectomy</w:t>
            </w:r>
          </w:p>
          <w:p w14:paraId="283C2614" w14:textId="77777777" w:rsidR="00C63860" w:rsidRPr="00C63860" w:rsidRDefault="00C87DCA" w:rsidP="00C87DCA">
            <w:pPr>
              <w:rPr>
                <w:rFonts w:ascii="Arial" w:hAnsi="Arial" w:cs="Arial"/>
                <w:sz w:val="36"/>
                <w:szCs w:val="36"/>
              </w:rPr>
            </w:pPr>
            <w:r w:rsidRPr="00C63860">
              <w:t>(10.1%)</w:t>
            </w:r>
          </w:p>
          <w:p w14:paraId="222595EF" w14:textId="77777777" w:rsidR="00C63860" w:rsidRPr="00C63860" w:rsidRDefault="00C87DCA" w:rsidP="00C87DCA">
            <w:pPr>
              <w:rPr>
                <w:rFonts w:ascii="Arial" w:hAnsi="Arial" w:cs="Arial"/>
                <w:sz w:val="36"/>
                <w:szCs w:val="36"/>
              </w:rPr>
            </w:pPr>
            <w:r w:rsidRPr="00C63860">
              <w:t>Rectosigmoidectomy and related procedures (4.4%)</w:t>
            </w:r>
          </w:p>
          <w:p w14:paraId="1F586588" w14:textId="268D9F50" w:rsidR="00C63860" w:rsidRPr="00C63860" w:rsidRDefault="00C87DCA" w:rsidP="00C87DCA">
            <w:r w:rsidRPr="00C63860">
              <w:t>Hernia repair</w:t>
            </w:r>
          </w:p>
          <w:p w14:paraId="69BF020A" w14:textId="77777777" w:rsidR="00C63860" w:rsidRPr="00C63860" w:rsidRDefault="00C87DCA" w:rsidP="00C87DCA">
            <w:r w:rsidRPr="00C63860">
              <w:t>(3.9%)</w:t>
            </w:r>
          </w:p>
          <w:p w14:paraId="19D578C2" w14:textId="16F5AB72" w:rsidR="00C63860" w:rsidRPr="00C63860" w:rsidRDefault="00C87DCA" w:rsidP="00C87DCA">
            <w:r w:rsidRPr="00C63860">
              <w:t>Other</w:t>
            </w:r>
          </w:p>
          <w:p w14:paraId="5E7D2547" w14:textId="1D3BCA88" w:rsidR="00C87DCA" w:rsidRPr="00C63860" w:rsidRDefault="00C87DCA" w:rsidP="00C87DCA">
            <w:r w:rsidRPr="00C63860">
              <w:t>(17.9%)</w:t>
            </w:r>
          </w:p>
        </w:tc>
      </w:tr>
    </w:tbl>
    <w:p w14:paraId="5CE0CA87" w14:textId="77777777" w:rsidR="00C63860" w:rsidRPr="00C63860" w:rsidRDefault="00C63860" w:rsidP="00C87DCA">
      <w:pPr>
        <w:rPr>
          <w:rFonts w:eastAsia="Calibri"/>
          <w:b/>
          <w:bCs/>
        </w:rPr>
      </w:pPr>
    </w:p>
    <w:p w14:paraId="1B064EBC" w14:textId="77777777" w:rsidR="00C63860" w:rsidRPr="00C63860" w:rsidRDefault="00C87DCA" w:rsidP="00F23137">
      <w:pPr>
        <w:spacing w:line="276" w:lineRule="auto"/>
        <w:rPr>
          <w:b/>
          <w:bCs/>
        </w:rPr>
      </w:pPr>
      <w:r w:rsidRPr="00C63860">
        <w:rPr>
          <w:b/>
          <w:bCs/>
        </w:rPr>
        <w:t>2.</w:t>
      </w:r>
      <w:r w:rsidR="00903112" w:rsidRPr="00C63860">
        <w:rPr>
          <w:b/>
          <w:bCs/>
        </w:rPr>
        <w:t>3.2</w:t>
      </w:r>
      <w:r w:rsidRPr="00C63860">
        <w:rPr>
          <w:b/>
          <w:bCs/>
        </w:rPr>
        <w:t xml:space="preserve"> Variation in </w:t>
      </w:r>
      <w:r w:rsidR="00903112" w:rsidRPr="00C63860">
        <w:rPr>
          <w:b/>
          <w:bCs/>
        </w:rPr>
        <w:t xml:space="preserve">emergency surgery </w:t>
      </w:r>
      <w:r w:rsidRPr="00C63860">
        <w:rPr>
          <w:b/>
          <w:bCs/>
        </w:rPr>
        <w:t>rates between hospitals</w:t>
      </w:r>
    </w:p>
    <w:p w14:paraId="6EFA217A" w14:textId="0C763E93" w:rsidR="00C87DCA" w:rsidRPr="00C63860" w:rsidRDefault="00C87DCA" w:rsidP="00F23137">
      <w:pPr>
        <w:spacing w:after="100" w:afterAutospacing="1" w:line="276" w:lineRule="auto"/>
        <w:rPr>
          <w:rFonts w:ascii="Courier New" w:hAnsi="Courier New" w:cs="Courier New"/>
        </w:rPr>
      </w:pPr>
      <w:r w:rsidRPr="00C63860">
        <w:t xml:space="preserve">Variation in rates of ES between the 175 hospitals contributing patients to the cohorts is shown in </w:t>
      </w:r>
      <w:r w:rsidR="00C63860" w:rsidRPr="00C63860">
        <w:rPr>
          <w:i/>
          <w:color w:val="FF0000"/>
        </w:rPr>
        <w:t>Figure 1</w:t>
      </w:r>
      <w:r w:rsidRPr="00C63860">
        <w:t>. Greatest variation between hospitals was found in cholelithiasis with a median rate of 18.4% (interquartile range 11.4% to 28.1%, minimum 2.3%, maximum 66.4%). More moderate variation was found for hernia (median 59.8%, IQR 54.2% to 65.8%, minimum 30.8%, maximum 79.2%) and appendicitis (median 93.0%, IQR 91.0% to 94.5%, minimum 67.5%, maximum 98.6%). Least variation was observed with intestinal obstruction (median 30.0%, IQR 27.0% to 33.2%, minimum 20.4%, maximum 51.4%) and diverticular disease (median 11.2%, IQR 9.1% to 13.3%, minimum 3.5%, maximum 21.0%).</w:t>
      </w:r>
    </w:p>
    <w:p w14:paraId="4CE184E5" w14:textId="77777777" w:rsidR="00C63860" w:rsidRPr="00C63860" w:rsidRDefault="00C87DCA" w:rsidP="00F23137">
      <w:pPr>
        <w:spacing w:after="100" w:afterAutospacing="1" w:line="276" w:lineRule="auto"/>
      </w:pPr>
      <w:r w:rsidRPr="00C63860">
        <w:t>Further analysis examining case-mix adjusted rates in ES at the level of the NHS trust has been reported elsewhere.</w:t>
      </w:r>
      <w:r w:rsidR="004B50DD" w:rsidRPr="00C63860">
        <w:rPr>
          <w:noProof/>
          <w:vertAlign w:val="superscript"/>
        </w:rPr>
        <w:t>36</w:t>
      </w:r>
    </w:p>
    <w:p w14:paraId="1C41F79F" w14:textId="7A3706D8" w:rsidR="00C63860" w:rsidRPr="00C63860" w:rsidRDefault="00C63860" w:rsidP="00123383">
      <w:pPr>
        <w:pStyle w:val="Caption"/>
        <w:rPr>
          <w:b/>
          <w:bCs/>
          <w:iCs w:val="0"/>
          <w:color w:val="auto"/>
          <w:sz w:val="22"/>
          <w:szCs w:val="22"/>
        </w:rPr>
      </w:pPr>
      <w:bookmarkStart w:id="44" w:name="_Toc86670841"/>
      <w:r w:rsidRPr="00C63860">
        <w:rPr>
          <w:b/>
          <w:bCs/>
          <w:color w:val="FF0000"/>
          <w:sz w:val="22"/>
          <w:szCs w:val="22"/>
        </w:rPr>
        <w:t xml:space="preserve">Figure </w:t>
      </w:r>
      <w:r w:rsidRPr="00C63860">
        <w:rPr>
          <w:b/>
          <w:bCs/>
          <w:noProof/>
          <w:color w:val="FF0000"/>
          <w:sz w:val="22"/>
          <w:szCs w:val="22"/>
        </w:rPr>
        <w:t>1</w:t>
      </w:r>
      <w:r w:rsidR="00123383" w:rsidRPr="00C63860">
        <w:rPr>
          <w:b/>
          <w:bCs/>
          <w:color w:val="auto"/>
          <w:sz w:val="22"/>
          <w:szCs w:val="22"/>
        </w:rPr>
        <w:t>: Variation in rates of emergency surgery in emergency admissions to 175 NHS acute general hospitals in England April 2010-December 2019</w:t>
      </w:r>
      <w:bookmarkEnd w:id="44"/>
      <w:r w:rsidR="00AA6ED2" w:rsidRPr="00C63860">
        <w:rPr>
          <w:b/>
          <w:bCs/>
          <w:color w:val="auto"/>
          <w:sz w:val="22"/>
          <w:szCs w:val="22"/>
        </w:rPr>
        <w:t>. (a) Appendictis; (b) cholelithiasis; (c) diverticular disease; (d) hernia; and (e) intestinal obstruction.</w:t>
      </w:r>
    </w:p>
    <w:p w14:paraId="109EE36C" w14:textId="77777777" w:rsidR="00C63860" w:rsidRPr="00C63860" w:rsidRDefault="00C87DCA" w:rsidP="00F23137">
      <w:pPr>
        <w:spacing w:line="276" w:lineRule="auto"/>
        <w:rPr>
          <w:b/>
          <w:bCs/>
          <w:sz w:val="28"/>
          <w:szCs w:val="28"/>
        </w:rPr>
      </w:pPr>
      <w:r w:rsidRPr="00C63860">
        <w:rPr>
          <w:b/>
          <w:bCs/>
          <w:sz w:val="28"/>
          <w:szCs w:val="28"/>
        </w:rPr>
        <w:t>2.</w:t>
      </w:r>
      <w:r w:rsidR="00903112" w:rsidRPr="00C63860">
        <w:rPr>
          <w:b/>
          <w:bCs/>
          <w:sz w:val="28"/>
          <w:szCs w:val="28"/>
        </w:rPr>
        <w:t>4</w:t>
      </w:r>
      <w:r w:rsidRPr="00C63860">
        <w:rPr>
          <w:b/>
          <w:bCs/>
          <w:sz w:val="28"/>
          <w:szCs w:val="28"/>
        </w:rPr>
        <w:tab/>
        <w:t>Discussion</w:t>
      </w:r>
    </w:p>
    <w:p w14:paraId="73AC4241" w14:textId="59502F7B" w:rsidR="00C63860" w:rsidRPr="00C63860" w:rsidRDefault="00C87DCA" w:rsidP="00F23137">
      <w:pPr>
        <w:spacing w:line="276" w:lineRule="auto"/>
      </w:pPr>
      <w:r w:rsidRPr="00C63860">
        <w:t xml:space="preserve">This chapter describes the criteria used to define cohorts for the five acute conditions and the methods used to determine which patients received ES </w:t>
      </w:r>
      <w:r w:rsidR="00114784" w:rsidRPr="00C63860">
        <w:t>versus</w:t>
      </w:r>
      <w:r w:rsidRPr="00C63860">
        <w:t xml:space="preserve"> NES strategies. The characteristics of each cohort are described and variation in rates of ES between hospitals is reported. The process drew on the expertise of a clinical panel to identify emergency general surgical populations and define ES following </w:t>
      </w:r>
      <w:r w:rsidR="00C63860" w:rsidRPr="00C63860">
        <w:rPr>
          <w:color w:val="00B0F0"/>
        </w:rPr>
        <w:t>‘</w:t>
      </w:r>
      <w:r w:rsidR="006F6056" w:rsidRPr="00C63860">
        <w:t>target trial</w:t>
      </w:r>
      <w:r w:rsidR="00C63860" w:rsidRPr="00C63860">
        <w:rPr>
          <w:color w:val="00B0F0"/>
        </w:rPr>
        <w:t>’</w:t>
      </w:r>
      <w:r w:rsidRPr="00C63860">
        <w:t xml:space="preserve"> principles using routine observational </w:t>
      </w:r>
      <w:r w:rsidRPr="00C63860">
        <w:rPr>
          <w:highlight w:val="magenta"/>
        </w:rPr>
        <w:t>data</w:t>
      </w:r>
      <w:r w:rsidRPr="00C63860">
        <w:t>.</w:t>
      </w:r>
      <w:r w:rsidR="004B50DD" w:rsidRPr="00C63860">
        <w:rPr>
          <w:noProof/>
          <w:vertAlign w:val="superscript"/>
        </w:rPr>
        <w:t>31, 32</w:t>
      </w:r>
    </w:p>
    <w:p w14:paraId="0E6E2A93" w14:textId="7E2091DF" w:rsidR="00C63860" w:rsidRPr="00C63860" w:rsidRDefault="00C87DCA" w:rsidP="00F23137">
      <w:pPr>
        <w:spacing w:line="276" w:lineRule="auto"/>
      </w:pPr>
      <w:r w:rsidRPr="00C63860">
        <w:t>This research extends previous studies which have found lower rates of ES for specific subgroups of older patients presenting with acute conditions within the UK.</w:t>
      </w:r>
      <w:r w:rsidR="004B50DD" w:rsidRPr="00C63860">
        <w:rPr>
          <w:noProof/>
          <w:vertAlign w:val="superscript"/>
        </w:rPr>
        <w:t>28, 29, 37</w:t>
      </w:r>
      <w:r w:rsidRPr="00C63860">
        <w:t xml:space="preserve"> Reports from the </w:t>
      </w:r>
      <w:r w:rsidR="00E425D6" w:rsidRPr="00C63860">
        <w:t xml:space="preserve">RCS </w:t>
      </w:r>
      <w:r w:rsidRPr="00C63860">
        <w:t>of England have generally found lower levels of ES for patients aged over 75 versus those aged 65</w:t>
      </w:r>
      <w:r w:rsidR="00C63860" w:rsidRPr="00C63860">
        <w:rPr>
          <w:color w:val="00B0F0"/>
        </w:rPr>
        <w:t>–7</w:t>
      </w:r>
      <w:r w:rsidRPr="00C63860">
        <w:t>4, notably for patients with acute cholelithiasis, and their recommendations have discouraged ES rationing by biological age and called for further research on ES and age to also consider co-morbidities and frailty.</w:t>
      </w:r>
      <w:r w:rsidR="00FC2440" w:rsidRPr="00C63860">
        <w:rPr>
          <w:noProof/>
          <w:vertAlign w:val="superscript"/>
        </w:rPr>
        <w:t>28, 29</w:t>
      </w:r>
      <w:r w:rsidRPr="00C63860">
        <w:t xml:space="preserve"> These results from ESORT show that ES generally decreases with age, a finding that remains after adjusting for a wider range of case-mix measures including frailty.</w:t>
      </w:r>
      <w:r w:rsidR="00FC2440" w:rsidRPr="00C63860">
        <w:rPr>
          <w:noProof/>
          <w:vertAlign w:val="superscript"/>
        </w:rPr>
        <w:t>35</w:t>
      </w:r>
      <w:r w:rsidRPr="00C63860">
        <w:t xml:space="preserve"> For patients with acute cholelithiasis and appendicitis the age-gradient is especially steep and goes across the age distribution.</w:t>
      </w:r>
    </w:p>
    <w:p w14:paraId="1E36B1EC" w14:textId="00BBF1EC" w:rsidR="00C63860" w:rsidRPr="00C63860" w:rsidRDefault="00C87DCA" w:rsidP="00F23137">
      <w:pPr>
        <w:spacing w:line="276" w:lineRule="auto"/>
      </w:pPr>
      <w:r w:rsidRPr="00C63860">
        <w:t>For patients presenting with hernia, previous studies reported higher ES rates for patients aged over 75, versus patients aged 65</w:t>
      </w:r>
      <w:r w:rsidR="00C63860" w:rsidRPr="00C63860">
        <w:rPr>
          <w:color w:val="00B0F0"/>
        </w:rPr>
        <w:t>–7</w:t>
      </w:r>
      <w:r w:rsidRPr="00C63860">
        <w:t>4.</w:t>
      </w:r>
      <w:r w:rsidR="00FC2440" w:rsidRPr="00C63860">
        <w:rPr>
          <w:noProof/>
          <w:vertAlign w:val="superscript"/>
        </w:rPr>
        <w:t>28, 29</w:t>
      </w:r>
      <w:r w:rsidRPr="00C63860">
        <w:t xml:space="preserve"> Findings from ESORT indicated this was not the case for patients in the oldest age groups (85</w:t>
      </w:r>
      <w:r w:rsidR="000004D9" w:rsidRPr="00C63860">
        <w:t xml:space="preserve"> years</w:t>
      </w:r>
      <w:r w:rsidRPr="00C63860">
        <w:t xml:space="preserve"> and older), a finding that remained after allowing for differences in other patient characteristics.</w:t>
      </w:r>
      <w:r w:rsidR="00FC2440" w:rsidRPr="00C63860">
        <w:rPr>
          <w:noProof/>
          <w:vertAlign w:val="superscript"/>
        </w:rPr>
        <w:t>36</w:t>
      </w:r>
    </w:p>
    <w:p w14:paraId="47306978" w14:textId="77777777" w:rsidR="00C63860" w:rsidRPr="00C63860" w:rsidRDefault="00C87DCA" w:rsidP="00F23137">
      <w:pPr>
        <w:spacing w:line="276" w:lineRule="auto"/>
      </w:pPr>
      <w:r w:rsidRPr="00C63860">
        <w:t xml:space="preserve">Large variation in ES was found for patients presenting with acute cholelithiasis, which suggests that in some hospitals, </w:t>
      </w:r>
      <w:r w:rsidR="00697C1F" w:rsidRPr="00C63860">
        <w:t>National Institute for Health and Care Excellence (</w:t>
      </w:r>
      <w:r w:rsidRPr="00C63860">
        <w:t>NICE</w:t>
      </w:r>
      <w:r w:rsidR="00697C1F" w:rsidRPr="00C63860">
        <w:t>)</w:t>
      </w:r>
      <w:r w:rsidRPr="00C63860">
        <w:t xml:space="preserve"> guidelines that recommend laparoscopic cholecystectomy within seven days of diagnosis, are not being followed.</w:t>
      </w:r>
      <w:r w:rsidR="00FC2440" w:rsidRPr="00C63860">
        <w:rPr>
          <w:noProof/>
          <w:vertAlign w:val="superscript"/>
        </w:rPr>
        <w:t>38</w:t>
      </w:r>
      <w:r w:rsidRPr="00C63860">
        <w:t xml:space="preserve"> These guidelines are informed by evidence from meta-analysis that reported improved outcomes for ES versus delayed cholecystectomy for patients with biliary colic, acute cholecystitis or gallstone pancreatitis.</w:t>
      </w:r>
      <w:r w:rsidR="00FC2440" w:rsidRPr="00C63860">
        <w:rPr>
          <w:noProof/>
          <w:vertAlign w:val="superscript"/>
        </w:rPr>
        <w:t>39</w:t>
      </w:r>
      <w:r w:rsidRPr="00C63860">
        <w:t xml:space="preserve"> Despite these recommendations, related research has also reported large levels of unexplained variation across NHS trusts in ES over a two-month time period.</w:t>
      </w:r>
      <w:r w:rsidR="00FC2440" w:rsidRPr="00C63860">
        <w:rPr>
          <w:noProof/>
          <w:vertAlign w:val="superscript"/>
        </w:rPr>
        <w:t>37</w:t>
      </w:r>
    </w:p>
    <w:p w14:paraId="03595BC9" w14:textId="77777777" w:rsidR="00C63860" w:rsidRPr="00C63860" w:rsidRDefault="00C87DCA" w:rsidP="00F23137">
      <w:pPr>
        <w:spacing w:line="276" w:lineRule="auto"/>
        <w:rPr>
          <w:vertAlign w:val="superscript"/>
        </w:rPr>
      </w:pPr>
      <w:r w:rsidRPr="00C63860">
        <w:t>Previous research on trust-level variation for patients with benign gallbladder diseases, reported higher ES in those centres with a specialist hepato-biliary (HPB) centre available, which may reflect better availability of operating theatre space, clearer understanding of the evidence comparing emergency and delayed cholecystectomy, or the enthusiasm to deliver an emergency cholecystectomy service.</w:t>
      </w:r>
      <w:r w:rsidR="00FC2440" w:rsidRPr="00C63860">
        <w:rPr>
          <w:noProof/>
          <w:vertAlign w:val="superscript"/>
        </w:rPr>
        <w:t>37</w:t>
      </w:r>
      <w:r w:rsidRPr="00C63860">
        <w:t xml:space="preserve"> This previous study also found that other trust-level factors, such as the availability of ES operating lists specific to the condition, or the number of consultants with expertise in the specific forms of ES, were not associated with ES rates for patients with benign gall bladder diseases.</w:t>
      </w:r>
      <w:r w:rsidR="00FC2440" w:rsidRPr="00C63860">
        <w:rPr>
          <w:noProof/>
          <w:vertAlign w:val="superscript"/>
        </w:rPr>
        <w:t>37</w:t>
      </w:r>
      <w:r w:rsidRPr="00C63860">
        <w:t xml:space="preserve"> Surgeon-led quality improvement initiatives such as the Cholecystectomy Quality Improvement Collaborative (Chole-QuIC) may also explain higher uptake of ES in some hospitals.</w:t>
      </w:r>
      <w:r w:rsidR="00FC2440" w:rsidRPr="00C63860">
        <w:rPr>
          <w:noProof/>
          <w:vertAlign w:val="superscript"/>
        </w:rPr>
        <w:t>40</w:t>
      </w:r>
    </w:p>
    <w:p w14:paraId="505497C9" w14:textId="77777777" w:rsidR="00C63860" w:rsidRPr="00C63860" w:rsidRDefault="00C87DCA" w:rsidP="00F23137">
      <w:pPr>
        <w:spacing w:line="276" w:lineRule="auto"/>
      </w:pPr>
      <w:r w:rsidRPr="00C63860">
        <w:t>More moderate variation between hospitals for acute appendicitis and abdominal wall hernia may reflect the lack of evidence about which patients benefit from ES versus NES for these conditions, that there are less well-defined care pathways, and a lack of clinical guidelines in the UK to inform the choice of whether or not the patient has ES.</w:t>
      </w:r>
      <w:r w:rsidR="00F54943" w:rsidRPr="00C63860">
        <w:rPr>
          <w:noProof/>
          <w:vertAlign w:val="superscript"/>
        </w:rPr>
        <w:t>41, 42</w:t>
      </w:r>
      <w:r w:rsidRPr="00C63860">
        <w:t xml:space="preserve"> It is also important to recognise that, over the ESORT study time-period, emergency admissions with abdominal wall hernia were not managed by a distinct surgical sub</w:t>
      </w:r>
      <w:r w:rsidR="000004D9" w:rsidRPr="00C63860">
        <w:t>-</w:t>
      </w:r>
      <w:r w:rsidRPr="00C63860">
        <w:rPr>
          <w:highlight w:val="magenta"/>
        </w:rPr>
        <w:t>speciality</w:t>
      </w:r>
      <w:r w:rsidRPr="00C63860">
        <w:t xml:space="preserve"> in the UK, which may have hindered attempts to standardise </w:t>
      </w:r>
      <w:r w:rsidRPr="00C63860">
        <w:rPr>
          <w:highlight w:val="magenta"/>
        </w:rPr>
        <w:t>practice</w:t>
      </w:r>
      <w:r w:rsidRPr="00C63860">
        <w:t>,</w:t>
      </w:r>
      <w:r w:rsidR="00F54943" w:rsidRPr="00C63860">
        <w:rPr>
          <w:noProof/>
          <w:vertAlign w:val="superscript"/>
        </w:rPr>
        <w:t>42</w:t>
      </w:r>
      <w:r w:rsidRPr="00C63860">
        <w:t xml:space="preserve"> and that different local policies on restricting elective hernia surgery may have affected emergency provision.</w:t>
      </w:r>
      <w:r w:rsidR="00F54943" w:rsidRPr="00C63860">
        <w:rPr>
          <w:noProof/>
          <w:vertAlign w:val="superscript"/>
        </w:rPr>
        <w:t>43, 44</w:t>
      </w:r>
      <w:r w:rsidRPr="00C63860">
        <w:t xml:space="preserve"> For patients with uncomplicated acute appendicitis the emerging evidence for antibiotics as an alternative to ES may explain variability.</w:t>
      </w:r>
      <w:r w:rsidR="00F54943" w:rsidRPr="00C63860">
        <w:rPr>
          <w:noProof/>
          <w:vertAlign w:val="superscript"/>
        </w:rPr>
        <w:t>7, 13</w:t>
      </w:r>
    </w:p>
    <w:p w14:paraId="0AF59F1D" w14:textId="7D577B0A" w:rsidR="00C63860" w:rsidRPr="00C63860" w:rsidRDefault="00C87DCA" w:rsidP="00F23137">
      <w:pPr>
        <w:spacing w:line="276" w:lineRule="auto"/>
      </w:pPr>
      <w:r w:rsidRPr="00C63860">
        <w:t>Lower variation in rates of ES for patients with intestinal obstruction and diverticular disease may reflect increased standardisation in the clinical management of the conditions over the study</w:t>
      </w:r>
      <w:r w:rsidR="00C63860" w:rsidRPr="00C63860">
        <w:rPr>
          <w:color w:val="00B0F0"/>
        </w:rPr>
        <w:t>’</w:t>
      </w:r>
      <w:r w:rsidRPr="00C63860">
        <w:t>s time-period</w:t>
      </w:r>
      <w:r w:rsidR="00E425D6" w:rsidRPr="00C63860">
        <w:t>,</w:t>
      </w:r>
      <w:r w:rsidRPr="00C63860">
        <w:t xml:space="preserve"> and the emergence of evidence from RCTs</w:t>
      </w:r>
      <w:r w:rsidR="00F54943" w:rsidRPr="00C63860">
        <w:rPr>
          <w:noProof/>
          <w:vertAlign w:val="superscript"/>
        </w:rPr>
        <w:t>14, 45, 46</w:t>
      </w:r>
      <w:r w:rsidRPr="00C63860">
        <w:t xml:space="preserve"> and the development of clinical pathways. For diverticular disease, there is consensus in the UK about the surgical </w:t>
      </w:r>
      <w:r w:rsidRPr="00C63860">
        <w:rPr>
          <w:highlight w:val="magenta"/>
        </w:rPr>
        <w:t>speciality</w:t>
      </w:r>
      <w:r w:rsidRPr="00C63860">
        <w:t xml:space="preserve"> (colorectal surgery) that manages patients. For patients with acute diverticular disease, ES has declined over time,</w:t>
      </w:r>
      <w:r w:rsidR="00F54943" w:rsidRPr="00C63860">
        <w:rPr>
          <w:noProof/>
          <w:vertAlign w:val="superscript"/>
        </w:rPr>
        <w:t>47</w:t>
      </w:r>
      <w:r w:rsidRPr="00C63860">
        <w:t xml:space="preserve"> and the low ES rate reflects current NICE recommendations that encourage NES strategies, and the lack of high-quality evidence on the effectiveness of ES for patients with acute diverticular disease.</w:t>
      </w:r>
      <w:r w:rsidR="00F54943" w:rsidRPr="00C63860">
        <w:rPr>
          <w:noProof/>
          <w:vertAlign w:val="superscript"/>
        </w:rPr>
        <w:t>48</w:t>
      </w:r>
    </w:p>
    <w:p w14:paraId="0BAFF761" w14:textId="592BAC1C" w:rsidR="00C63860" w:rsidRPr="00C63860" w:rsidRDefault="00C87DCA" w:rsidP="00F23137">
      <w:pPr>
        <w:spacing w:line="276" w:lineRule="auto"/>
      </w:pPr>
      <w:r w:rsidRPr="00C63860">
        <w:t xml:space="preserve">The variation that was identified in rates of ES between hospitals provides the basis for the </w:t>
      </w:r>
      <w:r w:rsidR="00C32357" w:rsidRPr="00C63860">
        <w:t>IV</w:t>
      </w:r>
      <w:r w:rsidRPr="00C63860">
        <w:t>, a hospital</w:t>
      </w:r>
      <w:r w:rsidR="00C63860" w:rsidRPr="00C63860">
        <w:rPr>
          <w:color w:val="00B0F0"/>
        </w:rPr>
        <w:t>’</w:t>
      </w:r>
      <w:r w:rsidRPr="00C63860">
        <w:t xml:space="preserve">s </w:t>
      </w:r>
      <w:r w:rsidR="006F6056" w:rsidRPr="00C63860">
        <w:rPr>
          <w:color w:val="00B0F0"/>
          <w:highlight w:val="green"/>
        </w:rPr>
        <w:t>‘</w:t>
      </w:r>
      <w:r w:rsidR="006F6056" w:rsidRPr="00C63860">
        <w:rPr>
          <w:highlight w:val="green"/>
        </w:rPr>
        <w:t>tendency to operate</w:t>
      </w:r>
      <w:r w:rsidR="006F6056" w:rsidRPr="00C63860">
        <w:rPr>
          <w:color w:val="00B0F0"/>
          <w:highlight w:val="green"/>
        </w:rPr>
        <w:t>’</w:t>
      </w:r>
      <w:r w:rsidR="00E425D6" w:rsidRPr="00C63860">
        <w:t xml:space="preserve"> (TTO),</w:t>
      </w:r>
      <w:r w:rsidRPr="00C63860">
        <w:t xml:space="preserve"> that will be used in evaluating the clinical effectiveness (</w:t>
      </w:r>
      <w:r w:rsidRPr="00C63860">
        <w:rPr>
          <w:i/>
        </w:rPr>
        <w:t>Chapter 3</w:t>
      </w:r>
      <w:r w:rsidRPr="00C63860">
        <w:t>) and cost-effectiveness (</w:t>
      </w:r>
      <w:r w:rsidRPr="00C63860">
        <w:rPr>
          <w:i/>
        </w:rPr>
        <w:t>Chapter 4</w:t>
      </w:r>
      <w:r w:rsidRPr="00C63860">
        <w:t>) of ES in comparison with alternative NES treatment strategies.</w:t>
      </w:r>
    </w:p>
    <w:p w14:paraId="25E44385" w14:textId="584FE278" w:rsidR="007B3B2C" w:rsidRPr="00C63860" w:rsidRDefault="00113D42" w:rsidP="00070091">
      <w:pPr>
        <w:pStyle w:val="Heading1"/>
      </w:pPr>
      <w:bookmarkStart w:id="45" w:name="_Toc86672999"/>
      <w:r w:rsidRPr="00C63860">
        <w:t>Chapter 3: Clinical effectiveness</w:t>
      </w:r>
      <w:bookmarkEnd w:id="45"/>
    </w:p>
    <w:p w14:paraId="08D078B3" w14:textId="77777777" w:rsidR="00C63860" w:rsidRPr="00C63860" w:rsidRDefault="008C09D9" w:rsidP="00F23137">
      <w:pPr>
        <w:spacing w:before="240" w:line="276" w:lineRule="auto"/>
        <w:rPr>
          <w:b/>
          <w:bCs/>
          <w:sz w:val="28"/>
          <w:szCs w:val="28"/>
        </w:rPr>
      </w:pPr>
      <w:r w:rsidRPr="00C63860">
        <w:rPr>
          <w:b/>
          <w:bCs/>
          <w:sz w:val="28"/>
          <w:szCs w:val="28"/>
        </w:rPr>
        <w:t>3.1 Introduction</w:t>
      </w:r>
    </w:p>
    <w:p w14:paraId="0EE5C97C" w14:textId="4807F0F9" w:rsidR="008C09D9" w:rsidRPr="00C63860" w:rsidRDefault="008C09D9" w:rsidP="00F23137">
      <w:pPr>
        <w:spacing w:before="240" w:line="276" w:lineRule="auto"/>
      </w:pPr>
      <w:r w:rsidRPr="00C63860">
        <w:t>For common acute conditions that present as emergency admissions, an important clinical decision is which patients should receive ES versus NES strategies</w:t>
      </w:r>
      <w:r w:rsidR="000004D9" w:rsidRPr="00C63860">
        <w:t xml:space="preserve">. </w:t>
      </w:r>
      <w:r w:rsidR="00114784" w:rsidRPr="00C63860">
        <w:t xml:space="preserve">Here, </w:t>
      </w:r>
      <w:r w:rsidR="000004D9" w:rsidRPr="00C63860">
        <w:t>NES strategies</w:t>
      </w:r>
      <w:r w:rsidRPr="00C63860">
        <w:t xml:space="preserve"> include medical management, non-surgical procedures (e.g. </w:t>
      </w:r>
      <w:r w:rsidR="00114784" w:rsidRPr="00C63860">
        <w:t xml:space="preserve">radiological guided </w:t>
      </w:r>
      <w:r w:rsidRPr="00C63860">
        <w:t>drainage of abscess), or surgery deferred to the elective (planned) setting. ES rates for patients with acute condition have declined over the last 20 years.</w:t>
      </w:r>
      <w:r w:rsidR="00F54943" w:rsidRPr="00C63860">
        <w:rPr>
          <w:noProof/>
          <w:vertAlign w:val="superscript"/>
        </w:rPr>
        <w:t>6</w:t>
      </w:r>
      <w:r w:rsidRPr="00C63860">
        <w:t xml:space="preserve"> Protocols for NES strategies have been implemented as part of RCTs, and for some conditions, such as acute appendicitis, there is some evidence of improved outcomes </w:t>
      </w:r>
      <w:r w:rsidRPr="00C63860">
        <w:rPr>
          <w:highlight w:val="magenta"/>
        </w:rPr>
        <w:t>compared to</w:t>
      </w:r>
      <w:r w:rsidRPr="00C63860">
        <w:t xml:space="preserve"> ES strategies.</w:t>
      </w:r>
      <w:r w:rsidR="00F54943" w:rsidRPr="00C63860">
        <w:rPr>
          <w:noProof/>
          <w:vertAlign w:val="superscript"/>
        </w:rPr>
        <w:t>7, 13</w:t>
      </w:r>
      <w:r w:rsidRPr="00C63860">
        <w:t xml:space="preserve"> For other conditions such as acute cholelithiasis, RCTs have found that NES strategies may have unintended consequences, with patients having recurrent symptoms, and delayed surgery, thus leading to further pressure on surgical waiting lists.</w:t>
      </w:r>
      <w:r w:rsidR="00F54943" w:rsidRPr="00C63860">
        <w:rPr>
          <w:noProof/>
          <w:vertAlign w:val="superscript"/>
        </w:rPr>
        <w:t>9</w:t>
      </w:r>
      <w:r w:rsidRPr="00C63860">
        <w:t xml:space="preserve"> However, none of these RCTs have included routine emergency admissions to hospitals, and for some acute conditions no RCTs of ES</w:t>
      </w:r>
      <w:r w:rsidR="00114784" w:rsidRPr="00C63860">
        <w:t xml:space="preserve"> versus NES strategies</w:t>
      </w:r>
      <w:r w:rsidRPr="00C63860">
        <w:t xml:space="preserve"> have been conducted.</w:t>
      </w:r>
      <w:r w:rsidR="00F54943" w:rsidRPr="00C63860">
        <w:rPr>
          <w:noProof/>
          <w:vertAlign w:val="superscript"/>
        </w:rPr>
        <w:t>7, 9, 13</w:t>
      </w:r>
      <w:r w:rsidR="00C63860" w:rsidRPr="00C63860">
        <w:rPr>
          <w:noProof/>
          <w:color w:val="00B0F0"/>
          <w:vertAlign w:val="superscript"/>
        </w:rPr>
        <w:t>–1</w:t>
      </w:r>
      <w:r w:rsidR="00F54943" w:rsidRPr="00C63860">
        <w:rPr>
          <w:noProof/>
          <w:vertAlign w:val="superscript"/>
        </w:rPr>
        <w:t>5, 49</w:t>
      </w:r>
    </w:p>
    <w:p w14:paraId="689C23BF" w14:textId="3F747E31" w:rsidR="008C09D9" w:rsidRPr="00C63860" w:rsidRDefault="008C09D9" w:rsidP="00F23137">
      <w:pPr>
        <w:spacing w:before="240" w:line="276" w:lineRule="auto"/>
      </w:pPr>
      <w:r w:rsidRPr="00C63860">
        <w:t>This lack of evidence has resulted in clinical uncertainty about the benefits and harms of ES for patients with acute conditions. Consequently, there is wide variation in clinical practice</w:t>
      </w:r>
      <w:r w:rsidR="00F54943" w:rsidRPr="00C63860">
        <w:rPr>
          <w:noProof/>
          <w:vertAlign w:val="superscript"/>
        </w:rPr>
        <w:t>2</w:t>
      </w:r>
      <w:r w:rsidRPr="00C63860">
        <w:t xml:space="preserve"> and in rates of ES across NHS trusts in England for emergency admissions with common acute conditions, with patients of similar prognosis having ES in some hospitals and NES in others.</w:t>
      </w:r>
      <w:r w:rsidR="00F54943" w:rsidRPr="00C63860">
        <w:rPr>
          <w:noProof/>
          <w:vertAlign w:val="superscript"/>
        </w:rPr>
        <w:t>36</w:t>
      </w:r>
    </w:p>
    <w:p w14:paraId="2A39C853" w14:textId="49E66442" w:rsidR="008C09D9" w:rsidRPr="00C63860" w:rsidRDefault="008C09D9" w:rsidP="00F23137">
      <w:pPr>
        <w:spacing w:before="240" w:line="276" w:lineRule="auto"/>
      </w:pPr>
      <w:r w:rsidRPr="00C63860">
        <w:t xml:space="preserve">The aim of this chapter is to assess the relative effectiveness of ES versus NES </w:t>
      </w:r>
      <w:r w:rsidR="00D91719" w:rsidRPr="00C63860">
        <w:t xml:space="preserve">strategies </w:t>
      </w:r>
      <w:r w:rsidRPr="00C63860">
        <w:t>for five common acute conditions: acute appendicitis, cholelithiasis, diverticular disease, abdominal wall hernia and intestinal obstruction. The analysis exploits the variation in ES rates across NHS hospitals in England</w:t>
      </w:r>
      <w:r w:rsidR="00E425D6" w:rsidRPr="00C63860">
        <w:t xml:space="preserve"> (</w:t>
      </w:r>
      <w:r w:rsidR="00E425D6" w:rsidRPr="00C63860">
        <w:rPr>
          <w:i/>
          <w:iCs/>
        </w:rPr>
        <w:t>Chapter 2</w:t>
      </w:r>
      <w:r w:rsidR="00E425D6" w:rsidRPr="00C63860">
        <w:t>)</w:t>
      </w:r>
      <w:r w:rsidRPr="00C63860">
        <w:t xml:space="preserve">, and reports relative effectiveness overall and according to pre-specified subgroups, in particular age, </w:t>
      </w:r>
      <w:r w:rsidR="00D91719" w:rsidRPr="00C63860">
        <w:t>sex</w:t>
      </w:r>
      <w:r w:rsidRPr="00C63860">
        <w:t xml:space="preserve">, number of comorbidities and level of frailty. The analyses use </w:t>
      </w:r>
      <w:r w:rsidRPr="00C63860">
        <w:rPr>
          <w:highlight w:val="magenta"/>
        </w:rPr>
        <w:t>data</w:t>
      </w:r>
      <w:r w:rsidRPr="00C63860">
        <w:t xml:space="preserve"> on cohorts of emergency admissions to 175 NHS acute hospitals for the five common acute conditions, as described in </w:t>
      </w:r>
      <w:r w:rsidRPr="00C63860">
        <w:rPr>
          <w:i/>
        </w:rPr>
        <w:t>Chapter 2</w:t>
      </w:r>
      <w:r w:rsidRPr="00C63860">
        <w:t>. The study protocol and statistical analysis plan were developed following the principles of emulating a target trial</w:t>
      </w:r>
      <w:r w:rsidR="004459D0" w:rsidRPr="00C63860">
        <w:t xml:space="preserve"> </w:t>
      </w:r>
      <w:bookmarkStart w:id="46" w:name="_Hlk85907578"/>
      <w:r w:rsidR="004459D0" w:rsidRPr="00C63860">
        <w:t xml:space="preserve">(see </w:t>
      </w:r>
      <w:r w:rsidR="004459D0" w:rsidRPr="00C63860">
        <w:rPr>
          <w:i/>
        </w:rPr>
        <w:t>Project webpage</w:t>
      </w:r>
      <w:r w:rsidR="004459D0" w:rsidRPr="00C63860">
        <w:t>)</w:t>
      </w:r>
      <w:bookmarkEnd w:id="46"/>
      <w:r w:rsidRPr="00C63860">
        <w:t>.</w:t>
      </w:r>
    </w:p>
    <w:p w14:paraId="7B8AF514" w14:textId="726CC527" w:rsidR="00255F95" w:rsidRPr="00C63860" w:rsidRDefault="008C09D9" w:rsidP="00F23137">
      <w:pPr>
        <w:spacing w:before="240" w:line="276" w:lineRule="auto"/>
      </w:pPr>
      <w:r w:rsidRPr="00C63860">
        <w:t>The design and proposed analysis of the ESORT study were informed by a patient and public advisory group during two online workshops held in July 2020.</w:t>
      </w:r>
      <w:r w:rsidR="004459D0" w:rsidRPr="00C63860">
        <w:rPr>
          <w:noProof/>
          <w:vertAlign w:val="superscript"/>
        </w:rPr>
        <w:t>30</w:t>
      </w:r>
      <w:r w:rsidRPr="00C63860">
        <w:t xml:space="preserve"> The workshop participants were asked to consider outcome measures for patients following emergency admission to hospital for acute conditions. The group agreed that an appropriate measure would capture mortality and the number of days in hospital.</w:t>
      </w:r>
    </w:p>
    <w:p w14:paraId="1CE8EC04" w14:textId="77777777" w:rsidR="008C09D9" w:rsidRPr="00C63860" w:rsidRDefault="008C09D9" w:rsidP="00F23137">
      <w:pPr>
        <w:spacing w:before="240" w:line="276" w:lineRule="auto"/>
        <w:rPr>
          <w:b/>
          <w:bCs/>
          <w:sz w:val="28"/>
          <w:szCs w:val="28"/>
        </w:rPr>
      </w:pPr>
      <w:r w:rsidRPr="00C63860">
        <w:rPr>
          <w:b/>
          <w:bCs/>
          <w:sz w:val="28"/>
          <w:szCs w:val="28"/>
        </w:rPr>
        <w:t>3.2 Methods</w:t>
      </w:r>
    </w:p>
    <w:p w14:paraId="2EB310B9" w14:textId="77777777" w:rsidR="008C09D9" w:rsidRPr="00C63860" w:rsidRDefault="008C09D9" w:rsidP="00F23137">
      <w:pPr>
        <w:spacing w:before="240" w:line="276" w:lineRule="auto"/>
        <w:rPr>
          <w:b/>
          <w:bCs/>
        </w:rPr>
      </w:pPr>
      <w:r w:rsidRPr="00C63860">
        <w:rPr>
          <w:b/>
          <w:bCs/>
        </w:rPr>
        <w:t>3.2.1 Outcomes</w:t>
      </w:r>
    </w:p>
    <w:p w14:paraId="30672667" w14:textId="1FC451DD" w:rsidR="00C63860" w:rsidRPr="00C63860" w:rsidRDefault="008C09D9" w:rsidP="00F23137">
      <w:pPr>
        <w:spacing w:before="240" w:line="276" w:lineRule="auto"/>
        <w:rPr>
          <w:rFonts w:cstheme="minorHAnsi"/>
        </w:rPr>
      </w:pPr>
      <w:r w:rsidRPr="00C63860">
        <w:rPr>
          <w:rFonts w:cstheme="minorHAnsi"/>
        </w:rPr>
        <w:t xml:space="preserve">The primary outcome measure was the </w:t>
      </w:r>
      <w:r w:rsidR="006F6056" w:rsidRPr="00C63860">
        <w:rPr>
          <w:rFonts w:cstheme="minorHAnsi"/>
          <w:color w:val="00B0F0"/>
          <w:highlight w:val="green"/>
        </w:rPr>
        <w:t>‘</w:t>
      </w:r>
      <w:r w:rsidR="006F6056" w:rsidRPr="00C63860">
        <w:rPr>
          <w:rFonts w:cstheme="minorHAnsi"/>
          <w:highlight w:val="green"/>
        </w:rPr>
        <w:t>number of days alive and out of hospital</w:t>
      </w:r>
      <w:r w:rsidR="006F6056" w:rsidRPr="00C63860">
        <w:rPr>
          <w:rFonts w:cstheme="minorHAnsi"/>
          <w:color w:val="00B0F0"/>
          <w:highlight w:val="green"/>
        </w:rPr>
        <w:t>’</w:t>
      </w:r>
      <w:r w:rsidRPr="00C63860">
        <w:rPr>
          <w:rFonts w:cstheme="minorHAnsi"/>
        </w:rPr>
        <w:t xml:space="preserve"> (DAOH) at 90 days. DAOH is a composite measure, which encompasses mortality and total length of hospital stay (LOS) including readmissions, for example for reinterventions. It has been recommended both as a standardised patient-centred outcome measure, and a core outcome measure for clinical effectiveness trials in perioperative medicine. This outcome measure has been </w:t>
      </w:r>
      <w:r w:rsidRPr="00C63860">
        <w:rPr>
          <w:rFonts w:cstheme="minorHAnsi"/>
          <w:highlight w:val="magenta"/>
        </w:rPr>
        <w:t>formally</w:t>
      </w:r>
      <w:r w:rsidRPr="00C63860">
        <w:rPr>
          <w:rFonts w:cstheme="minorHAnsi"/>
        </w:rPr>
        <w:t xml:space="preserve"> validated in multiple studies following ES</w:t>
      </w:r>
      <w:r w:rsidR="004459D0" w:rsidRPr="00C63860">
        <w:rPr>
          <w:rFonts w:cstheme="minorHAnsi"/>
          <w:noProof/>
          <w:vertAlign w:val="superscript"/>
        </w:rPr>
        <w:t>50</w:t>
      </w:r>
      <w:r w:rsidR="00C63860" w:rsidRPr="00C63860">
        <w:rPr>
          <w:rFonts w:cstheme="minorHAnsi"/>
          <w:noProof/>
          <w:color w:val="00B0F0"/>
          <w:vertAlign w:val="superscript"/>
        </w:rPr>
        <w:t>–5</w:t>
      </w:r>
      <w:r w:rsidR="004459D0" w:rsidRPr="00C63860">
        <w:rPr>
          <w:rFonts w:cstheme="minorHAnsi"/>
          <w:noProof/>
          <w:vertAlign w:val="superscript"/>
        </w:rPr>
        <w:t>2</w:t>
      </w:r>
      <w:r w:rsidRPr="00C63860">
        <w:rPr>
          <w:rFonts w:cstheme="minorHAnsi"/>
        </w:rPr>
        <w:t xml:space="preserve"> and was supported by a panel of ex-patients and public contributors.</w:t>
      </w:r>
      <w:r w:rsidR="004459D0" w:rsidRPr="00C63860">
        <w:rPr>
          <w:rFonts w:cstheme="minorHAnsi"/>
          <w:noProof/>
          <w:vertAlign w:val="superscript"/>
        </w:rPr>
        <w:t>30</w:t>
      </w:r>
      <w:r w:rsidRPr="00C63860">
        <w:rPr>
          <w:rFonts w:cstheme="minorHAnsi"/>
        </w:rPr>
        <w:t xml:space="preserve"> DAOH was measured from the date the index episode started for up to 90 days. The calculation of DAOH used HES </w:t>
      </w:r>
      <w:r w:rsidRPr="00C63860">
        <w:rPr>
          <w:rFonts w:cstheme="minorHAnsi"/>
          <w:highlight w:val="magenta"/>
        </w:rPr>
        <w:t>data</w:t>
      </w:r>
      <w:r w:rsidRPr="00C63860">
        <w:rPr>
          <w:rFonts w:cstheme="minorHAnsi"/>
        </w:rPr>
        <w:t xml:space="preserve"> on the total duration of hospitalisation over the 90-day period, and the date of death from linkage to the Office for National Statistics</w:t>
      </w:r>
      <w:r w:rsidR="00DF610B" w:rsidRPr="00C63860">
        <w:rPr>
          <w:rFonts w:cstheme="minorHAnsi"/>
        </w:rPr>
        <w:t xml:space="preserve"> (ONS)</w:t>
      </w:r>
      <w:r w:rsidRPr="00C63860">
        <w:rPr>
          <w:rFonts w:cstheme="minorHAnsi"/>
        </w:rPr>
        <w:t xml:space="preserve"> death record. Patients who died within the 90-day period were assigned zero DAOH. The study</w:t>
      </w:r>
      <w:r w:rsidR="00C63860" w:rsidRPr="00C63860">
        <w:rPr>
          <w:rFonts w:cstheme="minorHAnsi"/>
          <w:color w:val="00B0F0"/>
        </w:rPr>
        <w:t>’</w:t>
      </w:r>
      <w:r w:rsidRPr="00C63860">
        <w:rPr>
          <w:rFonts w:cstheme="minorHAnsi"/>
        </w:rPr>
        <w:t>s sample size for each condition was projected to be sufficient to assess overall differences between the comparison groups in the mean DAOH of at least one day, with 80% power, and 95% levels of statistical significance.</w:t>
      </w:r>
      <w:r w:rsidR="004459D0" w:rsidRPr="00C63860">
        <w:rPr>
          <w:rFonts w:cstheme="minorHAnsi"/>
          <w:noProof/>
          <w:vertAlign w:val="superscript"/>
        </w:rPr>
        <w:t>51</w:t>
      </w:r>
      <w:r w:rsidRPr="00C63860">
        <w:rPr>
          <w:rFonts w:cstheme="minorHAnsi"/>
        </w:rPr>
        <w:t xml:space="preserve"> </w:t>
      </w:r>
      <w:r w:rsidR="004459D0" w:rsidRPr="00C63860">
        <w:t xml:space="preserve">(see Statistical Analysis Plan on </w:t>
      </w:r>
      <w:r w:rsidR="004459D0" w:rsidRPr="00C63860">
        <w:rPr>
          <w:i/>
        </w:rPr>
        <w:t>Project webpage</w:t>
      </w:r>
      <w:r w:rsidR="004459D0" w:rsidRPr="00C63860">
        <w:t>)</w:t>
      </w:r>
      <w:r w:rsidR="00D91719" w:rsidRPr="00C63860">
        <w:t xml:space="preserve"> </w:t>
      </w:r>
      <w:r w:rsidRPr="00C63860">
        <w:rPr>
          <w:rFonts w:cstheme="minorHAnsi"/>
        </w:rPr>
        <w:t xml:space="preserve">The secondary outcomes were: 90-day mortality and </w:t>
      </w:r>
      <w:r w:rsidR="00D91719" w:rsidRPr="00C63860">
        <w:rPr>
          <w:rFonts w:cstheme="minorHAnsi"/>
        </w:rPr>
        <w:t xml:space="preserve">aggregate </w:t>
      </w:r>
      <w:r w:rsidRPr="00C63860">
        <w:rPr>
          <w:rFonts w:cstheme="minorHAnsi"/>
        </w:rPr>
        <w:t>LOS (the two components of DAOH), and any emergency readmission within 30 days.</w:t>
      </w:r>
    </w:p>
    <w:p w14:paraId="2635F391" w14:textId="77777777" w:rsidR="00C63860" w:rsidRPr="00C63860" w:rsidRDefault="008C09D9" w:rsidP="00F23137">
      <w:pPr>
        <w:spacing w:before="240" w:line="276" w:lineRule="auto"/>
        <w:rPr>
          <w:b/>
          <w:bCs/>
        </w:rPr>
      </w:pPr>
      <w:r w:rsidRPr="00C63860">
        <w:rPr>
          <w:b/>
          <w:bCs/>
        </w:rPr>
        <w:t>3.2.2 Instrumental variable – the tendency to operate</w:t>
      </w:r>
    </w:p>
    <w:p w14:paraId="3A5FB787" w14:textId="68EFDA64" w:rsidR="00C63860" w:rsidRPr="00C63860" w:rsidRDefault="008C09D9" w:rsidP="00F23137">
      <w:pPr>
        <w:spacing w:before="240" w:line="276" w:lineRule="auto"/>
      </w:pPr>
      <w:r w:rsidRPr="00C63860">
        <w:t xml:space="preserve">An </w:t>
      </w:r>
      <w:r w:rsidR="00114784" w:rsidRPr="00C63860">
        <w:t>IV</w:t>
      </w:r>
      <w:r w:rsidRPr="00C63860">
        <w:t xml:space="preserve"> analysis aims to approximate the random assignment of treatment in a RCT, by using an instrument to balance observed and unobserved baseline prognostic measures between the comparison groups.</w:t>
      </w:r>
      <w:r w:rsidR="004459D0" w:rsidRPr="00C63860">
        <w:rPr>
          <w:noProof/>
          <w:vertAlign w:val="superscript"/>
        </w:rPr>
        <w:t>18</w:t>
      </w:r>
      <w:r w:rsidRPr="00C63860">
        <w:t xml:space="preserve"> The analysis adopted an </w:t>
      </w:r>
      <w:r w:rsidR="00114784" w:rsidRPr="00C63860">
        <w:t>IV</w:t>
      </w:r>
      <w:r w:rsidRPr="00C63860">
        <w:t xml:space="preserve"> previously used to evaluate ES from claims </w:t>
      </w:r>
      <w:r w:rsidRPr="00C63860">
        <w:rPr>
          <w:highlight w:val="magenta"/>
        </w:rPr>
        <w:t>data</w:t>
      </w:r>
      <w:r w:rsidRPr="00C63860">
        <w:t xml:space="preserve"> from the U</w:t>
      </w:r>
      <w:r w:rsidR="00E425D6" w:rsidRPr="00C63860">
        <w:t>SA</w:t>
      </w:r>
      <w:r w:rsidRPr="00C63860">
        <w:t>,</w:t>
      </w:r>
      <w:r w:rsidR="004459D0" w:rsidRPr="00C63860">
        <w:rPr>
          <w:noProof/>
          <w:vertAlign w:val="superscript"/>
        </w:rPr>
        <w:t>20</w:t>
      </w:r>
      <w:r w:rsidRPr="00C63860">
        <w:t xml:space="preserve"> that, in turn,</w:t>
      </w:r>
      <w:r w:rsidRPr="00C63860">
        <w:rPr>
          <w:rFonts w:cstheme="minorHAnsi"/>
        </w:rPr>
        <w:t xml:space="preserve"> followed from pharmaco-epidemiological research that used clinician preference as an instrument for treatment receipt.</w:t>
      </w:r>
      <w:r w:rsidR="004459D0" w:rsidRPr="00C63860">
        <w:rPr>
          <w:rFonts w:cstheme="minorHAnsi"/>
          <w:noProof/>
          <w:vertAlign w:val="superscript"/>
        </w:rPr>
        <w:t>19</w:t>
      </w:r>
      <w:r w:rsidR="002078EB" w:rsidRPr="00C63860">
        <w:rPr>
          <w:rFonts w:cstheme="minorHAnsi"/>
          <w:b/>
        </w:rPr>
        <w:t xml:space="preserve"> </w:t>
      </w:r>
      <w:r w:rsidRPr="00C63860">
        <w:t>In the ESORT study,</w:t>
      </w:r>
      <w:r w:rsidR="00C63860" w:rsidRPr="00C63860">
        <w:t xml:space="preserve"> </w:t>
      </w:r>
      <w:r w:rsidRPr="00C63860">
        <w:t xml:space="preserve">the </w:t>
      </w:r>
      <w:r w:rsidR="00114784" w:rsidRPr="00C63860">
        <w:t>IV</w:t>
      </w:r>
      <w:r w:rsidRPr="00C63860">
        <w:t xml:space="preserve"> was the hospital</w:t>
      </w:r>
      <w:r w:rsidR="00C63860" w:rsidRPr="00C63860">
        <w:rPr>
          <w:color w:val="00B0F0"/>
        </w:rPr>
        <w:t>’</w:t>
      </w:r>
      <w:r w:rsidRPr="00C63860">
        <w:t xml:space="preserve">s TTO, which reflects </w:t>
      </w:r>
      <w:r w:rsidRPr="00C63860">
        <w:rPr>
          <w:highlight w:val="magenta"/>
        </w:rPr>
        <w:t>practice</w:t>
      </w:r>
      <w:r w:rsidRPr="00C63860">
        <w:t xml:space="preserve"> variation across hospitals in ES rates for these five conditions. For each eligible emergency admission, the TTO was defined as the proportion of eligible emergency admissions in the previous year at that specific hospital who received ES. Thus, a hospital</w:t>
      </w:r>
      <w:r w:rsidR="00C63860" w:rsidRPr="00C63860">
        <w:rPr>
          <w:color w:val="00B0F0"/>
        </w:rPr>
        <w:t>’</w:t>
      </w:r>
      <w:r w:rsidRPr="00C63860">
        <w:t>s past preference for ES is regarded as strongly predictive of the treatment choice for the current patient.</w:t>
      </w:r>
    </w:p>
    <w:p w14:paraId="7EA7376B" w14:textId="05B4CB85" w:rsidR="008C09D9" w:rsidRPr="00C63860" w:rsidRDefault="008C09D9" w:rsidP="00F23137">
      <w:pPr>
        <w:spacing w:before="240" w:line="276" w:lineRule="auto"/>
      </w:pPr>
      <w:r w:rsidRPr="00C63860">
        <w:t xml:space="preserve">The rationale for the </w:t>
      </w:r>
      <w:r w:rsidR="00AD7676" w:rsidRPr="00C63860">
        <w:t>IV</w:t>
      </w:r>
      <w:r w:rsidRPr="00C63860">
        <w:t xml:space="preserve"> design is that, after adjustment for observed characteristics such as age and comorbidity, patients</w:t>
      </w:r>
      <w:r w:rsidR="00C63860" w:rsidRPr="00C63860">
        <w:rPr>
          <w:color w:val="00B0F0"/>
        </w:rPr>
        <w:t>’</w:t>
      </w:r>
      <w:r w:rsidRPr="00C63860">
        <w:t xml:space="preserve"> baseline prognosis is similar across hospitals with different levels of TTO. Hence, the patients can be </w:t>
      </w:r>
      <w:r w:rsidR="00C63860" w:rsidRPr="00C63860">
        <w:rPr>
          <w:color w:val="00B0F0"/>
        </w:rPr>
        <w:t>‘</w:t>
      </w:r>
      <w:r w:rsidR="006F6056" w:rsidRPr="00C63860">
        <w:t>randomised</w:t>
      </w:r>
      <w:r w:rsidR="00C63860" w:rsidRPr="00C63860">
        <w:rPr>
          <w:color w:val="00B0F0"/>
        </w:rPr>
        <w:t>’</w:t>
      </w:r>
      <w:r w:rsidRPr="00C63860">
        <w:t xml:space="preserve"> between the ES and NES strategies according to the hospital</w:t>
      </w:r>
      <w:r w:rsidR="00C63860" w:rsidRPr="00C63860">
        <w:rPr>
          <w:color w:val="00B0F0"/>
        </w:rPr>
        <w:t>’</w:t>
      </w:r>
      <w:r w:rsidRPr="00C63860">
        <w:t>s TTO. A valid instrument must meet two conditions.</w:t>
      </w:r>
      <w:r w:rsidR="004459D0" w:rsidRPr="00C63860">
        <w:rPr>
          <w:noProof/>
          <w:vertAlign w:val="superscript"/>
        </w:rPr>
        <w:t>18</w:t>
      </w:r>
      <w:r w:rsidRPr="00C63860">
        <w:t xml:space="preserve"> First, the instrument must be associated with the treatment received, with guidance on IV methods requiring that the accompanying F statistic exceeds a value of 10.</w:t>
      </w:r>
      <w:r w:rsidR="004459D0" w:rsidRPr="00C63860">
        <w:rPr>
          <w:noProof/>
          <w:vertAlign w:val="superscript"/>
        </w:rPr>
        <w:t>53</w:t>
      </w:r>
      <w:r w:rsidRPr="00C63860">
        <w:t xml:space="preserve"> </w:t>
      </w:r>
      <w:bookmarkStart w:id="47" w:name="_Hlk81582443"/>
      <w:r w:rsidRPr="00C63860">
        <w:t>Second, the instrument should have no relation with the outcome, except through the treatment. There is no empirical approach to assess whether an instrument is directly associated with an outcome, but examining the extent to which observed characteristics are balanced across different levels of the instrument increases confidence that unobserved confounders are also balanced.</w:t>
      </w:r>
      <w:r w:rsidR="004459D0" w:rsidRPr="00C63860">
        <w:rPr>
          <w:noProof/>
          <w:vertAlign w:val="superscript"/>
        </w:rPr>
        <w:t>54</w:t>
      </w:r>
      <w:r w:rsidRPr="00C63860">
        <w:t xml:space="preserve"> Further information on IV methods and the TTO are included in </w:t>
      </w:r>
      <w:r w:rsidRPr="00C63860">
        <w:rPr>
          <w:i/>
        </w:rPr>
        <w:t>Appendix 2</w:t>
      </w:r>
      <w:r w:rsidRPr="00C63860">
        <w:t>.</w:t>
      </w:r>
    </w:p>
    <w:p w14:paraId="69218F1D" w14:textId="77777777" w:rsidR="00C63860" w:rsidRPr="00C63860" w:rsidRDefault="008C09D9" w:rsidP="00F23137">
      <w:pPr>
        <w:spacing w:before="240" w:line="276" w:lineRule="auto"/>
        <w:rPr>
          <w:b/>
          <w:bCs/>
        </w:rPr>
      </w:pPr>
      <w:r w:rsidRPr="00C63860">
        <w:rPr>
          <w:b/>
          <w:bCs/>
        </w:rPr>
        <w:t>3.2 3 Patient-level covariates</w:t>
      </w:r>
    </w:p>
    <w:p w14:paraId="500C9D6D" w14:textId="16E78667" w:rsidR="008C09D9" w:rsidRPr="00C63860" w:rsidRDefault="008C09D9" w:rsidP="00F23137">
      <w:pPr>
        <w:spacing w:before="240" w:line="276" w:lineRule="auto"/>
      </w:pPr>
      <w:r w:rsidRPr="00C63860">
        <w:t xml:space="preserve">The following baseline patient characteristics were extracted from HES </w:t>
      </w:r>
      <w:r w:rsidRPr="00C63860">
        <w:rPr>
          <w:highlight w:val="magenta"/>
        </w:rPr>
        <w:t>data</w:t>
      </w:r>
      <w:r w:rsidRPr="00C63860">
        <w:t xml:space="preserve"> and were considered to potentially influence the decision as to whether the patient had ES or NES: age category, sex, ethnicity, IMD, diagnostic subcategories from IC</w:t>
      </w:r>
      <w:r w:rsidR="00C63860" w:rsidRPr="00C63860">
        <w:rPr>
          <w:color w:val="00B0F0"/>
        </w:rPr>
        <w:t>D-1</w:t>
      </w:r>
      <w:r w:rsidRPr="00C63860">
        <w:t>0 codes, Charlson comorbidity index</w:t>
      </w:r>
      <w:r w:rsidR="003D36F0" w:rsidRPr="00C63860">
        <w:rPr>
          <w:noProof/>
          <w:vertAlign w:val="superscript"/>
        </w:rPr>
        <w:t>34</w:t>
      </w:r>
      <w:r w:rsidRPr="00C63860">
        <w:t xml:space="preserve"> and frailty measured using the SCARF index.</w:t>
      </w:r>
      <w:r w:rsidR="003D36F0" w:rsidRPr="00C63860">
        <w:rPr>
          <w:noProof/>
          <w:vertAlign w:val="superscript"/>
        </w:rPr>
        <w:t>35</w:t>
      </w:r>
      <w:r w:rsidRPr="00C63860">
        <w:t xml:space="preserve"> The SCARF index is based on the accumulation of deficits across a number of domains. It uses ICD 10 codes to define 32 deficits that cover functional impairment, geriatric syndromes, problems with nutrition, cognition and mood, and medical comorbidities, with severe frailty defined as the presence of six or more deficits. Procedures during the ES window for each condition and up to 30 days were identified from OPCS procedure codes in HES and categorised as panel-defined ES procedures, other operative procedures, abdominal interventional radiology procedures and imaging</w:t>
      </w:r>
      <w:r w:rsidR="00D91719" w:rsidRPr="00C63860">
        <w:t xml:space="preserve"> procedures</w:t>
      </w:r>
      <w:r w:rsidRPr="00C63860">
        <w:t>.</w:t>
      </w:r>
    </w:p>
    <w:bookmarkEnd w:id="47"/>
    <w:p w14:paraId="15DE19BC" w14:textId="77777777" w:rsidR="008C09D9" w:rsidRPr="00C63860" w:rsidRDefault="008C09D9" w:rsidP="00F23137">
      <w:pPr>
        <w:spacing w:before="240" w:line="276" w:lineRule="auto"/>
        <w:rPr>
          <w:b/>
          <w:bCs/>
        </w:rPr>
      </w:pPr>
      <w:r w:rsidRPr="00C63860">
        <w:rPr>
          <w:b/>
          <w:bCs/>
        </w:rPr>
        <w:t>3.2.4 Statistical analysis</w:t>
      </w:r>
    </w:p>
    <w:p w14:paraId="15072500" w14:textId="022F3D21" w:rsidR="00C63860" w:rsidRPr="00C63860" w:rsidRDefault="008C09D9" w:rsidP="00F23137">
      <w:pPr>
        <w:spacing w:before="240" w:line="276" w:lineRule="auto"/>
        <w:rPr>
          <w:rFonts w:cstheme="minorHAnsi"/>
        </w:rPr>
      </w:pPr>
      <w:r w:rsidRPr="00C63860">
        <w:rPr>
          <w:bCs/>
        </w:rPr>
        <w:t>The study reported absolute risk differences (binary measures), and difference in means (continuous measures). The</w:t>
      </w:r>
      <w:r w:rsidRPr="00C63860">
        <w:rPr>
          <w:rFonts w:cstheme="minorHAnsi"/>
        </w:rPr>
        <w:t xml:space="preserve"> </w:t>
      </w:r>
      <w:r w:rsidR="00AD7676" w:rsidRPr="00C63860">
        <w:rPr>
          <w:rFonts w:cstheme="minorHAnsi"/>
        </w:rPr>
        <w:t>IV</w:t>
      </w:r>
      <w:r w:rsidRPr="00C63860">
        <w:rPr>
          <w:rFonts w:cstheme="minorHAnsi"/>
        </w:rPr>
        <w:t xml:space="preserve"> analysis estimated the relative effectiveness of ES versus NES for each individual, and fully accounted for heterogeneity of effects as well as confounding (see </w:t>
      </w:r>
      <w:r w:rsidR="003D36F0" w:rsidRPr="00C63860">
        <w:rPr>
          <w:rFonts w:cstheme="minorHAnsi"/>
        </w:rPr>
        <w:t>Appendix 2</w:t>
      </w:r>
      <w:r w:rsidRPr="00C63860">
        <w:rPr>
          <w:rFonts w:cstheme="minorHAnsi"/>
        </w:rPr>
        <w:t>).</w:t>
      </w:r>
      <w:r w:rsidR="003D36F0" w:rsidRPr="00C63860">
        <w:rPr>
          <w:rFonts w:cstheme="minorHAnsi"/>
          <w:noProof/>
          <w:vertAlign w:val="superscript"/>
        </w:rPr>
        <w:t>55</w:t>
      </w:r>
      <w:r w:rsidR="00C63860" w:rsidRPr="00C63860">
        <w:rPr>
          <w:rFonts w:cstheme="minorHAnsi"/>
          <w:noProof/>
          <w:color w:val="00B0F0"/>
          <w:vertAlign w:val="superscript"/>
        </w:rPr>
        <w:t>–5</w:t>
      </w:r>
      <w:r w:rsidR="003D36F0" w:rsidRPr="00C63860">
        <w:rPr>
          <w:rFonts w:cstheme="minorHAnsi"/>
          <w:noProof/>
          <w:vertAlign w:val="superscript"/>
        </w:rPr>
        <w:t>8</w:t>
      </w:r>
      <w:r w:rsidRPr="00C63860">
        <w:rPr>
          <w:rFonts w:eastAsia="Helvetica" w:cstheme="minorHAnsi"/>
          <w:lang w:bidi="en-GB"/>
          <w14:ligatures w14:val="standardContextual"/>
        </w:rPr>
        <w:t xml:space="preserve"> These person-level treatment effects were aggregated to report the effects of ES overall, and for each pre-specified subgroup of interest: </w:t>
      </w:r>
      <w:r w:rsidRPr="00C63860">
        <w:t>age category, sex, diagnostic subcategories, Charlson comorbidity index,</w:t>
      </w:r>
      <w:r w:rsidRPr="00C63860">
        <w:rPr>
          <w:vertAlign w:val="superscript"/>
        </w:rPr>
        <w:t xml:space="preserve"> </w:t>
      </w:r>
      <w:r w:rsidRPr="00C63860">
        <w:t>SCARF index, and year of admission</w:t>
      </w:r>
      <w:r w:rsidRPr="00C63860">
        <w:rPr>
          <w:rFonts w:cstheme="minorHAnsi"/>
        </w:rPr>
        <w:t>.</w:t>
      </w:r>
    </w:p>
    <w:p w14:paraId="37F2CEB2" w14:textId="54C7C343" w:rsidR="00C63860" w:rsidRPr="00C63860" w:rsidRDefault="008C09D9" w:rsidP="00F23137">
      <w:pPr>
        <w:spacing w:before="240" w:line="276" w:lineRule="auto"/>
        <w:rPr>
          <w:rFonts w:cstheme="minorHAnsi"/>
        </w:rPr>
      </w:pPr>
      <w:r w:rsidRPr="00C63860">
        <w:rPr>
          <w:rFonts w:cstheme="minorHAnsi"/>
        </w:rPr>
        <w:t xml:space="preserve">Probit regression models were used to estimate the initial propensity score (first stage), and the outcomes models used Generalised Linear Models </w:t>
      </w:r>
      <w:r w:rsidR="009C5AFE" w:rsidRPr="00C63860">
        <w:rPr>
          <w:rFonts w:cstheme="minorHAnsi"/>
        </w:rPr>
        <w:t xml:space="preserve">(GLMs) </w:t>
      </w:r>
      <w:r w:rsidRPr="00C63860">
        <w:rPr>
          <w:rFonts w:cstheme="minorHAnsi"/>
        </w:rPr>
        <w:t>and accommodated whether each endpoint was continuous or binary (second stage). Models at both stages adjusted for the measures described above, together with the time period, and proxies for hospital quality. These proxies for hospital quality were defined by the rates of emergency admission and mortality for each hospital and acute condition in 2009</w:t>
      </w:r>
      <w:r w:rsidR="00C63860" w:rsidRPr="00C63860">
        <w:rPr>
          <w:rFonts w:cstheme="minorHAnsi"/>
          <w:color w:val="00B0F0"/>
        </w:rPr>
        <w:t>–1</w:t>
      </w:r>
      <w:r w:rsidRPr="00C63860">
        <w:rPr>
          <w:rFonts w:cstheme="minorHAnsi"/>
        </w:rPr>
        <w:t>0 (time constant), and in the year prior to the specific admission concerned (time-varying). The estimates were reported with confidence intervals (CI) using bootstrapped (300 replications) standard errors that allowed for the clustering of individuals within hospitals</w:t>
      </w:r>
      <w:r w:rsidRPr="00C63860">
        <w:rPr>
          <w:rFonts w:cstheme="minorHAnsi"/>
          <w:highlight w:val="magenta"/>
        </w:rPr>
        <w:t>. Further</w:t>
      </w:r>
      <w:r w:rsidRPr="00C63860">
        <w:rPr>
          <w:rFonts w:cstheme="minorHAnsi"/>
        </w:rPr>
        <w:t xml:space="preserve"> details of the statistical analysis methods are included in </w:t>
      </w:r>
      <w:r w:rsidRPr="00C63860">
        <w:rPr>
          <w:rFonts w:cstheme="minorHAnsi"/>
          <w:i/>
        </w:rPr>
        <w:t>Appendix 2</w:t>
      </w:r>
      <w:r w:rsidRPr="00C63860">
        <w:rPr>
          <w:rFonts w:cstheme="minorHAnsi"/>
        </w:rPr>
        <w:t>.</w:t>
      </w:r>
    </w:p>
    <w:p w14:paraId="380E130E" w14:textId="77777777" w:rsidR="00C63860" w:rsidRPr="00C63860" w:rsidRDefault="008C09D9" w:rsidP="00F23137">
      <w:pPr>
        <w:autoSpaceDE w:val="0"/>
        <w:autoSpaceDN w:val="0"/>
        <w:adjustRightInd w:val="0"/>
        <w:spacing w:before="240" w:after="100" w:afterAutospacing="1" w:line="276" w:lineRule="auto"/>
        <w:rPr>
          <w:rFonts w:cstheme="minorHAnsi"/>
          <w:b/>
        </w:rPr>
      </w:pPr>
      <w:r w:rsidRPr="00C63860">
        <w:rPr>
          <w:rFonts w:cstheme="minorHAnsi"/>
          <w:b/>
        </w:rPr>
        <w:t>3.2.5 Sensitivity analyses</w:t>
      </w:r>
    </w:p>
    <w:p w14:paraId="106D5784" w14:textId="39CAD21C" w:rsidR="00C63860" w:rsidRPr="00C63860" w:rsidRDefault="008C09D9" w:rsidP="00F23137">
      <w:pPr>
        <w:autoSpaceDE w:val="0"/>
        <w:autoSpaceDN w:val="0"/>
        <w:adjustRightInd w:val="0"/>
        <w:spacing w:before="240" w:after="100" w:afterAutospacing="1" w:line="276" w:lineRule="auto"/>
        <w:rPr>
          <w:rFonts w:cstheme="minorHAnsi"/>
        </w:rPr>
      </w:pPr>
      <w:r w:rsidRPr="00C63860">
        <w:rPr>
          <w:rFonts w:cstheme="minorHAnsi"/>
        </w:rPr>
        <w:t xml:space="preserve">Six different sensitivity analyses were undertaken to assess whether the results from the main analysis were robust to alternative definitions and assumptions. </w:t>
      </w:r>
      <w:r w:rsidRPr="00C63860">
        <w:t>First, stricter criteria for ES were applied by increasing the level of clinical panel support required for defining (i) a procedure as ES (rather than NES), and (ii) the maximum time window within which ES can occur, from at least 50% to at least 75%</w:t>
      </w:r>
      <w:r w:rsidR="00957008" w:rsidRPr="00C63860">
        <w:t xml:space="preserve"> support from the panel</w:t>
      </w:r>
      <w:r w:rsidRPr="00C63860">
        <w:t xml:space="preserve">. Second, the ES time windows were reduced by taking the threshold as the upper quartile value of the distribution of the </w:t>
      </w:r>
      <w:r w:rsidR="006F6056" w:rsidRPr="00C63860">
        <w:rPr>
          <w:color w:val="00B0F0"/>
          <w:highlight w:val="green"/>
        </w:rPr>
        <w:t>‘</w:t>
      </w:r>
      <w:r w:rsidR="006F6056" w:rsidRPr="00C63860">
        <w:rPr>
          <w:highlight w:val="green"/>
        </w:rPr>
        <w:t>time to ES</w:t>
      </w:r>
      <w:r w:rsidR="006F6056" w:rsidRPr="00C63860">
        <w:rPr>
          <w:color w:val="00B0F0"/>
          <w:highlight w:val="green"/>
        </w:rPr>
        <w:t>’</w:t>
      </w:r>
      <w:r w:rsidRPr="00C63860">
        <w:t xml:space="preserve"> from the </w:t>
      </w:r>
      <w:r w:rsidR="00957008" w:rsidRPr="00C63860">
        <w:t>main (base case) analysis</w:t>
      </w:r>
      <w:r w:rsidRPr="00C63860">
        <w:t>.</w:t>
      </w:r>
      <w:r w:rsidRPr="00C63860">
        <w:rPr>
          <w:rFonts w:cstheme="minorHAnsi"/>
        </w:rPr>
        <w:t xml:space="preserve"> Third, the study adjusted for </w:t>
      </w:r>
      <w:r w:rsidR="006F6056" w:rsidRPr="00C63860">
        <w:rPr>
          <w:rFonts w:cstheme="minorHAnsi"/>
          <w:color w:val="00B0F0"/>
          <w:highlight w:val="green"/>
        </w:rPr>
        <w:t>‘</w:t>
      </w:r>
      <w:r w:rsidR="006F6056" w:rsidRPr="00C63860">
        <w:rPr>
          <w:rFonts w:cstheme="minorHAnsi"/>
          <w:highlight w:val="green"/>
        </w:rPr>
        <w:t>quality of care</w:t>
      </w:r>
      <w:r w:rsidR="006F6056" w:rsidRPr="00C63860">
        <w:rPr>
          <w:rFonts w:cstheme="minorHAnsi"/>
          <w:color w:val="00B0F0"/>
          <w:highlight w:val="green"/>
        </w:rPr>
        <w:t>’</w:t>
      </w:r>
      <w:r w:rsidRPr="00C63860">
        <w:rPr>
          <w:rFonts w:cstheme="minorHAnsi"/>
        </w:rPr>
        <w:t xml:space="preserve"> using external hospital performance measures from the National Emergency Laparotomy Audit (NELA).</w:t>
      </w:r>
      <w:r w:rsidR="003D36F0" w:rsidRPr="00C63860">
        <w:rPr>
          <w:rFonts w:cstheme="minorHAnsi"/>
          <w:noProof/>
          <w:vertAlign w:val="superscript"/>
        </w:rPr>
        <w:t>59</w:t>
      </w:r>
      <w:r w:rsidR="00C63860" w:rsidRPr="00C63860">
        <w:rPr>
          <w:rFonts w:cstheme="minorHAnsi"/>
          <w:noProof/>
          <w:color w:val="00B0F0"/>
          <w:vertAlign w:val="superscript"/>
        </w:rPr>
        <w:t>–6</w:t>
      </w:r>
      <w:r w:rsidR="003D36F0" w:rsidRPr="00C63860">
        <w:rPr>
          <w:rFonts w:cstheme="minorHAnsi"/>
          <w:noProof/>
          <w:vertAlign w:val="superscript"/>
        </w:rPr>
        <w:t>1</w:t>
      </w:r>
      <w:r w:rsidRPr="00C63860">
        <w:rPr>
          <w:rFonts w:cstheme="minorHAnsi"/>
        </w:rPr>
        <w:t xml:space="preserve"> </w:t>
      </w:r>
      <w:r w:rsidRPr="00C63860">
        <w:rPr>
          <w:rFonts w:cstheme="minorHAnsi"/>
          <w:highlight w:val="magenta"/>
        </w:rPr>
        <w:t>Fourth</w:t>
      </w:r>
      <w:r w:rsidRPr="00C63860">
        <w:rPr>
          <w:rFonts w:cstheme="minorHAnsi"/>
        </w:rPr>
        <w:t xml:space="preserve">, the study excluded observations from hospitals that provided a relatively low volume of ES procedures (at least one interquartile range below the median) for each condition. Fifth, the study considered a different measure of DAOH which </w:t>
      </w:r>
      <w:r w:rsidR="00C63860" w:rsidRPr="00C63860">
        <w:rPr>
          <w:rFonts w:cstheme="minorHAnsi"/>
          <w:color w:val="00B0F0"/>
        </w:rPr>
        <w:t>‘</w:t>
      </w:r>
      <w:r w:rsidR="006F6056" w:rsidRPr="00C63860">
        <w:rPr>
          <w:rFonts w:cstheme="minorHAnsi"/>
        </w:rPr>
        <w:t>counts</w:t>
      </w:r>
      <w:r w:rsidR="00C63860" w:rsidRPr="00C63860">
        <w:rPr>
          <w:rFonts w:cstheme="minorHAnsi"/>
          <w:color w:val="00B0F0"/>
        </w:rPr>
        <w:t>’</w:t>
      </w:r>
      <w:r w:rsidRPr="00C63860">
        <w:rPr>
          <w:rFonts w:cstheme="minorHAnsi"/>
        </w:rPr>
        <w:t xml:space="preserve"> days out of hospital, for those patients who die before 90 days.</w:t>
      </w:r>
      <w:r w:rsidR="005E4F42" w:rsidRPr="00C63860">
        <w:rPr>
          <w:rFonts w:cstheme="minorHAnsi"/>
          <w:noProof/>
          <w:vertAlign w:val="superscript"/>
        </w:rPr>
        <w:t>62</w:t>
      </w:r>
      <w:r w:rsidRPr="00C63860">
        <w:rPr>
          <w:rFonts w:cstheme="minorHAnsi"/>
        </w:rPr>
        <w:t xml:space="preserve"> Sixth, the estimates from the </w:t>
      </w:r>
      <w:r w:rsidR="00AD7676" w:rsidRPr="00C63860">
        <w:rPr>
          <w:rFonts w:cstheme="minorHAnsi"/>
        </w:rPr>
        <w:t>IV</w:t>
      </w:r>
      <w:r w:rsidRPr="00C63860">
        <w:rPr>
          <w:rFonts w:cstheme="minorHAnsi"/>
        </w:rPr>
        <w:t xml:space="preserve"> approach were contrasted with those from a regression approach that used logistic regression (binary outcomes), and ordinary least-squares regression (continuous outcomes). The final regression approach was adjusted for observed baseline patient characteristics but assumes no unobserved confounding after adjustment</w:t>
      </w:r>
      <w:r w:rsidRPr="00C63860">
        <w:rPr>
          <w:rFonts w:cstheme="minorHAnsi"/>
          <w:highlight w:val="magenta"/>
        </w:rPr>
        <w:t>. Further</w:t>
      </w:r>
      <w:r w:rsidRPr="00C63860">
        <w:rPr>
          <w:rFonts w:cstheme="minorHAnsi"/>
        </w:rPr>
        <w:t xml:space="preserve"> details of the analysis methods and sensitivity analyses are in</w:t>
      </w:r>
      <w:r w:rsidRPr="00C63860">
        <w:rPr>
          <w:rFonts w:cstheme="minorHAnsi"/>
          <w:i/>
        </w:rPr>
        <w:t xml:space="preserve"> Appendix 2</w:t>
      </w:r>
      <w:r w:rsidRPr="00C63860">
        <w:rPr>
          <w:rFonts w:cstheme="minorHAnsi"/>
        </w:rPr>
        <w:t>.</w:t>
      </w:r>
    </w:p>
    <w:p w14:paraId="3C713152" w14:textId="15203A68" w:rsidR="00C63860" w:rsidRPr="00C63860" w:rsidRDefault="008C09D9" w:rsidP="00F23137">
      <w:pPr>
        <w:spacing w:before="240" w:line="276" w:lineRule="auto"/>
        <w:rPr>
          <w:b/>
          <w:bCs/>
          <w:sz w:val="28"/>
          <w:szCs w:val="28"/>
        </w:rPr>
      </w:pPr>
      <w:r w:rsidRPr="00C63860">
        <w:rPr>
          <w:b/>
          <w:bCs/>
          <w:sz w:val="28"/>
          <w:szCs w:val="28"/>
        </w:rPr>
        <w:t>3.3 Results</w:t>
      </w:r>
    </w:p>
    <w:p w14:paraId="4F0D9876" w14:textId="384B510D" w:rsidR="008C09D9" w:rsidRPr="00C63860" w:rsidRDefault="008C09D9" w:rsidP="00F23137">
      <w:pPr>
        <w:spacing w:before="240" w:line="276" w:lineRule="auto"/>
        <w:rPr>
          <w:b/>
          <w:bCs/>
          <w:sz w:val="24"/>
          <w:szCs w:val="24"/>
        </w:rPr>
      </w:pPr>
      <w:r w:rsidRPr="00C63860">
        <w:rPr>
          <w:b/>
          <w:bCs/>
          <w:sz w:val="24"/>
          <w:szCs w:val="24"/>
        </w:rPr>
        <w:t>3.3.1 Patient characteristics and clinical management</w:t>
      </w:r>
    </w:p>
    <w:p w14:paraId="42688EF7" w14:textId="43A19B67" w:rsidR="00C63860" w:rsidRPr="00C63860" w:rsidRDefault="008C09D9" w:rsidP="00F23137">
      <w:pPr>
        <w:spacing w:before="240" w:line="276" w:lineRule="auto"/>
      </w:pPr>
      <w:r w:rsidRPr="00C63860">
        <w:t>The number of emergency admissions who met the inclusion criteria were</w:t>
      </w:r>
      <w:r w:rsidRPr="00C63860">
        <w:rPr>
          <w:b/>
          <w:bCs/>
        </w:rPr>
        <w:t xml:space="preserve"> </w:t>
      </w:r>
      <w:r w:rsidRPr="00C63860">
        <w:t>268,144 for appendicitis, 240,977 for cholelithiasis, 138,869 for diverticular disease, 106,432 for hernia, and 133,073 for intestinal obstruction (</w:t>
      </w:r>
      <w:r w:rsidR="0052773B" w:rsidRPr="00C63860">
        <w:rPr>
          <w:i/>
        </w:rPr>
        <w:t>Chapter 2,</w:t>
      </w:r>
      <w:r w:rsidR="0052773B" w:rsidRPr="00C63860">
        <w:t xml:space="preserve"> </w:t>
      </w:r>
      <w:r w:rsidR="00C63860" w:rsidRPr="00C63860">
        <w:rPr>
          <w:i/>
          <w:color w:val="FF0000"/>
        </w:rPr>
        <w:t>Table 5</w:t>
      </w:r>
      <w:r w:rsidRPr="00C63860">
        <w:t>). The percentage of patients who had ES were 92.3% for acute appendicitis, 21.6% for cholelithiasis, 11.4% for diverticular disease, 58.8% for abdominal wall hernia and 30.5% for intestinal obstruction.</w:t>
      </w:r>
      <w:r w:rsidR="0052773B" w:rsidRPr="00C63860">
        <w:t xml:space="preserve"> The case-mix of patients differed between those who had ES versus the NES strategies, according for example to mean age, and the proportions who had comorbidities, or levels of moderate or severe frailty (</w:t>
      </w:r>
      <w:r w:rsidR="0052773B" w:rsidRPr="00C63860">
        <w:rPr>
          <w:i/>
        </w:rPr>
        <w:t xml:space="preserve">Chapter 2, </w:t>
      </w:r>
      <w:r w:rsidR="00C63860" w:rsidRPr="00C63860">
        <w:rPr>
          <w:i/>
          <w:color w:val="FF0000"/>
        </w:rPr>
        <w:t>Table 5</w:t>
      </w:r>
      <w:r w:rsidR="0052773B" w:rsidRPr="00C63860">
        <w:t>).</w:t>
      </w:r>
    </w:p>
    <w:p w14:paraId="27D0B2AC" w14:textId="74D20A67" w:rsidR="00C63860" w:rsidRPr="00C63860" w:rsidRDefault="008C09D9" w:rsidP="00F23137">
      <w:pPr>
        <w:spacing w:before="240" w:line="276" w:lineRule="auto"/>
      </w:pPr>
      <w:r w:rsidRPr="00C63860">
        <w:t>All patients in the ES groups had a panel-defined ES procedure within the relevant ES time window (</w:t>
      </w:r>
      <w:r w:rsidR="00C63860" w:rsidRPr="00C63860">
        <w:rPr>
          <w:i/>
          <w:color w:val="FF0000"/>
        </w:rPr>
        <w:t>Table 7</w:t>
      </w:r>
      <w:r w:rsidRPr="00C63860">
        <w:t xml:space="preserve">). The percentage of patients in the NES groups who had an ES procedure after the time </w:t>
      </w:r>
      <w:r w:rsidR="009C5AFE" w:rsidRPr="00C63860">
        <w:t xml:space="preserve">window, </w:t>
      </w:r>
      <w:r w:rsidRPr="00C63860">
        <w:t>but before 30 days</w:t>
      </w:r>
      <w:r w:rsidR="009C5AFE" w:rsidRPr="00C63860">
        <w:t>,</w:t>
      </w:r>
      <w:r w:rsidRPr="00C63860">
        <w:t xml:space="preserve"> ranged from 0.6% with diverticular disease to 16.5% with hernia. The percentages of patients who had abdominal interventional radiology procedures was low and similar across ES and NES groups. For patients with acute appendicitis, the percentage of patients who had imaging or diagnostic procedures was higher for the NES versus ES strategy group.</w:t>
      </w:r>
    </w:p>
    <w:p w14:paraId="5D4523F5" w14:textId="4041651C" w:rsidR="008C09D9" w:rsidRPr="00C63860" w:rsidRDefault="008C09D9" w:rsidP="00F23137">
      <w:pPr>
        <w:spacing w:before="240" w:line="276" w:lineRule="auto"/>
        <w:rPr>
          <w:b/>
          <w:bCs/>
        </w:rPr>
      </w:pPr>
      <w:r w:rsidRPr="00C63860">
        <w:rPr>
          <w:b/>
          <w:bCs/>
        </w:rPr>
        <w:t>3.3.2 Validity of the instrumental variable</w:t>
      </w:r>
    </w:p>
    <w:p w14:paraId="4E8E3F29" w14:textId="7B895012" w:rsidR="00C63860" w:rsidRPr="00C63860" w:rsidRDefault="008C09D9" w:rsidP="00F23137">
      <w:pPr>
        <w:spacing w:before="240" w:line="276" w:lineRule="auto"/>
      </w:pPr>
      <w:r w:rsidRPr="00C63860">
        <w:t xml:space="preserve">The </w:t>
      </w:r>
      <w:r w:rsidR="00AD7676" w:rsidRPr="00C63860">
        <w:t>IV</w:t>
      </w:r>
      <w:r w:rsidRPr="00C63860">
        <w:t xml:space="preserve"> was judged to meet each of the requisite criteria for validity. First, the hospital</w:t>
      </w:r>
      <w:r w:rsidR="00C63860" w:rsidRPr="00C63860">
        <w:rPr>
          <w:color w:val="00B0F0"/>
        </w:rPr>
        <w:t>’</w:t>
      </w:r>
      <w:r w:rsidRPr="00C63860">
        <w:t>s TTO was strongly correlated with ES receipt, with F-statistics that ranged from 450 (diverticular disease) to 24,517 (cholelithiasis), versus the requirement that they exceed</w:t>
      </w:r>
      <w:r w:rsidR="009C5AFE" w:rsidRPr="00C63860">
        <w:t>ed</w:t>
      </w:r>
      <w:r w:rsidRPr="00C63860">
        <w:t xml:space="preserve"> 10.</w:t>
      </w:r>
      <w:r w:rsidRPr="00C63860">
        <w:rPr>
          <w:bCs/>
        </w:rPr>
        <w:t xml:space="preserve"> Second, the hospital</w:t>
      </w:r>
      <w:r w:rsidR="00C63860" w:rsidRPr="00C63860">
        <w:rPr>
          <w:bCs/>
          <w:color w:val="00B0F0"/>
        </w:rPr>
        <w:t>’</w:t>
      </w:r>
      <w:r w:rsidRPr="00C63860">
        <w:rPr>
          <w:bCs/>
        </w:rPr>
        <w:t xml:space="preserve">s TTO was successful in balancing each of the observed baseline covariates </w:t>
      </w:r>
      <w:r w:rsidRPr="00C63860">
        <w:t xml:space="preserve">(see </w:t>
      </w:r>
      <w:r w:rsidR="007D5E77" w:rsidRPr="00C63860">
        <w:t xml:space="preserve">Appendix 2, </w:t>
      </w:r>
      <w:r w:rsidR="00C63860" w:rsidRPr="00C63860">
        <w:rPr>
          <w:i/>
          <w:color w:val="FF0000"/>
        </w:rPr>
        <w:t>Figure 29</w:t>
      </w:r>
      <w:r w:rsidRPr="00C63860">
        <w:t>).</w:t>
      </w:r>
    </w:p>
    <w:p w14:paraId="1D94B88B" w14:textId="73D0091B" w:rsidR="008C09D9" w:rsidRPr="00C63860" w:rsidRDefault="00C63860" w:rsidP="00FA7C93">
      <w:pPr>
        <w:pStyle w:val="Caption"/>
        <w:rPr>
          <w:b/>
          <w:bCs/>
          <w:color w:val="auto"/>
          <w:sz w:val="22"/>
          <w:szCs w:val="22"/>
        </w:rPr>
      </w:pPr>
      <w:bookmarkStart w:id="48" w:name="_Toc86670779"/>
      <w:bookmarkStart w:id="49" w:name="_Hlk85897690"/>
      <w:bookmarkStart w:id="50" w:name="_Hlk85897728"/>
      <w:r w:rsidRPr="00C63860">
        <w:rPr>
          <w:b/>
          <w:bCs/>
          <w:color w:val="FF0000"/>
          <w:sz w:val="22"/>
          <w:szCs w:val="22"/>
        </w:rPr>
        <w:t xml:space="preserve">Table </w:t>
      </w:r>
      <w:r w:rsidRPr="00C63860">
        <w:rPr>
          <w:b/>
          <w:bCs/>
          <w:noProof/>
          <w:color w:val="FF0000"/>
          <w:sz w:val="22"/>
          <w:szCs w:val="22"/>
        </w:rPr>
        <w:t>7</w:t>
      </w:r>
      <w:r w:rsidR="00FA7C93" w:rsidRPr="00C63860">
        <w:rPr>
          <w:b/>
          <w:bCs/>
          <w:color w:val="auto"/>
          <w:sz w:val="22"/>
          <w:szCs w:val="22"/>
        </w:rPr>
        <w:t>: Clinical management for the emergency surgery (ES) and non-emergency surgery (NES) groups in and after (up to 30 days) the time window for ES</w:t>
      </w:r>
      <w:bookmarkEnd w:id="48"/>
    </w:p>
    <w:tbl>
      <w:tblPr>
        <w:tblStyle w:val="TableGrid2"/>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57" w:type="dxa"/>
          <w:bottom w:w="40" w:type="dxa"/>
          <w:right w:w="57" w:type="dxa"/>
        </w:tblCellMar>
        <w:tblLook w:val="04A0" w:firstRow="1" w:lastRow="0" w:firstColumn="1" w:lastColumn="0" w:noHBand="0" w:noVBand="1"/>
      </w:tblPr>
      <w:tblGrid>
        <w:gridCol w:w="961"/>
        <w:gridCol w:w="446"/>
        <w:gridCol w:w="393"/>
        <w:gridCol w:w="375"/>
        <w:gridCol w:w="396"/>
        <w:gridCol w:w="426"/>
        <w:gridCol w:w="376"/>
        <w:gridCol w:w="409"/>
        <w:gridCol w:w="431"/>
        <w:gridCol w:w="426"/>
        <w:gridCol w:w="391"/>
        <w:gridCol w:w="409"/>
        <w:gridCol w:w="431"/>
        <w:gridCol w:w="426"/>
        <w:gridCol w:w="391"/>
        <w:gridCol w:w="375"/>
        <w:gridCol w:w="396"/>
        <w:gridCol w:w="426"/>
        <w:gridCol w:w="376"/>
        <w:gridCol w:w="375"/>
        <w:gridCol w:w="396"/>
      </w:tblGrid>
      <w:tr w:rsidR="00C475F9" w:rsidRPr="00C63860" w14:paraId="7561EB58" w14:textId="77777777" w:rsidTr="00C63860">
        <w:trPr>
          <w:cantSplit/>
        </w:trPr>
        <w:tc>
          <w:tcPr>
            <w:tcW w:w="0" w:type="auto"/>
            <w:shd w:val="clear" w:color="auto" w:fill="auto"/>
          </w:tcPr>
          <w:p w14:paraId="6D786DAE" w14:textId="77777777" w:rsidR="008C09D9" w:rsidRPr="00C63860" w:rsidRDefault="008C09D9" w:rsidP="008C09D9">
            <w:pPr>
              <w:jc w:val="center"/>
              <w:rPr>
                <w:b/>
              </w:rPr>
            </w:pPr>
            <w:bookmarkStart w:id="51" w:name="_Hlk75116134"/>
            <w:bookmarkEnd w:id="49"/>
          </w:p>
        </w:tc>
        <w:tc>
          <w:tcPr>
            <w:tcW w:w="0" w:type="auto"/>
            <w:gridSpan w:val="4"/>
            <w:shd w:val="clear" w:color="auto" w:fill="auto"/>
            <w:hideMark/>
          </w:tcPr>
          <w:p w14:paraId="4014AD76" w14:textId="77777777" w:rsidR="008C09D9" w:rsidRPr="00C63860" w:rsidRDefault="008C09D9" w:rsidP="008C09D9">
            <w:pPr>
              <w:jc w:val="center"/>
              <w:rPr>
                <w:b/>
              </w:rPr>
            </w:pPr>
            <w:r w:rsidRPr="00C63860">
              <w:rPr>
                <w:b/>
              </w:rPr>
              <w:t>Appendicitis</w:t>
            </w:r>
          </w:p>
        </w:tc>
        <w:tc>
          <w:tcPr>
            <w:tcW w:w="0" w:type="auto"/>
            <w:gridSpan w:val="4"/>
            <w:shd w:val="clear" w:color="auto" w:fill="auto"/>
            <w:hideMark/>
          </w:tcPr>
          <w:p w14:paraId="744F6E71" w14:textId="77777777" w:rsidR="008C09D9" w:rsidRPr="00C63860" w:rsidRDefault="008C09D9" w:rsidP="008C09D9">
            <w:pPr>
              <w:jc w:val="center"/>
              <w:rPr>
                <w:b/>
              </w:rPr>
            </w:pPr>
            <w:r w:rsidRPr="00C63860">
              <w:rPr>
                <w:b/>
              </w:rPr>
              <w:t xml:space="preserve">Cholelithiasis </w:t>
            </w:r>
          </w:p>
        </w:tc>
        <w:tc>
          <w:tcPr>
            <w:tcW w:w="0" w:type="auto"/>
            <w:gridSpan w:val="4"/>
            <w:shd w:val="clear" w:color="auto" w:fill="auto"/>
            <w:hideMark/>
          </w:tcPr>
          <w:p w14:paraId="264CD871" w14:textId="77777777" w:rsidR="008C09D9" w:rsidRPr="00C63860" w:rsidRDefault="008C09D9" w:rsidP="008C09D9">
            <w:pPr>
              <w:jc w:val="center"/>
              <w:rPr>
                <w:b/>
              </w:rPr>
            </w:pPr>
            <w:r w:rsidRPr="00C63860">
              <w:rPr>
                <w:b/>
              </w:rPr>
              <w:t>Diverticular disease</w:t>
            </w:r>
          </w:p>
        </w:tc>
        <w:tc>
          <w:tcPr>
            <w:tcW w:w="0" w:type="auto"/>
            <w:gridSpan w:val="4"/>
            <w:shd w:val="clear" w:color="auto" w:fill="auto"/>
            <w:hideMark/>
          </w:tcPr>
          <w:p w14:paraId="6D183666" w14:textId="77777777" w:rsidR="008C09D9" w:rsidRPr="00C63860" w:rsidRDefault="008C09D9" w:rsidP="008C09D9">
            <w:pPr>
              <w:jc w:val="center"/>
              <w:rPr>
                <w:b/>
              </w:rPr>
            </w:pPr>
            <w:r w:rsidRPr="00C63860">
              <w:rPr>
                <w:b/>
              </w:rPr>
              <w:t>Hernia</w:t>
            </w:r>
          </w:p>
        </w:tc>
        <w:tc>
          <w:tcPr>
            <w:tcW w:w="0" w:type="auto"/>
            <w:gridSpan w:val="4"/>
            <w:shd w:val="clear" w:color="auto" w:fill="auto"/>
            <w:hideMark/>
          </w:tcPr>
          <w:p w14:paraId="54EBCE9B" w14:textId="77777777" w:rsidR="008C09D9" w:rsidRPr="00C63860" w:rsidRDefault="008C09D9" w:rsidP="008C09D9">
            <w:pPr>
              <w:jc w:val="center"/>
              <w:rPr>
                <w:b/>
              </w:rPr>
            </w:pPr>
            <w:r w:rsidRPr="00C63860">
              <w:rPr>
                <w:b/>
              </w:rPr>
              <w:t>Intestinal obstruction</w:t>
            </w:r>
          </w:p>
        </w:tc>
      </w:tr>
      <w:tr w:rsidR="00C475F9" w:rsidRPr="00C63860" w14:paraId="15E6E55B" w14:textId="77777777" w:rsidTr="00C63860">
        <w:trPr>
          <w:cantSplit/>
        </w:trPr>
        <w:tc>
          <w:tcPr>
            <w:tcW w:w="0" w:type="auto"/>
            <w:shd w:val="clear" w:color="auto" w:fill="auto"/>
          </w:tcPr>
          <w:p w14:paraId="488E8368" w14:textId="77777777" w:rsidR="008C09D9" w:rsidRPr="00C63860" w:rsidRDefault="008C09D9" w:rsidP="008C09D9">
            <w:pPr>
              <w:rPr>
                <w:bCs/>
              </w:rPr>
            </w:pPr>
          </w:p>
        </w:tc>
        <w:tc>
          <w:tcPr>
            <w:tcW w:w="0" w:type="auto"/>
            <w:gridSpan w:val="2"/>
            <w:shd w:val="clear" w:color="auto" w:fill="auto"/>
            <w:hideMark/>
          </w:tcPr>
          <w:p w14:paraId="1E54111D" w14:textId="77777777" w:rsidR="008C09D9" w:rsidRPr="00C63860" w:rsidRDefault="008C09D9" w:rsidP="008C09D9">
            <w:pPr>
              <w:jc w:val="center"/>
              <w:rPr>
                <w:bCs/>
              </w:rPr>
            </w:pPr>
            <w:r w:rsidRPr="00C63860">
              <w:rPr>
                <w:bCs/>
              </w:rPr>
              <w:t>ES</w:t>
            </w:r>
          </w:p>
          <w:p w14:paraId="1A214155" w14:textId="77777777" w:rsidR="008C09D9" w:rsidRPr="00C63860" w:rsidRDefault="008C09D9" w:rsidP="008C09D9">
            <w:pPr>
              <w:jc w:val="center"/>
              <w:rPr>
                <w:bCs/>
              </w:rPr>
            </w:pPr>
            <w:r w:rsidRPr="00C63860">
              <w:rPr>
                <w:bCs/>
              </w:rPr>
              <w:t>(</w:t>
            </w:r>
            <w:r w:rsidRPr="00C63860">
              <w:rPr>
                <w:bCs/>
                <w:i/>
                <w:color w:val="00B0F0"/>
              </w:rPr>
              <w:t>n</w:t>
            </w:r>
            <w:r w:rsidRPr="00C63860">
              <w:rPr>
                <w:bCs/>
              </w:rPr>
              <w:t>=</w:t>
            </w:r>
            <w:r w:rsidRPr="00C63860">
              <w:t>247,506</w:t>
            </w:r>
            <w:r w:rsidRPr="00C63860">
              <w:rPr>
                <w:bCs/>
              </w:rPr>
              <w:t>)</w:t>
            </w:r>
          </w:p>
        </w:tc>
        <w:tc>
          <w:tcPr>
            <w:tcW w:w="0" w:type="auto"/>
            <w:gridSpan w:val="2"/>
            <w:shd w:val="clear" w:color="auto" w:fill="auto"/>
            <w:hideMark/>
          </w:tcPr>
          <w:p w14:paraId="08D40B69" w14:textId="77777777" w:rsidR="008C09D9" w:rsidRPr="00C63860" w:rsidRDefault="008C09D9" w:rsidP="008C09D9">
            <w:pPr>
              <w:jc w:val="center"/>
              <w:rPr>
                <w:bCs/>
              </w:rPr>
            </w:pPr>
            <w:r w:rsidRPr="00C63860">
              <w:rPr>
                <w:bCs/>
              </w:rPr>
              <w:t>NES</w:t>
            </w:r>
          </w:p>
          <w:p w14:paraId="49C67118" w14:textId="77777777" w:rsidR="008C09D9" w:rsidRPr="00C63860" w:rsidRDefault="008C09D9" w:rsidP="008C09D9">
            <w:pPr>
              <w:jc w:val="center"/>
              <w:rPr>
                <w:bCs/>
              </w:rPr>
            </w:pPr>
            <w:r w:rsidRPr="00C63860">
              <w:rPr>
                <w:bCs/>
              </w:rPr>
              <w:t>(</w:t>
            </w:r>
            <w:r w:rsidRPr="00C63860">
              <w:rPr>
                <w:bCs/>
                <w:i/>
                <w:color w:val="00B0F0"/>
              </w:rPr>
              <w:t>n</w:t>
            </w:r>
            <w:r w:rsidRPr="00C63860">
              <w:rPr>
                <w:bCs/>
              </w:rPr>
              <w:t>=</w:t>
            </w:r>
            <w:r w:rsidRPr="00C63860">
              <w:t>20,638</w:t>
            </w:r>
            <w:r w:rsidRPr="00C63860">
              <w:rPr>
                <w:bCs/>
              </w:rPr>
              <w:t>)</w:t>
            </w:r>
          </w:p>
        </w:tc>
        <w:tc>
          <w:tcPr>
            <w:tcW w:w="0" w:type="auto"/>
            <w:gridSpan w:val="2"/>
            <w:shd w:val="clear" w:color="auto" w:fill="auto"/>
            <w:hideMark/>
          </w:tcPr>
          <w:p w14:paraId="5CED772A" w14:textId="77777777" w:rsidR="008C09D9" w:rsidRPr="00C63860" w:rsidRDefault="008C09D9" w:rsidP="008C09D9">
            <w:pPr>
              <w:jc w:val="center"/>
              <w:rPr>
                <w:bCs/>
              </w:rPr>
            </w:pPr>
            <w:r w:rsidRPr="00C63860">
              <w:rPr>
                <w:bCs/>
              </w:rPr>
              <w:t>ES</w:t>
            </w:r>
          </w:p>
          <w:p w14:paraId="1D01711C" w14:textId="77777777" w:rsidR="008C09D9" w:rsidRPr="00C63860" w:rsidRDefault="008C09D9" w:rsidP="008C09D9">
            <w:pPr>
              <w:jc w:val="center"/>
              <w:rPr>
                <w:bCs/>
              </w:rPr>
            </w:pPr>
            <w:r w:rsidRPr="00C63860">
              <w:rPr>
                <w:bCs/>
              </w:rPr>
              <w:t>(</w:t>
            </w:r>
            <w:r w:rsidRPr="00C63860">
              <w:rPr>
                <w:bCs/>
                <w:i/>
                <w:color w:val="00B0F0"/>
              </w:rPr>
              <w:t>n</w:t>
            </w:r>
            <w:r w:rsidRPr="00C63860">
              <w:rPr>
                <w:bCs/>
              </w:rPr>
              <w:t>=</w:t>
            </w:r>
            <w:r w:rsidRPr="00C63860">
              <w:t>52,004</w:t>
            </w:r>
            <w:r w:rsidRPr="00C63860">
              <w:rPr>
                <w:bCs/>
              </w:rPr>
              <w:t>)</w:t>
            </w:r>
          </w:p>
        </w:tc>
        <w:tc>
          <w:tcPr>
            <w:tcW w:w="0" w:type="auto"/>
            <w:gridSpan w:val="2"/>
            <w:shd w:val="clear" w:color="auto" w:fill="auto"/>
            <w:hideMark/>
          </w:tcPr>
          <w:p w14:paraId="5B5CF365" w14:textId="77777777" w:rsidR="008C09D9" w:rsidRPr="00C63860" w:rsidRDefault="008C09D9" w:rsidP="008C09D9">
            <w:pPr>
              <w:jc w:val="center"/>
              <w:rPr>
                <w:bCs/>
              </w:rPr>
            </w:pPr>
            <w:r w:rsidRPr="00C63860">
              <w:rPr>
                <w:bCs/>
              </w:rPr>
              <w:t>NES</w:t>
            </w:r>
          </w:p>
          <w:p w14:paraId="17F25AB0" w14:textId="77777777" w:rsidR="008C09D9" w:rsidRPr="00C63860" w:rsidRDefault="008C09D9" w:rsidP="008C09D9">
            <w:pPr>
              <w:jc w:val="center"/>
              <w:rPr>
                <w:bCs/>
              </w:rPr>
            </w:pPr>
            <w:r w:rsidRPr="00C63860">
              <w:rPr>
                <w:bCs/>
              </w:rPr>
              <w:t>(</w:t>
            </w:r>
            <w:r w:rsidRPr="00C63860">
              <w:rPr>
                <w:bCs/>
                <w:i/>
                <w:color w:val="00B0F0"/>
              </w:rPr>
              <w:t>n</w:t>
            </w:r>
            <w:r w:rsidRPr="00C63860">
              <w:rPr>
                <w:bCs/>
              </w:rPr>
              <w:t>=</w:t>
            </w:r>
            <w:r w:rsidRPr="00C63860">
              <w:t>188,973</w:t>
            </w:r>
            <w:r w:rsidRPr="00C63860">
              <w:rPr>
                <w:bCs/>
              </w:rPr>
              <w:t>)</w:t>
            </w:r>
          </w:p>
        </w:tc>
        <w:tc>
          <w:tcPr>
            <w:tcW w:w="0" w:type="auto"/>
            <w:gridSpan w:val="2"/>
            <w:shd w:val="clear" w:color="auto" w:fill="auto"/>
            <w:hideMark/>
          </w:tcPr>
          <w:p w14:paraId="478DC21E" w14:textId="77777777" w:rsidR="008C09D9" w:rsidRPr="00C63860" w:rsidRDefault="008C09D9" w:rsidP="008C09D9">
            <w:pPr>
              <w:jc w:val="center"/>
              <w:rPr>
                <w:bCs/>
              </w:rPr>
            </w:pPr>
            <w:r w:rsidRPr="00C63860">
              <w:rPr>
                <w:bCs/>
              </w:rPr>
              <w:t>ES</w:t>
            </w:r>
          </w:p>
          <w:p w14:paraId="245CCADF" w14:textId="77777777" w:rsidR="008C09D9" w:rsidRPr="00C63860" w:rsidRDefault="008C09D9" w:rsidP="008C09D9">
            <w:pPr>
              <w:jc w:val="center"/>
              <w:rPr>
                <w:bCs/>
              </w:rPr>
            </w:pPr>
            <w:r w:rsidRPr="00C63860">
              <w:rPr>
                <w:bCs/>
              </w:rPr>
              <w:t>(</w:t>
            </w:r>
            <w:r w:rsidRPr="00C63860">
              <w:rPr>
                <w:bCs/>
                <w:i/>
                <w:color w:val="00B0F0"/>
              </w:rPr>
              <w:t>n</w:t>
            </w:r>
            <w:r w:rsidRPr="00C63860">
              <w:rPr>
                <w:bCs/>
              </w:rPr>
              <w:t>=</w:t>
            </w:r>
            <w:r w:rsidRPr="00C63860">
              <w:t>15,772</w:t>
            </w:r>
            <w:r w:rsidRPr="00C63860">
              <w:rPr>
                <w:bCs/>
              </w:rPr>
              <w:t>)</w:t>
            </w:r>
          </w:p>
        </w:tc>
        <w:tc>
          <w:tcPr>
            <w:tcW w:w="0" w:type="auto"/>
            <w:gridSpan w:val="2"/>
            <w:shd w:val="clear" w:color="auto" w:fill="auto"/>
            <w:hideMark/>
          </w:tcPr>
          <w:p w14:paraId="16DF9BEA" w14:textId="77777777" w:rsidR="008C09D9" w:rsidRPr="00C63860" w:rsidRDefault="008C09D9" w:rsidP="008C09D9">
            <w:pPr>
              <w:jc w:val="center"/>
              <w:rPr>
                <w:bCs/>
              </w:rPr>
            </w:pPr>
            <w:r w:rsidRPr="00C63860">
              <w:rPr>
                <w:bCs/>
              </w:rPr>
              <w:t>NES</w:t>
            </w:r>
          </w:p>
          <w:p w14:paraId="1B6D1DC0" w14:textId="77777777" w:rsidR="008C09D9" w:rsidRPr="00C63860" w:rsidRDefault="008C09D9" w:rsidP="008C09D9">
            <w:pPr>
              <w:jc w:val="center"/>
              <w:rPr>
                <w:bCs/>
              </w:rPr>
            </w:pPr>
            <w:r w:rsidRPr="00C63860">
              <w:rPr>
                <w:bCs/>
              </w:rPr>
              <w:t>(</w:t>
            </w:r>
            <w:r w:rsidRPr="00C63860">
              <w:rPr>
                <w:bCs/>
                <w:i/>
                <w:color w:val="00B0F0"/>
              </w:rPr>
              <w:t>n</w:t>
            </w:r>
            <w:r w:rsidRPr="00C63860">
              <w:rPr>
                <w:bCs/>
              </w:rPr>
              <w:t>=</w:t>
            </w:r>
            <w:r w:rsidRPr="00C63860">
              <w:t>123,097</w:t>
            </w:r>
            <w:r w:rsidRPr="00C63860">
              <w:rPr>
                <w:bCs/>
              </w:rPr>
              <w:t>)</w:t>
            </w:r>
          </w:p>
        </w:tc>
        <w:tc>
          <w:tcPr>
            <w:tcW w:w="0" w:type="auto"/>
            <w:gridSpan w:val="2"/>
            <w:shd w:val="clear" w:color="auto" w:fill="auto"/>
            <w:hideMark/>
          </w:tcPr>
          <w:p w14:paraId="441B1C00" w14:textId="77777777" w:rsidR="008C09D9" w:rsidRPr="00C63860" w:rsidRDefault="008C09D9" w:rsidP="008C09D9">
            <w:pPr>
              <w:jc w:val="center"/>
              <w:rPr>
                <w:bCs/>
              </w:rPr>
            </w:pPr>
            <w:r w:rsidRPr="00C63860">
              <w:rPr>
                <w:bCs/>
              </w:rPr>
              <w:t>ES</w:t>
            </w:r>
          </w:p>
          <w:p w14:paraId="5F0E1041" w14:textId="77777777" w:rsidR="008C09D9" w:rsidRPr="00C63860" w:rsidRDefault="008C09D9" w:rsidP="008C09D9">
            <w:pPr>
              <w:jc w:val="center"/>
              <w:rPr>
                <w:bCs/>
              </w:rPr>
            </w:pPr>
            <w:r w:rsidRPr="00C63860">
              <w:rPr>
                <w:bCs/>
              </w:rPr>
              <w:t>(</w:t>
            </w:r>
            <w:r w:rsidRPr="00C63860">
              <w:rPr>
                <w:bCs/>
                <w:i/>
                <w:color w:val="00B0F0"/>
              </w:rPr>
              <w:t>n</w:t>
            </w:r>
            <w:r w:rsidRPr="00C63860">
              <w:rPr>
                <w:bCs/>
              </w:rPr>
              <w:t>=</w:t>
            </w:r>
            <w:r w:rsidRPr="00C63860">
              <w:t>62,559</w:t>
            </w:r>
            <w:r w:rsidRPr="00C63860">
              <w:rPr>
                <w:bCs/>
              </w:rPr>
              <w:t>)</w:t>
            </w:r>
          </w:p>
        </w:tc>
        <w:tc>
          <w:tcPr>
            <w:tcW w:w="0" w:type="auto"/>
            <w:gridSpan w:val="2"/>
            <w:shd w:val="clear" w:color="auto" w:fill="auto"/>
            <w:hideMark/>
          </w:tcPr>
          <w:p w14:paraId="399268CD" w14:textId="77777777" w:rsidR="008C09D9" w:rsidRPr="00C63860" w:rsidRDefault="008C09D9" w:rsidP="008C09D9">
            <w:pPr>
              <w:jc w:val="center"/>
              <w:rPr>
                <w:bCs/>
              </w:rPr>
            </w:pPr>
            <w:r w:rsidRPr="00C63860">
              <w:rPr>
                <w:bCs/>
              </w:rPr>
              <w:t>NES</w:t>
            </w:r>
          </w:p>
          <w:p w14:paraId="40CB5C7C" w14:textId="77777777" w:rsidR="008C09D9" w:rsidRPr="00C63860" w:rsidRDefault="008C09D9" w:rsidP="008C09D9">
            <w:pPr>
              <w:jc w:val="center"/>
              <w:rPr>
                <w:bCs/>
              </w:rPr>
            </w:pPr>
            <w:r w:rsidRPr="00C63860">
              <w:rPr>
                <w:bCs/>
              </w:rPr>
              <w:t>(</w:t>
            </w:r>
            <w:r w:rsidRPr="00C63860">
              <w:rPr>
                <w:bCs/>
                <w:i/>
                <w:color w:val="00B0F0"/>
              </w:rPr>
              <w:t>n</w:t>
            </w:r>
            <w:r w:rsidRPr="00C63860">
              <w:rPr>
                <w:bCs/>
              </w:rPr>
              <w:t>=</w:t>
            </w:r>
            <w:r w:rsidRPr="00C63860">
              <w:t>43,873</w:t>
            </w:r>
            <w:r w:rsidRPr="00C63860">
              <w:rPr>
                <w:bCs/>
              </w:rPr>
              <w:t>)</w:t>
            </w:r>
          </w:p>
        </w:tc>
        <w:tc>
          <w:tcPr>
            <w:tcW w:w="0" w:type="auto"/>
            <w:gridSpan w:val="2"/>
            <w:shd w:val="clear" w:color="auto" w:fill="auto"/>
            <w:hideMark/>
          </w:tcPr>
          <w:p w14:paraId="54A7DCFC" w14:textId="77777777" w:rsidR="008C09D9" w:rsidRPr="00C63860" w:rsidRDefault="008C09D9" w:rsidP="008C09D9">
            <w:pPr>
              <w:jc w:val="center"/>
              <w:rPr>
                <w:bCs/>
              </w:rPr>
            </w:pPr>
            <w:r w:rsidRPr="00C63860">
              <w:rPr>
                <w:bCs/>
              </w:rPr>
              <w:t>ES</w:t>
            </w:r>
          </w:p>
          <w:p w14:paraId="46D58484" w14:textId="77777777" w:rsidR="008C09D9" w:rsidRPr="00C63860" w:rsidRDefault="008C09D9" w:rsidP="008C09D9">
            <w:pPr>
              <w:jc w:val="center"/>
              <w:rPr>
                <w:bCs/>
              </w:rPr>
            </w:pPr>
            <w:r w:rsidRPr="00C63860">
              <w:rPr>
                <w:bCs/>
              </w:rPr>
              <w:t>(</w:t>
            </w:r>
            <w:r w:rsidRPr="00C63860">
              <w:rPr>
                <w:bCs/>
                <w:i/>
                <w:color w:val="00B0F0"/>
              </w:rPr>
              <w:t>n</w:t>
            </w:r>
            <w:r w:rsidRPr="00C63860">
              <w:rPr>
                <w:bCs/>
              </w:rPr>
              <w:t>=</w:t>
            </w:r>
            <w:r w:rsidRPr="00C63860">
              <w:t>40.550</w:t>
            </w:r>
            <w:r w:rsidRPr="00C63860">
              <w:rPr>
                <w:bCs/>
              </w:rPr>
              <w:t>)</w:t>
            </w:r>
          </w:p>
        </w:tc>
        <w:tc>
          <w:tcPr>
            <w:tcW w:w="0" w:type="auto"/>
            <w:gridSpan w:val="2"/>
            <w:shd w:val="clear" w:color="auto" w:fill="auto"/>
            <w:hideMark/>
          </w:tcPr>
          <w:p w14:paraId="0849950C" w14:textId="77777777" w:rsidR="008C09D9" w:rsidRPr="00C63860" w:rsidRDefault="008C09D9" w:rsidP="008C09D9">
            <w:pPr>
              <w:jc w:val="center"/>
              <w:rPr>
                <w:bCs/>
              </w:rPr>
            </w:pPr>
            <w:r w:rsidRPr="00C63860">
              <w:rPr>
                <w:bCs/>
              </w:rPr>
              <w:t>NES</w:t>
            </w:r>
          </w:p>
          <w:p w14:paraId="09E79FB7" w14:textId="77777777" w:rsidR="008C09D9" w:rsidRPr="00C63860" w:rsidRDefault="008C09D9" w:rsidP="008C09D9">
            <w:pPr>
              <w:jc w:val="center"/>
              <w:rPr>
                <w:bCs/>
              </w:rPr>
            </w:pPr>
            <w:r w:rsidRPr="00C63860">
              <w:rPr>
                <w:bCs/>
              </w:rPr>
              <w:t>(</w:t>
            </w:r>
            <w:r w:rsidRPr="00C63860">
              <w:rPr>
                <w:bCs/>
                <w:i/>
                <w:color w:val="00B0F0"/>
              </w:rPr>
              <w:t>n</w:t>
            </w:r>
            <w:r w:rsidRPr="00C63860">
              <w:rPr>
                <w:bCs/>
              </w:rPr>
              <w:t>=</w:t>
            </w:r>
            <w:r w:rsidRPr="00C63860">
              <w:t>92,523</w:t>
            </w:r>
            <w:r w:rsidRPr="00C63860">
              <w:rPr>
                <w:bCs/>
              </w:rPr>
              <w:t>)</w:t>
            </w:r>
          </w:p>
        </w:tc>
        <w:bookmarkEnd w:id="51"/>
      </w:tr>
      <w:tr w:rsidR="00C475F9" w:rsidRPr="00C63860" w14:paraId="64B13C67" w14:textId="77777777" w:rsidTr="00C63860">
        <w:trPr>
          <w:cantSplit/>
        </w:trPr>
        <w:tc>
          <w:tcPr>
            <w:tcW w:w="0" w:type="auto"/>
            <w:shd w:val="clear" w:color="auto" w:fill="auto"/>
            <w:hideMark/>
          </w:tcPr>
          <w:p w14:paraId="55F99E89" w14:textId="77777777" w:rsidR="008C09D9" w:rsidRPr="00C63860" w:rsidRDefault="008C09D9" w:rsidP="008C09D9">
            <w:pPr>
              <w:rPr>
                <w:b/>
                <w:i/>
              </w:rPr>
            </w:pPr>
            <w:r w:rsidRPr="00C63860">
              <w:rPr>
                <w:b/>
                <w:i/>
              </w:rPr>
              <w:t>In ES window or after</w:t>
            </w:r>
          </w:p>
        </w:tc>
        <w:tc>
          <w:tcPr>
            <w:tcW w:w="0" w:type="auto"/>
            <w:shd w:val="clear" w:color="auto" w:fill="auto"/>
            <w:hideMark/>
          </w:tcPr>
          <w:p w14:paraId="6443DCBD" w14:textId="77777777" w:rsidR="008C09D9" w:rsidRPr="00C63860" w:rsidRDefault="008C09D9" w:rsidP="008C09D9">
            <w:pPr>
              <w:jc w:val="center"/>
              <w:rPr>
                <w:bCs/>
                <w:i/>
              </w:rPr>
            </w:pPr>
            <w:r w:rsidRPr="00C63860">
              <w:rPr>
                <w:bCs/>
                <w:i/>
              </w:rPr>
              <w:t>in</w:t>
            </w:r>
          </w:p>
        </w:tc>
        <w:tc>
          <w:tcPr>
            <w:tcW w:w="0" w:type="auto"/>
            <w:shd w:val="clear" w:color="auto" w:fill="auto"/>
            <w:hideMark/>
          </w:tcPr>
          <w:p w14:paraId="1A7818E0" w14:textId="77777777" w:rsidR="008C09D9" w:rsidRPr="00C63860" w:rsidRDefault="008C09D9" w:rsidP="008C09D9">
            <w:pPr>
              <w:jc w:val="center"/>
              <w:rPr>
                <w:bCs/>
                <w:i/>
              </w:rPr>
            </w:pPr>
            <w:r w:rsidRPr="00C63860">
              <w:rPr>
                <w:bCs/>
                <w:i/>
              </w:rPr>
              <w:t>after</w:t>
            </w:r>
          </w:p>
        </w:tc>
        <w:tc>
          <w:tcPr>
            <w:tcW w:w="0" w:type="auto"/>
            <w:shd w:val="clear" w:color="auto" w:fill="auto"/>
            <w:hideMark/>
          </w:tcPr>
          <w:p w14:paraId="0C5F1787" w14:textId="77777777" w:rsidR="008C09D9" w:rsidRPr="00C63860" w:rsidRDefault="008C09D9" w:rsidP="008C09D9">
            <w:pPr>
              <w:jc w:val="center"/>
              <w:rPr>
                <w:bCs/>
                <w:i/>
              </w:rPr>
            </w:pPr>
            <w:r w:rsidRPr="00C63860">
              <w:rPr>
                <w:bCs/>
                <w:i/>
              </w:rPr>
              <w:t>in</w:t>
            </w:r>
          </w:p>
        </w:tc>
        <w:tc>
          <w:tcPr>
            <w:tcW w:w="0" w:type="auto"/>
            <w:shd w:val="clear" w:color="auto" w:fill="auto"/>
            <w:hideMark/>
          </w:tcPr>
          <w:p w14:paraId="37165AD4" w14:textId="77777777" w:rsidR="008C09D9" w:rsidRPr="00C63860" w:rsidRDefault="008C09D9" w:rsidP="008C09D9">
            <w:pPr>
              <w:jc w:val="center"/>
              <w:rPr>
                <w:bCs/>
                <w:i/>
              </w:rPr>
            </w:pPr>
            <w:r w:rsidRPr="00C63860">
              <w:rPr>
                <w:bCs/>
                <w:i/>
              </w:rPr>
              <w:t>after</w:t>
            </w:r>
          </w:p>
        </w:tc>
        <w:tc>
          <w:tcPr>
            <w:tcW w:w="0" w:type="auto"/>
            <w:shd w:val="clear" w:color="auto" w:fill="auto"/>
            <w:hideMark/>
          </w:tcPr>
          <w:p w14:paraId="6FA7471D" w14:textId="77777777" w:rsidR="008C09D9" w:rsidRPr="00C63860" w:rsidRDefault="008C09D9" w:rsidP="008C09D9">
            <w:pPr>
              <w:jc w:val="center"/>
              <w:rPr>
                <w:bCs/>
                <w:i/>
              </w:rPr>
            </w:pPr>
            <w:r w:rsidRPr="00C63860">
              <w:rPr>
                <w:bCs/>
                <w:i/>
              </w:rPr>
              <w:t>in</w:t>
            </w:r>
          </w:p>
        </w:tc>
        <w:tc>
          <w:tcPr>
            <w:tcW w:w="0" w:type="auto"/>
            <w:shd w:val="clear" w:color="auto" w:fill="auto"/>
            <w:hideMark/>
          </w:tcPr>
          <w:p w14:paraId="7F60040A" w14:textId="77777777" w:rsidR="008C09D9" w:rsidRPr="00C63860" w:rsidRDefault="008C09D9" w:rsidP="008C09D9">
            <w:pPr>
              <w:jc w:val="center"/>
              <w:rPr>
                <w:bCs/>
                <w:i/>
              </w:rPr>
            </w:pPr>
            <w:r w:rsidRPr="00C63860">
              <w:rPr>
                <w:bCs/>
                <w:i/>
              </w:rPr>
              <w:t>after</w:t>
            </w:r>
          </w:p>
        </w:tc>
        <w:tc>
          <w:tcPr>
            <w:tcW w:w="0" w:type="auto"/>
            <w:shd w:val="clear" w:color="auto" w:fill="auto"/>
            <w:hideMark/>
          </w:tcPr>
          <w:p w14:paraId="2187F20A" w14:textId="77777777" w:rsidR="008C09D9" w:rsidRPr="00C63860" w:rsidRDefault="008C09D9" w:rsidP="008C09D9">
            <w:pPr>
              <w:jc w:val="center"/>
              <w:rPr>
                <w:bCs/>
                <w:i/>
              </w:rPr>
            </w:pPr>
            <w:r w:rsidRPr="00C63860">
              <w:rPr>
                <w:bCs/>
                <w:i/>
              </w:rPr>
              <w:t>in</w:t>
            </w:r>
          </w:p>
        </w:tc>
        <w:tc>
          <w:tcPr>
            <w:tcW w:w="0" w:type="auto"/>
            <w:shd w:val="clear" w:color="auto" w:fill="auto"/>
            <w:hideMark/>
          </w:tcPr>
          <w:p w14:paraId="775D2D97" w14:textId="77777777" w:rsidR="008C09D9" w:rsidRPr="00C63860" w:rsidRDefault="008C09D9" w:rsidP="008C09D9">
            <w:pPr>
              <w:jc w:val="center"/>
              <w:rPr>
                <w:bCs/>
                <w:i/>
              </w:rPr>
            </w:pPr>
            <w:r w:rsidRPr="00C63860">
              <w:rPr>
                <w:bCs/>
                <w:i/>
              </w:rPr>
              <w:t>after</w:t>
            </w:r>
          </w:p>
        </w:tc>
        <w:tc>
          <w:tcPr>
            <w:tcW w:w="0" w:type="auto"/>
            <w:shd w:val="clear" w:color="auto" w:fill="auto"/>
            <w:hideMark/>
          </w:tcPr>
          <w:p w14:paraId="4CAAF064" w14:textId="77777777" w:rsidR="008C09D9" w:rsidRPr="00C63860" w:rsidRDefault="008C09D9" w:rsidP="008C09D9">
            <w:pPr>
              <w:jc w:val="center"/>
              <w:rPr>
                <w:bCs/>
                <w:i/>
              </w:rPr>
            </w:pPr>
            <w:r w:rsidRPr="00C63860">
              <w:rPr>
                <w:bCs/>
                <w:i/>
              </w:rPr>
              <w:t>in</w:t>
            </w:r>
          </w:p>
        </w:tc>
        <w:tc>
          <w:tcPr>
            <w:tcW w:w="0" w:type="auto"/>
            <w:shd w:val="clear" w:color="auto" w:fill="auto"/>
            <w:hideMark/>
          </w:tcPr>
          <w:p w14:paraId="54D513F4" w14:textId="053DEE95" w:rsidR="008C09D9" w:rsidRPr="00C63860" w:rsidRDefault="009C5AFE" w:rsidP="008C09D9">
            <w:pPr>
              <w:jc w:val="center"/>
              <w:rPr>
                <w:bCs/>
                <w:i/>
              </w:rPr>
            </w:pPr>
            <w:r w:rsidRPr="00C63860">
              <w:rPr>
                <w:bCs/>
                <w:i/>
              </w:rPr>
              <w:t>A</w:t>
            </w:r>
            <w:r w:rsidR="008C09D9" w:rsidRPr="00C63860">
              <w:rPr>
                <w:bCs/>
                <w:i/>
              </w:rPr>
              <w:t>fter</w:t>
            </w:r>
          </w:p>
        </w:tc>
        <w:tc>
          <w:tcPr>
            <w:tcW w:w="0" w:type="auto"/>
            <w:shd w:val="clear" w:color="auto" w:fill="auto"/>
            <w:hideMark/>
          </w:tcPr>
          <w:p w14:paraId="0D6B5980" w14:textId="77777777" w:rsidR="008C09D9" w:rsidRPr="00C63860" w:rsidRDefault="008C09D9" w:rsidP="008C09D9">
            <w:pPr>
              <w:jc w:val="center"/>
              <w:rPr>
                <w:bCs/>
                <w:i/>
              </w:rPr>
            </w:pPr>
            <w:r w:rsidRPr="00C63860">
              <w:rPr>
                <w:bCs/>
                <w:i/>
              </w:rPr>
              <w:t>in</w:t>
            </w:r>
          </w:p>
        </w:tc>
        <w:tc>
          <w:tcPr>
            <w:tcW w:w="0" w:type="auto"/>
            <w:shd w:val="clear" w:color="auto" w:fill="auto"/>
            <w:hideMark/>
          </w:tcPr>
          <w:p w14:paraId="6A553F84" w14:textId="77777777" w:rsidR="008C09D9" w:rsidRPr="00C63860" w:rsidRDefault="008C09D9" w:rsidP="008C09D9">
            <w:pPr>
              <w:jc w:val="center"/>
              <w:rPr>
                <w:bCs/>
                <w:i/>
              </w:rPr>
            </w:pPr>
            <w:r w:rsidRPr="00C63860">
              <w:rPr>
                <w:bCs/>
                <w:i/>
              </w:rPr>
              <w:t>after</w:t>
            </w:r>
          </w:p>
        </w:tc>
        <w:tc>
          <w:tcPr>
            <w:tcW w:w="0" w:type="auto"/>
            <w:shd w:val="clear" w:color="auto" w:fill="auto"/>
            <w:hideMark/>
          </w:tcPr>
          <w:p w14:paraId="637297BF" w14:textId="77777777" w:rsidR="008C09D9" w:rsidRPr="00C63860" w:rsidRDefault="008C09D9" w:rsidP="008C09D9">
            <w:pPr>
              <w:jc w:val="center"/>
              <w:rPr>
                <w:bCs/>
                <w:i/>
              </w:rPr>
            </w:pPr>
            <w:r w:rsidRPr="00C63860">
              <w:rPr>
                <w:bCs/>
                <w:i/>
              </w:rPr>
              <w:t>in</w:t>
            </w:r>
          </w:p>
        </w:tc>
        <w:tc>
          <w:tcPr>
            <w:tcW w:w="0" w:type="auto"/>
            <w:shd w:val="clear" w:color="auto" w:fill="auto"/>
            <w:hideMark/>
          </w:tcPr>
          <w:p w14:paraId="3E3470B3" w14:textId="6A94711B" w:rsidR="008C09D9" w:rsidRPr="00C63860" w:rsidRDefault="000D7AEB" w:rsidP="008C09D9">
            <w:pPr>
              <w:jc w:val="center"/>
              <w:rPr>
                <w:bCs/>
                <w:i/>
              </w:rPr>
            </w:pPr>
            <w:r w:rsidRPr="00C63860">
              <w:rPr>
                <w:bCs/>
                <w:i/>
              </w:rPr>
              <w:t>A</w:t>
            </w:r>
            <w:r w:rsidR="008C09D9" w:rsidRPr="00C63860">
              <w:rPr>
                <w:bCs/>
                <w:i/>
              </w:rPr>
              <w:t>fter</w:t>
            </w:r>
          </w:p>
        </w:tc>
        <w:tc>
          <w:tcPr>
            <w:tcW w:w="0" w:type="auto"/>
            <w:shd w:val="clear" w:color="auto" w:fill="auto"/>
            <w:hideMark/>
          </w:tcPr>
          <w:p w14:paraId="7CD45598" w14:textId="77777777" w:rsidR="008C09D9" w:rsidRPr="00C63860" w:rsidRDefault="008C09D9" w:rsidP="008C09D9">
            <w:pPr>
              <w:jc w:val="center"/>
              <w:rPr>
                <w:bCs/>
                <w:i/>
              </w:rPr>
            </w:pPr>
            <w:r w:rsidRPr="00C63860">
              <w:rPr>
                <w:bCs/>
                <w:i/>
              </w:rPr>
              <w:t>in</w:t>
            </w:r>
          </w:p>
        </w:tc>
        <w:tc>
          <w:tcPr>
            <w:tcW w:w="0" w:type="auto"/>
            <w:shd w:val="clear" w:color="auto" w:fill="auto"/>
            <w:hideMark/>
          </w:tcPr>
          <w:p w14:paraId="78E4AEDD" w14:textId="77777777" w:rsidR="008C09D9" w:rsidRPr="00C63860" w:rsidRDefault="008C09D9" w:rsidP="008C09D9">
            <w:pPr>
              <w:jc w:val="center"/>
              <w:rPr>
                <w:bCs/>
                <w:i/>
              </w:rPr>
            </w:pPr>
            <w:r w:rsidRPr="00C63860">
              <w:rPr>
                <w:bCs/>
                <w:i/>
              </w:rPr>
              <w:t>after</w:t>
            </w:r>
          </w:p>
        </w:tc>
        <w:tc>
          <w:tcPr>
            <w:tcW w:w="0" w:type="auto"/>
            <w:shd w:val="clear" w:color="auto" w:fill="auto"/>
            <w:hideMark/>
          </w:tcPr>
          <w:p w14:paraId="78153DDB" w14:textId="77777777" w:rsidR="008C09D9" w:rsidRPr="00C63860" w:rsidRDefault="008C09D9" w:rsidP="008C09D9">
            <w:pPr>
              <w:jc w:val="center"/>
              <w:rPr>
                <w:bCs/>
                <w:i/>
              </w:rPr>
            </w:pPr>
            <w:r w:rsidRPr="00C63860">
              <w:rPr>
                <w:bCs/>
                <w:i/>
              </w:rPr>
              <w:t>in</w:t>
            </w:r>
          </w:p>
        </w:tc>
        <w:tc>
          <w:tcPr>
            <w:tcW w:w="0" w:type="auto"/>
            <w:shd w:val="clear" w:color="auto" w:fill="auto"/>
            <w:hideMark/>
          </w:tcPr>
          <w:p w14:paraId="61F2F836" w14:textId="77777777" w:rsidR="008C09D9" w:rsidRPr="00C63860" w:rsidRDefault="008C09D9" w:rsidP="008C09D9">
            <w:pPr>
              <w:jc w:val="center"/>
              <w:rPr>
                <w:bCs/>
                <w:i/>
              </w:rPr>
            </w:pPr>
            <w:r w:rsidRPr="00C63860">
              <w:rPr>
                <w:bCs/>
                <w:i/>
              </w:rPr>
              <w:t>after</w:t>
            </w:r>
          </w:p>
        </w:tc>
        <w:tc>
          <w:tcPr>
            <w:tcW w:w="0" w:type="auto"/>
            <w:shd w:val="clear" w:color="auto" w:fill="auto"/>
            <w:hideMark/>
          </w:tcPr>
          <w:p w14:paraId="412920FC" w14:textId="77777777" w:rsidR="008C09D9" w:rsidRPr="00C63860" w:rsidRDefault="008C09D9" w:rsidP="008C09D9">
            <w:pPr>
              <w:jc w:val="center"/>
              <w:rPr>
                <w:bCs/>
                <w:i/>
              </w:rPr>
            </w:pPr>
            <w:r w:rsidRPr="00C63860">
              <w:rPr>
                <w:bCs/>
                <w:i/>
              </w:rPr>
              <w:t>in</w:t>
            </w:r>
          </w:p>
        </w:tc>
        <w:tc>
          <w:tcPr>
            <w:tcW w:w="0" w:type="auto"/>
            <w:shd w:val="clear" w:color="auto" w:fill="auto"/>
            <w:hideMark/>
          </w:tcPr>
          <w:p w14:paraId="61E33691" w14:textId="77777777" w:rsidR="008C09D9" w:rsidRPr="00C63860" w:rsidRDefault="008C09D9" w:rsidP="008C09D9">
            <w:pPr>
              <w:jc w:val="center"/>
              <w:rPr>
                <w:bCs/>
                <w:i/>
              </w:rPr>
            </w:pPr>
            <w:r w:rsidRPr="00C63860">
              <w:rPr>
                <w:bCs/>
                <w:i/>
              </w:rPr>
              <w:t>after</w:t>
            </w:r>
          </w:p>
        </w:tc>
      </w:tr>
      <w:tr w:rsidR="00C15B66" w:rsidRPr="00C63860" w14:paraId="30271B7F" w14:textId="77777777" w:rsidTr="00C63860">
        <w:trPr>
          <w:cantSplit/>
        </w:trPr>
        <w:tc>
          <w:tcPr>
            <w:tcW w:w="0" w:type="auto"/>
            <w:shd w:val="clear" w:color="auto" w:fill="auto"/>
            <w:hideMark/>
          </w:tcPr>
          <w:p w14:paraId="74F6BA39" w14:textId="77777777" w:rsidR="00C63860" w:rsidRPr="00C63860" w:rsidRDefault="008C09D9" w:rsidP="008C09D9">
            <w:pPr>
              <w:rPr>
                <w:b/>
              </w:rPr>
            </w:pPr>
            <w:r w:rsidRPr="00C63860">
              <w:rPr>
                <w:b/>
              </w:rPr>
              <w:t>Operative</w:t>
            </w:r>
          </w:p>
          <w:p w14:paraId="079D3CF3" w14:textId="77777777" w:rsidR="00C63860" w:rsidRPr="00C63860" w:rsidRDefault="008C09D9" w:rsidP="008C09D9">
            <w:pPr>
              <w:rPr>
                <w:b/>
              </w:rPr>
            </w:pPr>
            <w:r w:rsidRPr="00C63860">
              <w:rPr>
                <w:b/>
              </w:rPr>
              <w:t>rocedures</w:t>
            </w:r>
            <w:r w:rsidRPr="00C63860">
              <w:rPr>
                <w:b/>
                <w:bCs/>
              </w:rPr>
              <w:t>:</w:t>
            </w:r>
            <w:r w:rsidR="00C63860" w:rsidRPr="00C63860">
              <w:rPr>
                <w:b/>
                <w:bCs/>
                <w:color w:val="00B0F0"/>
              </w:rPr>
              <w:t>%</w:t>
            </w:r>
          </w:p>
          <w:p w14:paraId="1C1D821D" w14:textId="77777777" w:rsidR="00C63860" w:rsidRPr="00C63860" w:rsidRDefault="008C09D9" w:rsidP="008C09D9">
            <w:pPr>
              <w:rPr>
                <w:bCs/>
              </w:rPr>
            </w:pPr>
            <w:r w:rsidRPr="00C63860">
              <w:rPr>
                <w:bCs/>
              </w:rPr>
              <w:t>ES procedure</w:t>
            </w:r>
          </w:p>
          <w:p w14:paraId="562B04B8" w14:textId="77777777" w:rsidR="00C63860" w:rsidRPr="00C63860" w:rsidRDefault="008C09D9" w:rsidP="008C09D9">
            <w:pPr>
              <w:rPr>
                <w:bCs/>
              </w:rPr>
            </w:pPr>
            <w:r w:rsidRPr="00C63860">
              <w:rPr>
                <w:bCs/>
              </w:rPr>
              <w:t>Other procedure</w:t>
            </w:r>
            <w:r w:rsidRPr="00C63860">
              <w:rPr>
                <w:bCs/>
                <w:vertAlign w:val="superscript"/>
              </w:rPr>
              <w:t>a</w:t>
            </w:r>
          </w:p>
          <w:p w14:paraId="533992BF" w14:textId="331560B0" w:rsidR="008C09D9" w:rsidRPr="00C63860" w:rsidRDefault="008C09D9" w:rsidP="008C09D9">
            <w:pPr>
              <w:rPr>
                <w:bCs/>
              </w:rPr>
            </w:pPr>
            <w:r w:rsidRPr="00C63860">
              <w:rPr>
                <w:bCs/>
              </w:rPr>
              <w:t xml:space="preserve">No surgery </w:t>
            </w:r>
          </w:p>
        </w:tc>
        <w:tc>
          <w:tcPr>
            <w:tcW w:w="0" w:type="auto"/>
            <w:shd w:val="clear" w:color="auto" w:fill="auto"/>
          </w:tcPr>
          <w:p w14:paraId="4219E9C0" w14:textId="77777777" w:rsidR="00C63860" w:rsidRPr="00C63860" w:rsidRDefault="00C63860" w:rsidP="008C09D9">
            <w:pPr>
              <w:jc w:val="center"/>
              <w:rPr>
                <w:bCs/>
              </w:rPr>
            </w:pPr>
          </w:p>
          <w:p w14:paraId="1692138E" w14:textId="77777777" w:rsidR="008C09D9" w:rsidRPr="00C63860" w:rsidRDefault="008C09D9" w:rsidP="008C09D9">
            <w:pPr>
              <w:jc w:val="center"/>
              <w:rPr>
                <w:bCs/>
              </w:rPr>
            </w:pPr>
            <w:r w:rsidRPr="00C63860">
              <w:rPr>
                <w:bCs/>
              </w:rPr>
              <w:t>100.0</w:t>
            </w:r>
          </w:p>
          <w:p w14:paraId="7D04DE50" w14:textId="77777777" w:rsidR="008C09D9" w:rsidRPr="00C63860" w:rsidRDefault="008C09D9" w:rsidP="008C09D9">
            <w:pPr>
              <w:jc w:val="center"/>
              <w:rPr>
                <w:bCs/>
              </w:rPr>
            </w:pPr>
            <w:r w:rsidRPr="00C63860">
              <w:rPr>
                <w:bCs/>
              </w:rPr>
              <w:t>0.0</w:t>
            </w:r>
          </w:p>
          <w:p w14:paraId="3ED197F3" w14:textId="77777777" w:rsidR="008C09D9" w:rsidRPr="00C63860" w:rsidRDefault="008C09D9" w:rsidP="008C09D9">
            <w:pPr>
              <w:jc w:val="center"/>
              <w:rPr>
                <w:bCs/>
              </w:rPr>
            </w:pPr>
            <w:r w:rsidRPr="00C63860">
              <w:rPr>
                <w:bCs/>
              </w:rPr>
              <w:t>0.0</w:t>
            </w:r>
          </w:p>
        </w:tc>
        <w:tc>
          <w:tcPr>
            <w:tcW w:w="0" w:type="auto"/>
            <w:shd w:val="clear" w:color="auto" w:fill="auto"/>
          </w:tcPr>
          <w:p w14:paraId="77294D21" w14:textId="77777777" w:rsidR="00C63860" w:rsidRPr="00C63860" w:rsidRDefault="00C63860" w:rsidP="008C09D9">
            <w:pPr>
              <w:jc w:val="center"/>
              <w:rPr>
                <w:bCs/>
              </w:rPr>
            </w:pPr>
          </w:p>
          <w:p w14:paraId="26DB3D50" w14:textId="77777777" w:rsidR="008C09D9" w:rsidRPr="00C63860" w:rsidRDefault="008C09D9" w:rsidP="008C09D9">
            <w:pPr>
              <w:jc w:val="center"/>
              <w:rPr>
                <w:bCs/>
              </w:rPr>
            </w:pPr>
            <w:r w:rsidRPr="00C63860">
              <w:rPr>
                <w:bCs/>
              </w:rPr>
              <w:t>0.8</w:t>
            </w:r>
          </w:p>
          <w:p w14:paraId="43CBEC7F" w14:textId="77777777" w:rsidR="008C09D9" w:rsidRPr="00C63860" w:rsidRDefault="008C09D9" w:rsidP="008C09D9">
            <w:pPr>
              <w:jc w:val="center"/>
              <w:rPr>
                <w:bCs/>
              </w:rPr>
            </w:pPr>
            <w:r w:rsidRPr="00C63860">
              <w:rPr>
                <w:bCs/>
              </w:rPr>
              <w:t>0.1</w:t>
            </w:r>
          </w:p>
          <w:p w14:paraId="013C9417" w14:textId="77777777" w:rsidR="008C09D9" w:rsidRPr="00C63860" w:rsidRDefault="008C09D9" w:rsidP="008C09D9">
            <w:pPr>
              <w:jc w:val="center"/>
              <w:rPr>
                <w:bCs/>
              </w:rPr>
            </w:pPr>
            <w:r w:rsidRPr="00C63860">
              <w:rPr>
                <w:bCs/>
              </w:rPr>
              <w:t>99.9</w:t>
            </w:r>
          </w:p>
        </w:tc>
        <w:tc>
          <w:tcPr>
            <w:tcW w:w="0" w:type="auto"/>
            <w:shd w:val="clear" w:color="auto" w:fill="auto"/>
          </w:tcPr>
          <w:p w14:paraId="0680D7CA" w14:textId="77777777" w:rsidR="00C63860" w:rsidRPr="00C63860" w:rsidRDefault="00C63860" w:rsidP="008C09D9">
            <w:pPr>
              <w:jc w:val="center"/>
              <w:rPr>
                <w:bCs/>
              </w:rPr>
            </w:pPr>
          </w:p>
          <w:p w14:paraId="717C5237" w14:textId="77777777" w:rsidR="008C09D9" w:rsidRPr="00C63860" w:rsidRDefault="008C09D9" w:rsidP="008C09D9">
            <w:pPr>
              <w:jc w:val="center"/>
              <w:rPr>
                <w:bCs/>
              </w:rPr>
            </w:pPr>
            <w:r w:rsidRPr="00C63860">
              <w:rPr>
                <w:bCs/>
              </w:rPr>
              <w:t>0.0</w:t>
            </w:r>
          </w:p>
          <w:p w14:paraId="496B0D47" w14:textId="77777777" w:rsidR="008C09D9" w:rsidRPr="00C63860" w:rsidRDefault="008C09D9" w:rsidP="008C09D9">
            <w:pPr>
              <w:jc w:val="center"/>
              <w:rPr>
                <w:bCs/>
              </w:rPr>
            </w:pPr>
            <w:r w:rsidRPr="00C63860">
              <w:rPr>
                <w:bCs/>
              </w:rPr>
              <w:t>15.5</w:t>
            </w:r>
          </w:p>
          <w:p w14:paraId="2AE93C07" w14:textId="77777777" w:rsidR="008C09D9" w:rsidRPr="00C63860" w:rsidRDefault="008C09D9" w:rsidP="008C09D9">
            <w:pPr>
              <w:jc w:val="center"/>
              <w:rPr>
                <w:bCs/>
              </w:rPr>
            </w:pPr>
            <w:r w:rsidRPr="00C63860">
              <w:rPr>
                <w:bCs/>
              </w:rPr>
              <w:t>84.5</w:t>
            </w:r>
          </w:p>
        </w:tc>
        <w:tc>
          <w:tcPr>
            <w:tcW w:w="0" w:type="auto"/>
            <w:shd w:val="clear" w:color="auto" w:fill="auto"/>
          </w:tcPr>
          <w:p w14:paraId="17E309F9" w14:textId="77777777" w:rsidR="00C63860" w:rsidRPr="00C63860" w:rsidRDefault="00C63860" w:rsidP="008C09D9">
            <w:pPr>
              <w:jc w:val="center"/>
              <w:rPr>
                <w:bCs/>
              </w:rPr>
            </w:pPr>
          </w:p>
          <w:p w14:paraId="6C666B5C" w14:textId="77777777" w:rsidR="008C09D9" w:rsidRPr="00C63860" w:rsidRDefault="008C09D9" w:rsidP="008C09D9">
            <w:pPr>
              <w:jc w:val="center"/>
              <w:rPr>
                <w:bCs/>
              </w:rPr>
            </w:pPr>
            <w:r w:rsidRPr="00C63860">
              <w:rPr>
                <w:bCs/>
              </w:rPr>
              <w:t>3.4</w:t>
            </w:r>
          </w:p>
          <w:p w14:paraId="3031A986" w14:textId="77777777" w:rsidR="008C09D9" w:rsidRPr="00C63860" w:rsidRDefault="008C09D9" w:rsidP="008C09D9">
            <w:pPr>
              <w:jc w:val="center"/>
              <w:rPr>
                <w:bCs/>
              </w:rPr>
            </w:pPr>
            <w:r w:rsidRPr="00C63860">
              <w:rPr>
                <w:bCs/>
              </w:rPr>
              <w:t>0.4</w:t>
            </w:r>
          </w:p>
          <w:p w14:paraId="7C415251" w14:textId="77777777" w:rsidR="008C09D9" w:rsidRPr="00C63860" w:rsidRDefault="008C09D9" w:rsidP="008C09D9">
            <w:pPr>
              <w:jc w:val="center"/>
              <w:rPr>
                <w:bCs/>
              </w:rPr>
            </w:pPr>
            <w:r w:rsidRPr="00C63860">
              <w:rPr>
                <w:bCs/>
              </w:rPr>
              <w:t>96.2</w:t>
            </w:r>
          </w:p>
          <w:p w14:paraId="70FFE90E" w14:textId="77777777" w:rsidR="008C09D9" w:rsidRPr="00C63860" w:rsidRDefault="008C09D9" w:rsidP="008C09D9">
            <w:pPr>
              <w:jc w:val="center"/>
              <w:rPr>
                <w:bCs/>
              </w:rPr>
            </w:pPr>
          </w:p>
        </w:tc>
        <w:tc>
          <w:tcPr>
            <w:tcW w:w="0" w:type="auto"/>
            <w:shd w:val="clear" w:color="auto" w:fill="auto"/>
          </w:tcPr>
          <w:p w14:paraId="7C0241A9" w14:textId="77777777" w:rsidR="00C63860" w:rsidRPr="00C63860" w:rsidRDefault="00C63860" w:rsidP="008C09D9">
            <w:pPr>
              <w:rPr>
                <w:bCs/>
              </w:rPr>
            </w:pPr>
          </w:p>
          <w:p w14:paraId="77E63F06" w14:textId="77777777" w:rsidR="008C09D9" w:rsidRPr="00C63860" w:rsidRDefault="008C09D9" w:rsidP="008C09D9">
            <w:pPr>
              <w:jc w:val="center"/>
              <w:rPr>
                <w:bCs/>
              </w:rPr>
            </w:pPr>
            <w:r w:rsidRPr="00C63860">
              <w:rPr>
                <w:bCs/>
              </w:rPr>
              <w:t>100.0</w:t>
            </w:r>
          </w:p>
          <w:p w14:paraId="570CCEED" w14:textId="77777777" w:rsidR="008C09D9" w:rsidRPr="00C63860" w:rsidRDefault="008C09D9" w:rsidP="008C09D9">
            <w:pPr>
              <w:jc w:val="center"/>
              <w:rPr>
                <w:bCs/>
              </w:rPr>
            </w:pPr>
            <w:r w:rsidRPr="00C63860">
              <w:rPr>
                <w:bCs/>
              </w:rPr>
              <w:t>0.0</w:t>
            </w:r>
          </w:p>
          <w:p w14:paraId="216B3CC8" w14:textId="77777777" w:rsidR="008C09D9" w:rsidRPr="00C63860" w:rsidRDefault="008C09D9" w:rsidP="008C09D9">
            <w:pPr>
              <w:jc w:val="center"/>
              <w:rPr>
                <w:bCs/>
              </w:rPr>
            </w:pPr>
            <w:r w:rsidRPr="00C63860">
              <w:rPr>
                <w:bCs/>
              </w:rPr>
              <w:t>0.0</w:t>
            </w:r>
          </w:p>
          <w:p w14:paraId="2A07809A" w14:textId="77777777" w:rsidR="008C09D9" w:rsidRPr="00C63860" w:rsidRDefault="008C09D9" w:rsidP="008C09D9">
            <w:pPr>
              <w:jc w:val="center"/>
              <w:rPr>
                <w:bCs/>
              </w:rPr>
            </w:pPr>
          </w:p>
        </w:tc>
        <w:tc>
          <w:tcPr>
            <w:tcW w:w="0" w:type="auto"/>
            <w:shd w:val="clear" w:color="auto" w:fill="auto"/>
          </w:tcPr>
          <w:p w14:paraId="7D9DF70A" w14:textId="77777777" w:rsidR="00C63860" w:rsidRPr="00C63860" w:rsidRDefault="00C63860" w:rsidP="008C09D9">
            <w:pPr>
              <w:jc w:val="center"/>
              <w:rPr>
                <w:bCs/>
              </w:rPr>
            </w:pPr>
          </w:p>
          <w:p w14:paraId="0EE28B54" w14:textId="77777777" w:rsidR="008C09D9" w:rsidRPr="00C63860" w:rsidRDefault="008C09D9" w:rsidP="008C09D9">
            <w:pPr>
              <w:jc w:val="center"/>
              <w:rPr>
                <w:bCs/>
              </w:rPr>
            </w:pPr>
            <w:r w:rsidRPr="00C63860">
              <w:rPr>
                <w:bCs/>
              </w:rPr>
              <w:t>0.7</w:t>
            </w:r>
          </w:p>
          <w:p w14:paraId="2407E0E5" w14:textId="77777777" w:rsidR="008C09D9" w:rsidRPr="00C63860" w:rsidRDefault="008C09D9" w:rsidP="008C09D9">
            <w:pPr>
              <w:jc w:val="center"/>
              <w:rPr>
                <w:bCs/>
              </w:rPr>
            </w:pPr>
            <w:r w:rsidRPr="00C63860">
              <w:rPr>
                <w:bCs/>
              </w:rPr>
              <w:t>2.3</w:t>
            </w:r>
          </w:p>
          <w:p w14:paraId="5D4B80B0" w14:textId="77777777" w:rsidR="008C09D9" w:rsidRPr="00C63860" w:rsidRDefault="008C09D9" w:rsidP="008C09D9">
            <w:pPr>
              <w:jc w:val="center"/>
              <w:rPr>
                <w:bCs/>
              </w:rPr>
            </w:pPr>
            <w:r w:rsidRPr="00C63860">
              <w:rPr>
                <w:bCs/>
              </w:rPr>
              <w:t>97.0</w:t>
            </w:r>
          </w:p>
        </w:tc>
        <w:tc>
          <w:tcPr>
            <w:tcW w:w="0" w:type="auto"/>
            <w:shd w:val="clear" w:color="auto" w:fill="auto"/>
          </w:tcPr>
          <w:p w14:paraId="301B2435" w14:textId="77777777" w:rsidR="00C63860" w:rsidRPr="00C63860" w:rsidRDefault="00C63860" w:rsidP="008C09D9">
            <w:pPr>
              <w:jc w:val="center"/>
              <w:rPr>
                <w:bCs/>
              </w:rPr>
            </w:pPr>
          </w:p>
          <w:p w14:paraId="5DB9F6C6" w14:textId="77777777" w:rsidR="008C09D9" w:rsidRPr="00C63860" w:rsidRDefault="008C09D9" w:rsidP="008C09D9">
            <w:pPr>
              <w:jc w:val="center"/>
              <w:rPr>
                <w:bCs/>
              </w:rPr>
            </w:pPr>
            <w:r w:rsidRPr="00C63860">
              <w:rPr>
                <w:bCs/>
              </w:rPr>
              <w:t>0.0</w:t>
            </w:r>
          </w:p>
          <w:p w14:paraId="423CEF4F" w14:textId="77777777" w:rsidR="008C09D9" w:rsidRPr="00C63860" w:rsidRDefault="008C09D9" w:rsidP="008C09D9">
            <w:pPr>
              <w:jc w:val="center"/>
              <w:rPr>
                <w:bCs/>
              </w:rPr>
            </w:pPr>
            <w:r w:rsidRPr="00C63860">
              <w:rPr>
                <w:bCs/>
              </w:rPr>
              <w:t>5.1</w:t>
            </w:r>
          </w:p>
          <w:p w14:paraId="36B57A53" w14:textId="77777777" w:rsidR="008C09D9" w:rsidRPr="00C63860" w:rsidRDefault="008C09D9" w:rsidP="008C09D9">
            <w:pPr>
              <w:jc w:val="center"/>
              <w:rPr>
                <w:bCs/>
              </w:rPr>
            </w:pPr>
            <w:r w:rsidRPr="00C63860">
              <w:rPr>
                <w:bCs/>
              </w:rPr>
              <w:t>94.9</w:t>
            </w:r>
          </w:p>
        </w:tc>
        <w:tc>
          <w:tcPr>
            <w:tcW w:w="0" w:type="auto"/>
            <w:shd w:val="clear" w:color="auto" w:fill="auto"/>
          </w:tcPr>
          <w:p w14:paraId="1C48DC8C" w14:textId="77777777" w:rsidR="00C63860" w:rsidRPr="00C63860" w:rsidRDefault="00C63860" w:rsidP="008C09D9">
            <w:pPr>
              <w:jc w:val="center"/>
              <w:rPr>
                <w:bCs/>
              </w:rPr>
            </w:pPr>
          </w:p>
          <w:p w14:paraId="03901482" w14:textId="77777777" w:rsidR="008C09D9" w:rsidRPr="00C63860" w:rsidRDefault="008C09D9" w:rsidP="008C09D9">
            <w:pPr>
              <w:jc w:val="center"/>
              <w:rPr>
                <w:bCs/>
              </w:rPr>
            </w:pPr>
            <w:r w:rsidRPr="00C63860">
              <w:rPr>
                <w:bCs/>
              </w:rPr>
              <w:t>9.5</w:t>
            </w:r>
          </w:p>
          <w:p w14:paraId="496F7DB7" w14:textId="77777777" w:rsidR="008C09D9" w:rsidRPr="00C63860" w:rsidRDefault="008C09D9" w:rsidP="008C09D9">
            <w:pPr>
              <w:jc w:val="center"/>
              <w:rPr>
                <w:bCs/>
              </w:rPr>
            </w:pPr>
            <w:r w:rsidRPr="00C63860">
              <w:rPr>
                <w:bCs/>
              </w:rPr>
              <w:t>4.1</w:t>
            </w:r>
          </w:p>
          <w:p w14:paraId="5536C20D" w14:textId="77777777" w:rsidR="008C09D9" w:rsidRPr="00C63860" w:rsidRDefault="008C09D9" w:rsidP="008C09D9">
            <w:pPr>
              <w:jc w:val="center"/>
              <w:rPr>
                <w:bCs/>
              </w:rPr>
            </w:pPr>
            <w:r w:rsidRPr="00C63860">
              <w:rPr>
                <w:bCs/>
              </w:rPr>
              <w:t>86.3</w:t>
            </w:r>
          </w:p>
          <w:p w14:paraId="30BF4E21" w14:textId="77777777" w:rsidR="008C09D9" w:rsidRPr="00C63860" w:rsidRDefault="008C09D9" w:rsidP="008C09D9">
            <w:pPr>
              <w:jc w:val="center"/>
              <w:rPr>
                <w:bCs/>
              </w:rPr>
            </w:pPr>
          </w:p>
        </w:tc>
        <w:tc>
          <w:tcPr>
            <w:tcW w:w="0" w:type="auto"/>
            <w:shd w:val="clear" w:color="auto" w:fill="auto"/>
          </w:tcPr>
          <w:p w14:paraId="3241B1CA" w14:textId="77777777" w:rsidR="00C63860" w:rsidRPr="00C63860" w:rsidRDefault="00C63860" w:rsidP="008C09D9">
            <w:pPr>
              <w:jc w:val="center"/>
              <w:rPr>
                <w:bCs/>
              </w:rPr>
            </w:pPr>
          </w:p>
          <w:p w14:paraId="6ED5C0E4" w14:textId="77777777" w:rsidR="008C09D9" w:rsidRPr="00C63860" w:rsidRDefault="008C09D9" w:rsidP="008C09D9">
            <w:pPr>
              <w:jc w:val="center"/>
              <w:rPr>
                <w:bCs/>
              </w:rPr>
            </w:pPr>
            <w:r w:rsidRPr="00C63860">
              <w:rPr>
                <w:bCs/>
              </w:rPr>
              <w:t>100.0</w:t>
            </w:r>
          </w:p>
          <w:p w14:paraId="1955D288" w14:textId="77777777" w:rsidR="008C09D9" w:rsidRPr="00C63860" w:rsidRDefault="008C09D9" w:rsidP="008C09D9">
            <w:pPr>
              <w:jc w:val="center"/>
              <w:rPr>
                <w:bCs/>
              </w:rPr>
            </w:pPr>
            <w:r w:rsidRPr="00C63860">
              <w:rPr>
                <w:bCs/>
              </w:rPr>
              <w:t>0.0</w:t>
            </w:r>
          </w:p>
          <w:p w14:paraId="0C7A6DDF" w14:textId="77777777" w:rsidR="008C09D9" w:rsidRPr="00C63860" w:rsidRDefault="008C09D9" w:rsidP="008C09D9">
            <w:pPr>
              <w:jc w:val="center"/>
              <w:rPr>
                <w:bCs/>
              </w:rPr>
            </w:pPr>
            <w:r w:rsidRPr="00C63860">
              <w:rPr>
                <w:bCs/>
              </w:rPr>
              <w:t>0.0</w:t>
            </w:r>
          </w:p>
        </w:tc>
        <w:tc>
          <w:tcPr>
            <w:tcW w:w="0" w:type="auto"/>
            <w:shd w:val="clear" w:color="auto" w:fill="auto"/>
          </w:tcPr>
          <w:p w14:paraId="1D4E5E70" w14:textId="77777777" w:rsidR="00C63860" w:rsidRPr="00C63860" w:rsidRDefault="00C63860" w:rsidP="008C09D9">
            <w:pPr>
              <w:jc w:val="center"/>
              <w:rPr>
                <w:bCs/>
              </w:rPr>
            </w:pPr>
          </w:p>
          <w:p w14:paraId="0E964E92" w14:textId="77777777" w:rsidR="008C09D9" w:rsidRPr="00C63860" w:rsidRDefault="008C09D9" w:rsidP="008C09D9">
            <w:pPr>
              <w:jc w:val="center"/>
              <w:rPr>
                <w:bCs/>
              </w:rPr>
            </w:pPr>
            <w:r w:rsidRPr="00C63860">
              <w:rPr>
                <w:bCs/>
              </w:rPr>
              <w:t>0.5</w:t>
            </w:r>
          </w:p>
          <w:p w14:paraId="3750F501" w14:textId="77777777" w:rsidR="008C09D9" w:rsidRPr="00C63860" w:rsidRDefault="008C09D9" w:rsidP="008C09D9">
            <w:pPr>
              <w:jc w:val="center"/>
              <w:rPr>
                <w:bCs/>
              </w:rPr>
            </w:pPr>
            <w:r w:rsidRPr="00C63860">
              <w:rPr>
                <w:bCs/>
              </w:rPr>
              <w:t>0.1</w:t>
            </w:r>
          </w:p>
          <w:p w14:paraId="37D40985" w14:textId="77777777" w:rsidR="008C09D9" w:rsidRPr="00C63860" w:rsidRDefault="008C09D9" w:rsidP="008C09D9">
            <w:pPr>
              <w:jc w:val="center"/>
              <w:rPr>
                <w:bCs/>
              </w:rPr>
            </w:pPr>
            <w:r w:rsidRPr="00C63860">
              <w:rPr>
                <w:bCs/>
              </w:rPr>
              <w:t>99.4</w:t>
            </w:r>
          </w:p>
        </w:tc>
        <w:tc>
          <w:tcPr>
            <w:tcW w:w="0" w:type="auto"/>
            <w:shd w:val="clear" w:color="auto" w:fill="auto"/>
          </w:tcPr>
          <w:p w14:paraId="6289B02C" w14:textId="77777777" w:rsidR="00C63860" w:rsidRPr="00C63860" w:rsidRDefault="00C63860" w:rsidP="008C09D9">
            <w:pPr>
              <w:jc w:val="center"/>
              <w:rPr>
                <w:bCs/>
              </w:rPr>
            </w:pPr>
          </w:p>
          <w:p w14:paraId="6A34A81F" w14:textId="77777777" w:rsidR="008C09D9" w:rsidRPr="00C63860" w:rsidRDefault="008C09D9" w:rsidP="008C09D9">
            <w:pPr>
              <w:jc w:val="center"/>
              <w:rPr>
                <w:bCs/>
              </w:rPr>
            </w:pPr>
            <w:r w:rsidRPr="00C63860">
              <w:rPr>
                <w:bCs/>
              </w:rPr>
              <w:t>0.0</w:t>
            </w:r>
          </w:p>
          <w:p w14:paraId="0122981D" w14:textId="77777777" w:rsidR="008C09D9" w:rsidRPr="00C63860" w:rsidRDefault="008C09D9" w:rsidP="008C09D9">
            <w:pPr>
              <w:jc w:val="center"/>
              <w:rPr>
                <w:bCs/>
              </w:rPr>
            </w:pPr>
            <w:r w:rsidRPr="00C63860">
              <w:rPr>
                <w:bCs/>
              </w:rPr>
              <w:t>0.1</w:t>
            </w:r>
          </w:p>
          <w:p w14:paraId="273244C3" w14:textId="77777777" w:rsidR="008C09D9" w:rsidRPr="00C63860" w:rsidRDefault="008C09D9" w:rsidP="008C09D9">
            <w:pPr>
              <w:jc w:val="center"/>
              <w:rPr>
                <w:bCs/>
              </w:rPr>
            </w:pPr>
            <w:r w:rsidRPr="00C63860">
              <w:rPr>
                <w:bCs/>
              </w:rPr>
              <w:t>99.9</w:t>
            </w:r>
          </w:p>
          <w:p w14:paraId="4E84B778" w14:textId="77777777" w:rsidR="008C09D9" w:rsidRPr="00C63860" w:rsidRDefault="008C09D9" w:rsidP="008C09D9">
            <w:pPr>
              <w:jc w:val="center"/>
              <w:rPr>
                <w:bCs/>
              </w:rPr>
            </w:pPr>
          </w:p>
        </w:tc>
        <w:tc>
          <w:tcPr>
            <w:tcW w:w="0" w:type="auto"/>
            <w:shd w:val="clear" w:color="auto" w:fill="auto"/>
          </w:tcPr>
          <w:p w14:paraId="57387EBF" w14:textId="77777777" w:rsidR="00C63860" w:rsidRPr="00C63860" w:rsidRDefault="00C63860" w:rsidP="008C09D9">
            <w:pPr>
              <w:jc w:val="center"/>
              <w:rPr>
                <w:bCs/>
              </w:rPr>
            </w:pPr>
          </w:p>
          <w:p w14:paraId="051D61FE" w14:textId="77777777" w:rsidR="008C09D9" w:rsidRPr="00C63860" w:rsidRDefault="008C09D9" w:rsidP="008C09D9">
            <w:pPr>
              <w:jc w:val="center"/>
              <w:rPr>
                <w:bCs/>
              </w:rPr>
            </w:pPr>
            <w:r w:rsidRPr="00C63860">
              <w:rPr>
                <w:bCs/>
              </w:rPr>
              <w:t>0.6</w:t>
            </w:r>
          </w:p>
          <w:p w14:paraId="534508EA" w14:textId="77777777" w:rsidR="008C09D9" w:rsidRPr="00C63860" w:rsidRDefault="008C09D9" w:rsidP="008C09D9">
            <w:pPr>
              <w:jc w:val="center"/>
              <w:rPr>
                <w:bCs/>
              </w:rPr>
            </w:pPr>
            <w:r w:rsidRPr="00C63860">
              <w:rPr>
                <w:bCs/>
              </w:rPr>
              <w:t>0.2</w:t>
            </w:r>
          </w:p>
          <w:p w14:paraId="1A73E954" w14:textId="77777777" w:rsidR="008C09D9" w:rsidRPr="00C63860" w:rsidRDefault="008C09D9" w:rsidP="008C09D9">
            <w:pPr>
              <w:jc w:val="center"/>
              <w:rPr>
                <w:bCs/>
              </w:rPr>
            </w:pPr>
            <w:r w:rsidRPr="00C63860">
              <w:rPr>
                <w:bCs/>
              </w:rPr>
              <w:t>99.2</w:t>
            </w:r>
          </w:p>
        </w:tc>
        <w:tc>
          <w:tcPr>
            <w:tcW w:w="0" w:type="auto"/>
            <w:shd w:val="clear" w:color="auto" w:fill="auto"/>
          </w:tcPr>
          <w:p w14:paraId="2D633B68" w14:textId="77777777" w:rsidR="00C63860" w:rsidRPr="00C63860" w:rsidRDefault="00C63860" w:rsidP="008C09D9">
            <w:pPr>
              <w:jc w:val="center"/>
              <w:rPr>
                <w:bCs/>
              </w:rPr>
            </w:pPr>
          </w:p>
          <w:p w14:paraId="2972DEBF" w14:textId="77777777" w:rsidR="008C09D9" w:rsidRPr="00C63860" w:rsidRDefault="008C09D9" w:rsidP="008C09D9">
            <w:pPr>
              <w:jc w:val="center"/>
              <w:rPr>
                <w:bCs/>
              </w:rPr>
            </w:pPr>
            <w:r w:rsidRPr="00C63860">
              <w:rPr>
                <w:bCs/>
              </w:rPr>
              <w:t>100.0</w:t>
            </w:r>
          </w:p>
          <w:p w14:paraId="36D8036E" w14:textId="77777777" w:rsidR="008C09D9" w:rsidRPr="00C63860" w:rsidRDefault="008C09D9" w:rsidP="008C09D9">
            <w:pPr>
              <w:jc w:val="center"/>
              <w:rPr>
                <w:bCs/>
              </w:rPr>
            </w:pPr>
            <w:r w:rsidRPr="00C63860">
              <w:rPr>
                <w:bCs/>
              </w:rPr>
              <w:t>0.0</w:t>
            </w:r>
          </w:p>
          <w:p w14:paraId="180855BA" w14:textId="77777777" w:rsidR="008C09D9" w:rsidRPr="00C63860" w:rsidRDefault="008C09D9" w:rsidP="008C09D9">
            <w:pPr>
              <w:jc w:val="center"/>
              <w:rPr>
                <w:bCs/>
              </w:rPr>
            </w:pPr>
            <w:r w:rsidRPr="00C63860">
              <w:rPr>
                <w:bCs/>
              </w:rPr>
              <w:t>0.0</w:t>
            </w:r>
          </w:p>
        </w:tc>
        <w:tc>
          <w:tcPr>
            <w:tcW w:w="0" w:type="auto"/>
            <w:shd w:val="clear" w:color="auto" w:fill="auto"/>
          </w:tcPr>
          <w:p w14:paraId="52EACC56" w14:textId="77777777" w:rsidR="00C63860" w:rsidRPr="00C63860" w:rsidRDefault="00C63860" w:rsidP="008C09D9">
            <w:pPr>
              <w:jc w:val="center"/>
              <w:rPr>
                <w:bCs/>
              </w:rPr>
            </w:pPr>
          </w:p>
          <w:p w14:paraId="347E0527" w14:textId="77777777" w:rsidR="008C09D9" w:rsidRPr="00C63860" w:rsidRDefault="008C09D9" w:rsidP="008C09D9">
            <w:pPr>
              <w:jc w:val="center"/>
              <w:rPr>
                <w:bCs/>
              </w:rPr>
            </w:pPr>
            <w:r w:rsidRPr="00C63860">
              <w:rPr>
                <w:bCs/>
              </w:rPr>
              <w:t>0.7</w:t>
            </w:r>
          </w:p>
          <w:p w14:paraId="61987F69" w14:textId="77777777" w:rsidR="008C09D9" w:rsidRPr="00C63860" w:rsidRDefault="008C09D9" w:rsidP="008C09D9">
            <w:pPr>
              <w:jc w:val="center"/>
              <w:rPr>
                <w:bCs/>
              </w:rPr>
            </w:pPr>
            <w:r w:rsidRPr="00C63860">
              <w:rPr>
                <w:bCs/>
              </w:rPr>
              <w:t>0.2</w:t>
            </w:r>
          </w:p>
          <w:p w14:paraId="325CBB9B" w14:textId="77777777" w:rsidR="008C09D9" w:rsidRPr="00C63860" w:rsidRDefault="008C09D9" w:rsidP="008C09D9">
            <w:pPr>
              <w:jc w:val="center"/>
              <w:rPr>
                <w:bCs/>
              </w:rPr>
            </w:pPr>
            <w:r w:rsidRPr="00C63860">
              <w:rPr>
                <w:bCs/>
              </w:rPr>
              <w:t>99.1</w:t>
            </w:r>
          </w:p>
        </w:tc>
        <w:tc>
          <w:tcPr>
            <w:tcW w:w="0" w:type="auto"/>
            <w:shd w:val="clear" w:color="auto" w:fill="auto"/>
          </w:tcPr>
          <w:p w14:paraId="14ADEAFE" w14:textId="77777777" w:rsidR="00C63860" w:rsidRPr="00C63860" w:rsidRDefault="00C63860" w:rsidP="008C09D9">
            <w:pPr>
              <w:jc w:val="center"/>
              <w:rPr>
                <w:bCs/>
              </w:rPr>
            </w:pPr>
          </w:p>
          <w:p w14:paraId="7DA4AF9E" w14:textId="77777777" w:rsidR="008C09D9" w:rsidRPr="00C63860" w:rsidRDefault="008C09D9" w:rsidP="008C09D9">
            <w:pPr>
              <w:jc w:val="center"/>
              <w:rPr>
                <w:bCs/>
              </w:rPr>
            </w:pPr>
            <w:r w:rsidRPr="00C63860">
              <w:rPr>
                <w:bCs/>
              </w:rPr>
              <w:t>0.0</w:t>
            </w:r>
          </w:p>
          <w:p w14:paraId="31F22A59" w14:textId="77777777" w:rsidR="008C09D9" w:rsidRPr="00C63860" w:rsidRDefault="008C09D9" w:rsidP="008C09D9">
            <w:pPr>
              <w:jc w:val="center"/>
              <w:rPr>
                <w:bCs/>
              </w:rPr>
            </w:pPr>
            <w:r w:rsidRPr="00C63860">
              <w:rPr>
                <w:bCs/>
              </w:rPr>
              <w:t>12.9</w:t>
            </w:r>
          </w:p>
          <w:p w14:paraId="324F6C2E" w14:textId="77777777" w:rsidR="008C09D9" w:rsidRPr="00C63860" w:rsidRDefault="008C09D9" w:rsidP="008C09D9">
            <w:pPr>
              <w:jc w:val="center"/>
              <w:rPr>
                <w:bCs/>
              </w:rPr>
            </w:pPr>
            <w:r w:rsidRPr="00C63860">
              <w:rPr>
                <w:bCs/>
              </w:rPr>
              <w:t>87.1</w:t>
            </w:r>
          </w:p>
          <w:p w14:paraId="2BF5DE01" w14:textId="77777777" w:rsidR="008C09D9" w:rsidRPr="00C63860" w:rsidRDefault="008C09D9" w:rsidP="008C09D9">
            <w:pPr>
              <w:jc w:val="center"/>
              <w:rPr>
                <w:bCs/>
              </w:rPr>
            </w:pPr>
          </w:p>
        </w:tc>
        <w:tc>
          <w:tcPr>
            <w:tcW w:w="0" w:type="auto"/>
            <w:shd w:val="clear" w:color="auto" w:fill="auto"/>
          </w:tcPr>
          <w:p w14:paraId="6F1CCD64" w14:textId="77777777" w:rsidR="00C63860" w:rsidRPr="00C63860" w:rsidRDefault="00C63860" w:rsidP="008C09D9">
            <w:pPr>
              <w:jc w:val="center"/>
              <w:rPr>
                <w:bCs/>
              </w:rPr>
            </w:pPr>
          </w:p>
          <w:p w14:paraId="135CEB1A" w14:textId="77777777" w:rsidR="008C09D9" w:rsidRPr="00C63860" w:rsidRDefault="008C09D9" w:rsidP="008C09D9">
            <w:pPr>
              <w:jc w:val="center"/>
              <w:rPr>
                <w:bCs/>
              </w:rPr>
            </w:pPr>
            <w:r w:rsidRPr="00C63860">
              <w:rPr>
                <w:bCs/>
              </w:rPr>
              <w:t>16.5</w:t>
            </w:r>
          </w:p>
          <w:p w14:paraId="6EB40F39" w14:textId="77777777" w:rsidR="008C09D9" w:rsidRPr="00C63860" w:rsidRDefault="008C09D9" w:rsidP="008C09D9">
            <w:pPr>
              <w:jc w:val="center"/>
              <w:rPr>
                <w:bCs/>
              </w:rPr>
            </w:pPr>
            <w:r w:rsidRPr="00C63860">
              <w:rPr>
                <w:bCs/>
              </w:rPr>
              <w:t>0.1</w:t>
            </w:r>
          </w:p>
          <w:p w14:paraId="0CB8E230" w14:textId="77777777" w:rsidR="008C09D9" w:rsidRPr="00C63860" w:rsidRDefault="008C09D9" w:rsidP="008C09D9">
            <w:pPr>
              <w:jc w:val="center"/>
              <w:rPr>
                <w:bCs/>
              </w:rPr>
            </w:pPr>
            <w:r w:rsidRPr="00C63860">
              <w:rPr>
                <w:bCs/>
              </w:rPr>
              <w:t>83.4</w:t>
            </w:r>
          </w:p>
        </w:tc>
        <w:tc>
          <w:tcPr>
            <w:tcW w:w="0" w:type="auto"/>
            <w:shd w:val="clear" w:color="auto" w:fill="auto"/>
          </w:tcPr>
          <w:p w14:paraId="3F005B3B" w14:textId="77777777" w:rsidR="00C63860" w:rsidRPr="00C63860" w:rsidRDefault="00C63860" w:rsidP="008C09D9">
            <w:pPr>
              <w:jc w:val="center"/>
              <w:rPr>
                <w:bCs/>
              </w:rPr>
            </w:pPr>
          </w:p>
          <w:p w14:paraId="792DB804" w14:textId="77777777" w:rsidR="008C09D9" w:rsidRPr="00C63860" w:rsidRDefault="008C09D9" w:rsidP="008C09D9">
            <w:pPr>
              <w:jc w:val="center"/>
              <w:rPr>
                <w:bCs/>
              </w:rPr>
            </w:pPr>
            <w:r w:rsidRPr="00C63860">
              <w:rPr>
                <w:bCs/>
              </w:rPr>
              <w:t>100.0</w:t>
            </w:r>
          </w:p>
          <w:p w14:paraId="69F96298" w14:textId="77777777" w:rsidR="008C09D9" w:rsidRPr="00C63860" w:rsidRDefault="008C09D9" w:rsidP="008C09D9">
            <w:pPr>
              <w:jc w:val="center"/>
              <w:rPr>
                <w:bCs/>
              </w:rPr>
            </w:pPr>
            <w:r w:rsidRPr="00C63860">
              <w:rPr>
                <w:bCs/>
              </w:rPr>
              <w:t>0.0</w:t>
            </w:r>
          </w:p>
          <w:p w14:paraId="1F485CC7" w14:textId="77777777" w:rsidR="008C09D9" w:rsidRPr="00C63860" w:rsidRDefault="008C09D9" w:rsidP="008C09D9">
            <w:pPr>
              <w:jc w:val="center"/>
              <w:rPr>
                <w:bCs/>
              </w:rPr>
            </w:pPr>
            <w:r w:rsidRPr="00C63860">
              <w:rPr>
                <w:bCs/>
              </w:rPr>
              <w:t>0.0</w:t>
            </w:r>
          </w:p>
        </w:tc>
        <w:tc>
          <w:tcPr>
            <w:tcW w:w="0" w:type="auto"/>
            <w:shd w:val="clear" w:color="auto" w:fill="auto"/>
          </w:tcPr>
          <w:p w14:paraId="0BB8C17A" w14:textId="77777777" w:rsidR="00C63860" w:rsidRPr="00C63860" w:rsidRDefault="00C63860" w:rsidP="008C09D9">
            <w:pPr>
              <w:jc w:val="center"/>
              <w:rPr>
                <w:bCs/>
              </w:rPr>
            </w:pPr>
          </w:p>
          <w:p w14:paraId="0E3C1624" w14:textId="77777777" w:rsidR="008C09D9" w:rsidRPr="00C63860" w:rsidRDefault="008C09D9" w:rsidP="008C09D9">
            <w:pPr>
              <w:jc w:val="center"/>
              <w:rPr>
                <w:bCs/>
              </w:rPr>
            </w:pPr>
            <w:r w:rsidRPr="00C63860">
              <w:rPr>
                <w:bCs/>
              </w:rPr>
              <w:t>2.2</w:t>
            </w:r>
          </w:p>
          <w:p w14:paraId="322A2325" w14:textId="77777777" w:rsidR="008C09D9" w:rsidRPr="00C63860" w:rsidRDefault="008C09D9" w:rsidP="008C09D9">
            <w:pPr>
              <w:jc w:val="center"/>
              <w:rPr>
                <w:bCs/>
              </w:rPr>
            </w:pPr>
            <w:r w:rsidRPr="00C63860">
              <w:rPr>
                <w:bCs/>
              </w:rPr>
              <w:t>0.1</w:t>
            </w:r>
          </w:p>
          <w:p w14:paraId="15930189" w14:textId="77777777" w:rsidR="008C09D9" w:rsidRPr="00C63860" w:rsidRDefault="008C09D9" w:rsidP="008C09D9">
            <w:pPr>
              <w:jc w:val="center"/>
              <w:rPr>
                <w:bCs/>
              </w:rPr>
            </w:pPr>
            <w:r w:rsidRPr="00C63860">
              <w:rPr>
                <w:bCs/>
              </w:rPr>
              <w:t>97.7</w:t>
            </w:r>
          </w:p>
        </w:tc>
        <w:tc>
          <w:tcPr>
            <w:tcW w:w="0" w:type="auto"/>
            <w:shd w:val="clear" w:color="auto" w:fill="auto"/>
          </w:tcPr>
          <w:p w14:paraId="49E30D08" w14:textId="77777777" w:rsidR="00C63860" w:rsidRPr="00C63860" w:rsidRDefault="00C63860" w:rsidP="008C09D9">
            <w:pPr>
              <w:jc w:val="center"/>
              <w:rPr>
                <w:bCs/>
              </w:rPr>
            </w:pPr>
          </w:p>
          <w:p w14:paraId="4611309E" w14:textId="77777777" w:rsidR="008C09D9" w:rsidRPr="00C63860" w:rsidRDefault="008C09D9" w:rsidP="008C09D9">
            <w:pPr>
              <w:jc w:val="center"/>
              <w:rPr>
                <w:bCs/>
              </w:rPr>
            </w:pPr>
            <w:r w:rsidRPr="00C63860">
              <w:rPr>
                <w:bCs/>
              </w:rPr>
              <w:t>0.0</w:t>
            </w:r>
          </w:p>
          <w:p w14:paraId="1C8306C0" w14:textId="77777777" w:rsidR="008C09D9" w:rsidRPr="00C63860" w:rsidRDefault="008C09D9" w:rsidP="008C09D9">
            <w:pPr>
              <w:jc w:val="center"/>
              <w:rPr>
                <w:bCs/>
              </w:rPr>
            </w:pPr>
            <w:r w:rsidRPr="00C63860">
              <w:rPr>
                <w:bCs/>
              </w:rPr>
              <w:t>7.4</w:t>
            </w:r>
          </w:p>
          <w:p w14:paraId="69A6B60F" w14:textId="77777777" w:rsidR="008C09D9" w:rsidRPr="00C63860" w:rsidRDefault="008C09D9" w:rsidP="008C09D9">
            <w:pPr>
              <w:jc w:val="center"/>
              <w:rPr>
                <w:bCs/>
              </w:rPr>
            </w:pPr>
            <w:r w:rsidRPr="00C63860">
              <w:rPr>
                <w:bCs/>
              </w:rPr>
              <w:t>92.6</w:t>
            </w:r>
          </w:p>
        </w:tc>
        <w:tc>
          <w:tcPr>
            <w:tcW w:w="0" w:type="auto"/>
            <w:shd w:val="clear" w:color="auto" w:fill="auto"/>
          </w:tcPr>
          <w:p w14:paraId="2677D016" w14:textId="77777777" w:rsidR="00C63860" w:rsidRPr="00C63860" w:rsidRDefault="00C63860" w:rsidP="008C09D9">
            <w:pPr>
              <w:jc w:val="center"/>
              <w:rPr>
                <w:bCs/>
              </w:rPr>
            </w:pPr>
          </w:p>
          <w:p w14:paraId="32E7D7E2" w14:textId="77777777" w:rsidR="008C09D9" w:rsidRPr="00C63860" w:rsidRDefault="008C09D9" w:rsidP="008C09D9">
            <w:pPr>
              <w:jc w:val="center"/>
              <w:rPr>
                <w:bCs/>
              </w:rPr>
            </w:pPr>
            <w:r w:rsidRPr="00C63860">
              <w:rPr>
                <w:bCs/>
              </w:rPr>
              <w:t>5.6</w:t>
            </w:r>
          </w:p>
          <w:p w14:paraId="0351BE1D" w14:textId="77777777" w:rsidR="008C09D9" w:rsidRPr="00C63860" w:rsidRDefault="008C09D9" w:rsidP="008C09D9">
            <w:pPr>
              <w:jc w:val="center"/>
              <w:rPr>
                <w:bCs/>
              </w:rPr>
            </w:pPr>
            <w:r w:rsidRPr="00C63860">
              <w:rPr>
                <w:bCs/>
              </w:rPr>
              <w:t>0.1</w:t>
            </w:r>
          </w:p>
          <w:p w14:paraId="71F71D2C" w14:textId="77777777" w:rsidR="008C09D9" w:rsidRPr="00C63860" w:rsidRDefault="008C09D9" w:rsidP="008C09D9">
            <w:pPr>
              <w:jc w:val="center"/>
              <w:rPr>
                <w:bCs/>
              </w:rPr>
            </w:pPr>
            <w:r w:rsidRPr="00C63860">
              <w:rPr>
                <w:bCs/>
              </w:rPr>
              <w:t>94.3</w:t>
            </w:r>
          </w:p>
        </w:tc>
      </w:tr>
      <w:tr w:rsidR="00C15B66" w:rsidRPr="00C63860" w14:paraId="3976C030" w14:textId="77777777" w:rsidTr="00C63860">
        <w:trPr>
          <w:cantSplit/>
        </w:trPr>
        <w:tc>
          <w:tcPr>
            <w:tcW w:w="0" w:type="auto"/>
            <w:shd w:val="clear" w:color="auto" w:fill="auto"/>
          </w:tcPr>
          <w:p w14:paraId="62E279D7" w14:textId="77777777" w:rsidR="00C63860" w:rsidRPr="00C63860" w:rsidRDefault="008C09D9" w:rsidP="008C09D9">
            <w:pPr>
              <w:rPr>
                <w:b/>
                <w:lang w:val="es-ES"/>
              </w:rPr>
            </w:pPr>
            <w:r w:rsidRPr="00C63860">
              <w:rPr>
                <w:b/>
                <w:lang w:val="es-ES"/>
              </w:rPr>
              <w:t>Interventional radiology (IR</w:t>
            </w:r>
            <w:r w:rsidRPr="00C63860">
              <w:rPr>
                <w:b/>
                <w:bCs/>
                <w:lang w:val="es-ES"/>
              </w:rPr>
              <w:t>):</w:t>
            </w:r>
            <w:r w:rsidR="00C63860" w:rsidRPr="00C63860">
              <w:rPr>
                <w:b/>
                <w:bCs/>
                <w:color w:val="00B0F0"/>
                <w:lang w:val="es-ES"/>
              </w:rPr>
              <w:t>%</w:t>
            </w:r>
          </w:p>
          <w:p w14:paraId="4EB70479" w14:textId="77777777" w:rsidR="00C63860" w:rsidRPr="00C63860" w:rsidRDefault="008C09D9" w:rsidP="008C09D9">
            <w:pPr>
              <w:rPr>
                <w:lang w:val="es-ES"/>
              </w:rPr>
            </w:pPr>
            <w:r w:rsidRPr="00C63860">
              <w:rPr>
                <w:lang w:val="es-ES"/>
              </w:rPr>
              <w:t>Abdominal IR</w:t>
            </w:r>
          </w:p>
          <w:p w14:paraId="0E706444" w14:textId="25692B83" w:rsidR="00C63860" w:rsidRPr="00C63860" w:rsidRDefault="008C09D9" w:rsidP="008C09D9">
            <w:pPr>
              <w:rPr>
                <w:lang w:val="es-ES"/>
              </w:rPr>
            </w:pPr>
            <w:r w:rsidRPr="00C63860">
              <w:rPr>
                <w:lang w:val="es-ES"/>
              </w:rPr>
              <w:t>No IR</w:t>
            </w:r>
          </w:p>
          <w:p w14:paraId="6964F517" w14:textId="66275839" w:rsidR="008C09D9" w:rsidRPr="00C63860" w:rsidRDefault="008C09D9" w:rsidP="008C09D9">
            <w:pPr>
              <w:rPr>
                <w:lang w:val="es-ES"/>
              </w:rPr>
            </w:pPr>
          </w:p>
        </w:tc>
        <w:tc>
          <w:tcPr>
            <w:tcW w:w="0" w:type="auto"/>
            <w:shd w:val="clear" w:color="auto" w:fill="auto"/>
          </w:tcPr>
          <w:p w14:paraId="5D76B036" w14:textId="77777777" w:rsidR="00C63860" w:rsidRPr="00C63860" w:rsidRDefault="00C63860" w:rsidP="008C09D9">
            <w:pPr>
              <w:jc w:val="center"/>
              <w:rPr>
                <w:lang w:val="es-ES"/>
              </w:rPr>
            </w:pPr>
          </w:p>
          <w:p w14:paraId="61B418E0" w14:textId="77777777" w:rsidR="008C09D9" w:rsidRPr="00C63860" w:rsidRDefault="008C09D9" w:rsidP="008C09D9">
            <w:pPr>
              <w:jc w:val="center"/>
              <w:rPr>
                <w:bCs/>
              </w:rPr>
            </w:pPr>
            <w:r w:rsidRPr="00C63860">
              <w:rPr>
                <w:bCs/>
              </w:rPr>
              <w:t>0.2</w:t>
            </w:r>
          </w:p>
          <w:p w14:paraId="552B3964" w14:textId="77777777" w:rsidR="008C09D9" w:rsidRPr="00C63860" w:rsidRDefault="008C09D9" w:rsidP="008C09D9">
            <w:pPr>
              <w:jc w:val="center"/>
              <w:rPr>
                <w:bCs/>
              </w:rPr>
            </w:pPr>
            <w:r w:rsidRPr="00C63860">
              <w:rPr>
                <w:bCs/>
              </w:rPr>
              <w:t>99.8</w:t>
            </w:r>
          </w:p>
        </w:tc>
        <w:tc>
          <w:tcPr>
            <w:tcW w:w="0" w:type="auto"/>
            <w:shd w:val="clear" w:color="auto" w:fill="auto"/>
          </w:tcPr>
          <w:p w14:paraId="2D52E7C0" w14:textId="77777777" w:rsidR="00C63860" w:rsidRPr="00C63860" w:rsidRDefault="00C63860" w:rsidP="008C09D9">
            <w:pPr>
              <w:jc w:val="center"/>
              <w:rPr>
                <w:bCs/>
              </w:rPr>
            </w:pPr>
          </w:p>
          <w:p w14:paraId="1E199FC5" w14:textId="77777777" w:rsidR="008C09D9" w:rsidRPr="00C63860" w:rsidRDefault="008C09D9" w:rsidP="008C09D9">
            <w:pPr>
              <w:jc w:val="center"/>
              <w:rPr>
                <w:bCs/>
              </w:rPr>
            </w:pPr>
            <w:r w:rsidRPr="00C63860">
              <w:rPr>
                <w:bCs/>
              </w:rPr>
              <w:t>0.4</w:t>
            </w:r>
          </w:p>
          <w:p w14:paraId="581314B1" w14:textId="77777777" w:rsidR="008C09D9" w:rsidRPr="00C63860" w:rsidRDefault="008C09D9" w:rsidP="008C09D9">
            <w:pPr>
              <w:jc w:val="center"/>
              <w:rPr>
                <w:bCs/>
              </w:rPr>
            </w:pPr>
            <w:r w:rsidRPr="00C63860">
              <w:rPr>
                <w:bCs/>
              </w:rPr>
              <w:t>99.6</w:t>
            </w:r>
          </w:p>
        </w:tc>
        <w:tc>
          <w:tcPr>
            <w:tcW w:w="0" w:type="auto"/>
            <w:shd w:val="clear" w:color="auto" w:fill="auto"/>
          </w:tcPr>
          <w:p w14:paraId="60918C50" w14:textId="77777777" w:rsidR="00C63860" w:rsidRPr="00C63860" w:rsidRDefault="00C63860" w:rsidP="008C09D9">
            <w:pPr>
              <w:jc w:val="center"/>
              <w:rPr>
                <w:bCs/>
              </w:rPr>
            </w:pPr>
          </w:p>
          <w:p w14:paraId="6198D2AC" w14:textId="77777777" w:rsidR="008C09D9" w:rsidRPr="00C63860" w:rsidRDefault="008C09D9" w:rsidP="008C09D9">
            <w:pPr>
              <w:jc w:val="center"/>
              <w:rPr>
                <w:bCs/>
              </w:rPr>
            </w:pPr>
            <w:r w:rsidRPr="00C63860">
              <w:rPr>
                <w:bCs/>
              </w:rPr>
              <w:t>0.9</w:t>
            </w:r>
          </w:p>
          <w:p w14:paraId="3ED708E5" w14:textId="77777777" w:rsidR="008C09D9" w:rsidRPr="00C63860" w:rsidRDefault="008C09D9" w:rsidP="008C09D9">
            <w:pPr>
              <w:jc w:val="center"/>
              <w:rPr>
                <w:bCs/>
              </w:rPr>
            </w:pPr>
            <w:r w:rsidRPr="00C63860">
              <w:rPr>
                <w:bCs/>
              </w:rPr>
              <w:t>99.1</w:t>
            </w:r>
          </w:p>
        </w:tc>
        <w:tc>
          <w:tcPr>
            <w:tcW w:w="0" w:type="auto"/>
            <w:shd w:val="clear" w:color="auto" w:fill="auto"/>
          </w:tcPr>
          <w:p w14:paraId="4AC0B18D" w14:textId="77777777" w:rsidR="00C63860" w:rsidRPr="00C63860" w:rsidRDefault="00C63860" w:rsidP="008C09D9">
            <w:pPr>
              <w:jc w:val="center"/>
              <w:rPr>
                <w:bCs/>
              </w:rPr>
            </w:pPr>
          </w:p>
          <w:p w14:paraId="3F7979F3" w14:textId="77777777" w:rsidR="008C09D9" w:rsidRPr="00C63860" w:rsidRDefault="008C09D9" w:rsidP="008C09D9">
            <w:pPr>
              <w:jc w:val="center"/>
              <w:rPr>
                <w:bCs/>
              </w:rPr>
            </w:pPr>
            <w:r w:rsidRPr="00C63860">
              <w:rPr>
                <w:bCs/>
              </w:rPr>
              <w:t>0.5</w:t>
            </w:r>
          </w:p>
          <w:p w14:paraId="32484003" w14:textId="77777777" w:rsidR="008C09D9" w:rsidRPr="00C63860" w:rsidRDefault="008C09D9" w:rsidP="008C09D9">
            <w:pPr>
              <w:jc w:val="center"/>
              <w:rPr>
                <w:bCs/>
              </w:rPr>
            </w:pPr>
            <w:r w:rsidRPr="00C63860">
              <w:rPr>
                <w:bCs/>
              </w:rPr>
              <w:t>99.5</w:t>
            </w:r>
          </w:p>
        </w:tc>
        <w:tc>
          <w:tcPr>
            <w:tcW w:w="0" w:type="auto"/>
            <w:shd w:val="clear" w:color="auto" w:fill="auto"/>
          </w:tcPr>
          <w:p w14:paraId="5D685BEB" w14:textId="77777777" w:rsidR="00C63860" w:rsidRPr="00C63860" w:rsidRDefault="00C63860" w:rsidP="008C09D9">
            <w:pPr>
              <w:jc w:val="center"/>
              <w:rPr>
                <w:bCs/>
              </w:rPr>
            </w:pPr>
          </w:p>
          <w:p w14:paraId="695C9BD7" w14:textId="77777777" w:rsidR="008C09D9" w:rsidRPr="00C63860" w:rsidRDefault="008C09D9" w:rsidP="008C09D9">
            <w:pPr>
              <w:jc w:val="center"/>
              <w:rPr>
                <w:bCs/>
              </w:rPr>
            </w:pPr>
            <w:r w:rsidRPr="00C63860">
              <w:rPr>
                <w:bCs/>
              </w:rPr>
              <w:t>0.4</w:t>
            </w:r>
          </w:p>
          <w:p w14:paraId="20D36824" w14:textId="77777777" w:rsidR="008C09D9" w:rsidRPr="00C63860" w:rsidRDefault="008C09D9" w:rsidP="008C09D9">
            <w:pPr>
              <w:jc w:val="center"/>
              <w:rPr>
                <w:bCs/>
              </w:rPr>
            </w:pPr>
            <w:r w:rsidRPr="00C63860">
              <w:rPr>
                <w:bCs/>
              </w:rPr>
              <w:t>99.6</w:t>
            </w:r>
          </w:p>
        </w:tc>
        <w:tc>
          <w:tcPr>
            <w:tcW w:w="0" w:type="auto"/>
            <w:shd w:val="clear" w:color="auto" w:fill="auto"/>
          </w:tcPr>
          <w:p w14:paraId="079B1D37" w14:textId="77777777" w:rsidR="00C63860" w:rsidRPr="00C63860" w:rsidRDefault="00C63860" w:rsidP="008C09D9">
            <w:pPr>
              <w:jc w:val="center"/>
              <w:rPr>
                <w:bCs/>
              </w:rPr>
            </w:pPr>
          </w:p>
          <w:p w14:paraId="1A1F43CB" w14:textId="77777777" w:rsidR="008C09D9" w:rsidRPr="00C63860" w:rsidRDefault="008C09D9" w:rsidP="008C09D9">
            <w:pPr>
              <w:jc w:val="center"/>
              <w:rPr>
                <w:bCs/>
              </w:rPr>
            </w:pPr>
            <w:r w:rsidRPr="00C63860">
              <w:rPr>
                <w:bCs/>
              </w:rPr>
              <w:t>0.8</w:t>
            </w:r>
          </w:p>
          <w:p w14:paraId="3C7895B1" w14:textId="77777777" w:rsidR="008C09D9" w:rsidRPr="00C63860" w:rsidRDefault="008C09D9" w:rsidP="008C09D9">
            <w:pPr>
              <w:jc w:val="center"/>
              <w:rPr>
                <w:bCs/>
              </w:rPr>
            </w:pPr>
            <w:r w:rsidRPr="00C63860">
              <w:rPr>
                <w:bCs/>
              </w:rPr>
              <w:t>99.2</w:t>
            </w:r>
          </w:p>
        </w:tc>
        <w:tc>
          <w:tcPr>
            <w:tcW w:w="0" w:type="auto"/>
            <w:shd w:val="clear" w:color="auto" w:fill="auto"/>
          </w:tcPr>
          <w:p w14:paraId="64BC8E76" w14:textId="77777777" w:rsidR="00C63860" w:rsidRPr="00C63860" w:rsidRDefault="00C63860" w:rsidP="008C09D9">
            <w:pPr>
              <w:jc w:val="center"/>
              <w:rPr>
                <w:bCs/>
              </w:rPr>
            </w:pPr>
          </w:p>
          <w:p w14:paraId="2712A7F4" w14:textId="77777777" w:rsidR="008C09D9" w:rsidRPr="00C63860" w:rsidRDefault="008C09D9" w:rsidP="008C09D9">
            <w:pPr>
              <w:jc w:val="center"/>
              <w:rPr>
                <w:bCs/>
              </w:rPr>
            </w:pPr>
            <w:r w:rsidRPr="00C63860">
              <w:rPr>
                <w:bCs/>
              </w:rPr>
              <w:t>0.2</w:t>
            </w:r>
          </w:p>
          <w:p w14:paraId="11C1F929" w14:textId="77777777" w:rsidR="008C09D9" w:rsidRPr="00C63860" w:rsidRDefault="008C09D9" w:rsidP="008C09D9">
            <w:pPr>
              <w:jc w:val="center"/>
              <w:rPr>
                <w:bCs/>
              </w:rPr>
            </w:pPr>
            <w:r w:rsidRPr="00C63860">
              <w:rPr>
                <w:bCs/>
              </w:rPr>
              <w:t>99.8</w:t>
            </w:r>
          </w:p>
        </w:tc>
        <w:tc>
          <w:tcPr>
            <w:tcW w:w="0" w:type="auto"/>
            <w:shd w:val="clear" w:color="auto" w:fill="auto"/>
          </w:tcPr>
          <w:p w14:paraId="30B229A6" w14:textId="77777777" w:rsidR="00C63860" w:rsidRPr="00C63860" w:rsidRDefault="00C63860" w:rsidP="008C09D9">
            <w:pPr>
              <w:jc w:val="center"/>
              <w:rPr>
                <w:bCs/>
              </w:rPr>
            </w:pPr>
          </w:p>
          <w:p w14:paraId="6972525B" w14:textId="77777777" w:rsidR="008C09D9" w:rsidRPr="00C63860" w:rsidRDefault="008C09D9" w:rsidP="008C09D9">
            <w:pPr>
              <w:jc w:val="center"/>
              <w:rPr>
                <w:bCs/>
              </w:rPr>
            </w:pPr>
            <w:r w:rsidRPr="00C63860">
              <w:rPr>
                <w:bCs/>
              </w:rPr>
              <w:t>0.5</w:t>
            </w:r>
          </w:p>
          <w:p w14:paraId="61CE53A2" w14:textId="77777777" w:rsidR="008C09D9" w:rsidRPr="00C63860" w:rsidRDefault="008C09D9" w:rsidP="008C09D9">
            <w:pPr>
              <w:jc w:val="center"/>
              <w:rPr>
                <w:bCs/>
              </w:rPr>
            </w:pPr>
            <w:r w:rsidRPr="00C63860">
              <w:rPr>
                <w:bCs/>
              </w:rPr>
              <w:t>99.5</w:t>
            </w:r>
          </w:p>
        </w:tc>
        <w:tc>
          <w:tcPr>
            <w:tcW w:w="0" w:type="auto"/>
            <w:shd w:val="clear" w:color="auto" w:fill="auto"/>
          </w:tcPr>
          <w:p w14:paraId="3DF4848B" w14:textId="77777777" w:rsidR="00C63860" w:rsidRPr="00C63860" w:rsidRDefault="00C63860" w:rsidP="008C09D9">
            <w:pPr>
              <w:jc w:val="center"/>
              <w:rPr>
                <w:bCs/>
              </w:rPr>
            </w:pPr>
          </w:p>
          <w:p w14:paraId="4ED79090" w14:textId="77777777" w:rsidR="008C09D9" w:rsidRPr="00C63860" w:rsidRDefault="008C09D9" w:rsidP="008C09D9">
            <w:pPr>
              <w:jc w:val="center"/>
              <w:rPr>
                <w:bCs/>
              </w:rPr>
            </w:pPr>
            <w:r w:rsidRPr="00C63860">
              <w:rPr>
                <w:bCs/>
              </w:rPr>
              <w:t>6.1</w:t>
            </w:r>
          </w:p>
          <w:p w14:paraId="3ED1BF33" w14:textId="77777777" w:rsidR="008C09D9" w:rsidRPr="00C63860" w:rsidRDefault="008C09D9" w:rsidP="008C09D9">
            <w:pPr>
              <w:jc w:val="center"/>
              <w:rPr>
                <w:bCs/>
              </w:rPr>
            </w:pPr>
            <w:r w:rsidRPr="00C63860">
              <w:rPr>
                <w:bCs/>
              </w:rPr>
              <w:t>93.9</w:t>
            </w:r>
          </w:p>
        </w:tc>
        <w:tc>
          <w:tcPr>
            <w:tcW w:w="0" w:type="auto"/>
            <w:shd w:val="clear" w:color="auto" w:fill="auto"/>
          </w:tcPr>
          <w:p w14:paraId="688DAE06" w14:textId="77777777" w:rsidR="00C63860" w:rsidRPr="00C63860" w:rsidRDefault="00C63860" w:rsidP="008C09D9">
            <w:pPr>
              <w:jc w:val="center"/>
              <w:rPr>
                <w:bCs/>
              </w:rPr>
            </w:pPr>
          </w:p>
          <w:p w14:paraId="2925CD34" w14:textId="77777777" w:rsidR="008C09D9" w:rsidRPr="00C63860" w:rsidRDefault="008C09D9" w:rsidP="008C09D9">
            <w:pPr>
              <w:jc w:val="center"/>
              <w:rPr>
                <w:bCs/>
              </w:rPr>
            </w:pPr>
            <w:r w:rsidRPr="00C63860">
              <w:rPr>
                <w:bCs/>
              </w:rPr>
              <w:t>0.5</w:t>
            </w:r>
          </w:p>
          <w:p w14:paraId="2A3E04B5" w14:textId="77777777" w:rsidR="008C09D9" w:rsidRPr="00C63860" w:rsidRDefault="008C09D9" w:rsidP="008C09D9">
            <w:pPr>
              <w:jc w:val="center"/>
              <w:rPr>
                <w:bCs/>
              </w:rPr>
            </w:pPr>
            <w:r w:rsidRPr="00C63860">
              <w:rPr>
                <w:bCs/>
              </w:rPr>
              <w:t>99.5</w:t>
            </w:r>
          </w:p>
        </w:tc>
        <w:tc>
          <w:tcPr>
            <w:tcW w:w="0" w:type="auto"/>
            <w:shd w:val="clear" w:color="auto" w:fill="auto"/>
          </w:tcPr>
          <w:p w14:paraId="1E59FABE" w14:textId="77777777" w:rsidR="00C63860" w:rsidRPr="00C63860" w:rsidRDefault="00C63860" w:rsidP="008C09D9">
            <w:pPr>
              <w:jc w:val="center"/>
              <w:rPr>
                <w:bCs/>
              </w:rPr>
            </w:pPr>
          </w:p>
          <w:p w14:paraId="282E4488" w14:textId="77777777" w:rsidR="008C09D9" w:rsidRPr="00C63860" w:rsidRDefault="008C09D9" w:rsidP="008C09D9">
            <w:pPr>
              <w:jc w:val="center"/>
              <w:rPr>
                <w:bCs/>
              </w:rPr>
            </w:pPr>
            <w:r w:rsidRPr="00C63860">
              <w:rPr>
                <w:bCs/>
              </w:rPr>
              <w:t>1.5</w:t>
            </w:r>
          </w:p>
          <w:p w14:paraId="1207D420" w14:textId="77777777" w:rsidR="008C09D9" w:rsidRPr="00C63860" w:rsidRDefault="008C09D9" w:rsidP="008C09D9">
            <w:pPr>
              <w:jc w:val="center"/>
              <w:rPr>
                <w:bCs/>
              </w:rPr>
            </w:pPr>
            <w:r w:rsidRPr="00C63860">
              <w:rPr>
                <w:bCs/>
              </w:rPr>
              <w:t>98.5</w:t>
            </w:r>
          </w:p>
        </w:tc>
        <w:tc>
          <w:tcPr>
            <w:tcW w:w="0" w:type="auto"/>
            <w:shd w:val="clear" w:color="auto" w:fill="auto"/>
          </w:tcPr>
          <w:p w14:paraId="7CF50756" w14:textId="77777777" w:rsidR="00C63860" w:rsidRPr="00C63860" w:rsidRDefault="00C63860" w:rsidP="008C09D9">
            <w:pPr>
              <w:jc w:val="center"/>
              <w:rPr>
                <w:bCs/>
              </w:rPr>
            </w:pPr>
          </w:p>
          <w:p w14:paraId="5E41B66D" w14:textId="77777777" w:rsidR="008C09D9" w:rsidRPr="00C63860" w:rsidRDefault="008C09D9" w:rsidP="008C09D9">
            <w:pPr>
              <w:jc w:val="center"/>
              <w:rPr>
                <w:bCs/>
              </w:rPr>
            </w:pPr>
            <w:r w:rsidRPr="00C63860">
              <w:rPr>
                <w:bCs/>
              </w:rPr>
              <w:t>0.2</w:t>
            </w:r>
          </w:p>
          <w:p w14:paraId="1A006E8F" w14:textId="77777777" w:rsidR="008C09D9" w:rsidRPr="00C63860" w:rsidRDefault="008C09D9" w:rsidP="008C09D9">
            <w:pPr>
              <w:jc w:val="center"/>
              <w:rPr>
                <w:bCs/>
              </w:rPr>
            </w:pPr>
            <w:r w:rsidRPr="00C63860">
              <w:rPr>
                <w:bCs/>
              </w:rPr>
              <w:t>99.8</w:t>
            </w:r>
          </w:p>
        </w:tc>
        <w:tc>
          <w:tcPr>
            <w:tcW w:w="0" w:type="auto"/>
            <w:shd w:val="clear" w:color="auto" w:fill="auto"/>
          </w:tcPr>
          <w:p w14:paraId="5F2776E9" w14:textId="77777777" w:rsidR="00C63860" w:rsidRPr="00C63860" w:rsidRDefault="00C63860" w:rsidP="008C09D9">
            <w:pPr>
              <w:jc w:val="center"/>
              <w:rPr>
                <w:bCs/>
              </w:rPr>
            </w:pPr>
          </w:p>
          <w:p w14:paraId="59C0B869" w14:textId="77777777" w:rsidR="008C09D9" w:rsidRPr="00C63860" w:rsidRDefault="008C09D9" w:rsidP="008C09D9">
            <w:pPr>
              <w:jc w:val="center"/>
              <w:rPr>
                <w:bCs/>
              </w:rPr>
            </w:pPr>
            <w:r w:rsidRPr="00C63860">
              <w:rPr>
                <w:bCs/>
              </w:rPr>
              <w:t>0.4</w:t>
            </w:r>
          </w:p>
          <w:p w14:paraId="516F703B" w14:textId="77777777" w:rsidR="008C09D9" w:rsidRPr="00C63860" w:rsidRDefault="008C09D9" w:rsidP="008C09D9">
            <w:pPr>
              <w:jc w:val="center"/>
              <w:rPr>
                <w:bCs/>
              </w:rPr>
            </w:pPr>
            <w:r w:rsidRPr="00C63860">
              <w:rPr>
                <w:bCs/>
              </w:rPr>
              <w:t>99.6</w:t>
            </w:r>
          </w:p>
        </w:tc>
        <w:tc>
          <w:tcPr>
            <w:tcW w:w="0" w:type="auto"/>
            <w:shd w:val="clear" w:color="auto" w:fill="auto"/>
          </w:tcPr>
          <w:p w14:paraId="0809AE7A" w14:textId="77777777" w:rsidR="00C63860" w:rsidRPr="00C63860" w:rsidRDefault="00C63860" w:rsidP="008C09D9">
            <w:pPr>
              <w:jc w:val="center"/>
              <w:rPr>
                <w:bCs/>
              </w:rPr>
            </w:pPr>
          </w:p>
          <w:p w14:paraId="54ECA79B" w14:textId="77777777" w:rsidR="008C09D9" w:rsidRPr="00C63860" w:rsidRDefault="008C09D9" w:rsidP="008C09D9">
            <w:pPr>
              <w:jc w:val="center"/>
              <w:rPr>
                <w:bCs/>
              </w:rPr>
            </w:pPr>
            <w:r w:rsidRPr="00C63860">
              <w:rPr>
                <w:bCs/>
              </w:rPr>
              <w:t>0.7</w:t>
            </w:r>
          </w:p>
          <w:p w14:paraId="15E6BAA8" w14:textId="77777777" w:rsidR="008C09D9" w:rsidRPr="00C63860" w:rsidRDefault="008C09D9" w:rsidP="008C09D9">
            <w:pPr>
              <w:jc w:val="center"/>
              <w:rPr>
                <w:bCs/>
              </w:rPr>
            </w:pPr>
            <w:r w:rsidRPr="00C63860">
              <w:rPr>
                <w:bCs/>
              </w:rPr>
              <w:t>99.3</w:t>
            </w:r>
          </w:p>
        </w:tc>
        <w:tc>
          <w:tcPr>
            <w:tcW w:w="0" w:type="auto"/>
            <w:shd w:val="clear" w:color="auto" w:fill="auto"/>
          </w:tcPr>
          <w:p w14:paraId="76772C06" w14:textId="77777777" w:rsidR="00C63860" w:rsidRPr="00C63860" w:rsidRDefault="00C63860" w:rsidP="008C09D9">
            <w:pPr>
              <w:jc w:val="center"/>
              <w:rPr>
                <w:bCs/>
              </w:rPr>
            </w:pPr>
          </w:p>
          <w:p w14:paraId="1773DB2E" w14:textId="77777777" w:rsidR="008C09D9" w:rsidRPr="00C63860" w:rsidRDefault="008C09D9" w:rsidP="008C09D9">
            <w:pPr>
              <w:jc w:val="center"/>
              <w:rPr>
                <w:bCs/>
              </w:rPr>
            </w:pPr>
            <w:r w:rsidRPr="00C63860">
              <w:rPr>
                <w:bCs/>
              </w:rPr>
              <w:t>0.2</w:t>
            </w:r>
          </w:p>
          <w:p w14:paraId="52AC2C95" w14:textId="77777777" w:rsidR="008C09D9" w:rsidRPr="00C63860" w:rsidRDefault="008C09D9" w:rsidP="008C09D9">
            <w:pPr>
              <w:jc w:val="center"/>
              <w:rPr>
                <w:bCs/>
              </w:rPr>
            </w:pPr>
            <w:r w:rsidRPr="00C63860">
              <w:rPr>
                <w:bCs/>
              </w:rPr>
              <w:t>99.8</w:t>
            </w:r>
          </w:p>
        </w:tc>
        <w:tc>
          <w:tcPr>
            <w:tcW w:w="0" w:type="auto"/>
            <w:shd w:val="clear" w:color="auto" w:fill="auto"/>
          </w:tcPr>
          <w:p w14:paraId="54E0DABD" w14:textId="77777777" w:rsidR="00C63860" w:rsidRPr="00C63860" w:rsidRDefault="00C63860" w:rsidP="008C09D9">
            <w:pPr>
              <w:jc w:val="center"/>
              <w:rPr>
                <w:bCs/>
              </w:rPr>
            </w:pPr>
          </w:p>
          <w:p w14:paraId="6C2E0E22" w14:textId="77777777" w:rsidR="008C09D9" w:rsidRPr="00C63860" w:rsidRDefault="008C09D9" w:rsidP="008C09D9">
            <w:pPr>
              <w:jc w:val="center"/>
              <w:rPr>
                <w:bCs/>
              </w:rPr>
            </w:pPr>
            <w:r w:rsidRPr="00C63860">
              <w:rPr>
                <w:bCs/>
              </w:rPr>
              <w:t>0.5</w:t>
            </w:r>
          </w:p>
          <w:p w14:paraId="3DE12F74" w14:textId="77777777" w:rsidR="008C09D9" w:rsidRPr="00C63860" w:rsidRDefault="008C09D9" w:rsidP="008C09D9">
            <w:pPr>
              <w:jc w:val="center"/>
              <w:rPr>
                <w:bCs/>
              </w:rPr>
            </w:pPr>
            <w:r w:rsidRPr="00C63860">
              <w:rPr>
                <w:bCs/>
              </w:rPr>
              <w:t>99.5</w:t>
            </w:r>
          </w:p>
        </w:tc>
        <w:tc>
          <w:tcPr>
            <w:tcW w:w="0" w:type="auto"/>
            <w:shd w:val="clear" w:color="auto" w:fill="auto"/>
          </w:tcPr>
          <w:p w14:paraId="5134688A" w14:textId="77777777" w:rsidR="00C63860" w:rsidRPr="00C63860" w:rsidRDefault="00C63860" w:rsidP="008C09D9">
            <w:pPr>
              <w:jc w:val="center"/>
              <w:rPr>
                <w:bCs/>
              </w:rPr>
            </w:pPr>
          </w:p>
          <w:p w14:paraId="14D640B4" w14:textId="77777777" w:rsidR="008C09D9" w:rsidRPr="00C63860" w:rsidRDefault="008C09D9" w:rsidP="008C09D9">
            <w:pPr>
              <w:jc w:val="center"/>
              <w:rPr>
                <w:bCs/>
              </w:rPr>
            </w:pPr>
            <w:r w:rsidRPr="00C63860">
              <w:rPr>
                <w:bCs/>
              </w:rPr>
              <w:t>0.9</w:t>
            </w:r>
          </w:p>
          <w:p w14:paraId="7A7CF242" w14:textId="77777777" w:rsidR="008C09D9" w:rsidRPr="00C63860" w:rsidRDefault="008C09D9" w:rsidP="008C09D9">
            <w:pPr>
              <w:jc w:val="center"/>
              <w:rPr>
                <w:bCs/>
              </w:rPr>
            </w:pPr>
            <w:r w:rsidRPr="00C63860">
              <w:rPr>
                <w:bCs/>
              </w:rPr>
              <w:t>99.1</w:t>
            </w:r>
          </w:p>
        </w:tc>
        <w:tc>
          <w:tcPr>
            <w:tcW w:w="0" w:type="auto"/>
            <w:shd w:val="clear" w:color="auto" w:fill="auto"/>
          </w:tcPr>
          <w:p w14:paraId="629B54D7" w14:textId="77777777" w:rsidR="00C63860" w:rsidRPr="00C63860" w:rsidRDefault="00C63860" w:rsidP="008C09D9">
            <w:pPr>
              <w:jc w:val="center"/>
              <w:rPr>
                <w:bCs/>
              </w:rPr>
            </w:pPr>
          </w:p>
          <w:p w14:paraId="64219A46" w14:textId="77777777" w:rsidR="008C09D9" w:rsidRPr="00C63860" w:rsidRDefault="008C09D9" w:rsidP="008C09D9">
            <w:pPr>
              <w:jc w:val="center"/>
              <w:rPr>
                <w:bCs/>
              </w:rPr>
            </w:pPr>
            <w:r w:rsidRPr="00C63860">
              <w:rPr>
                <w:bCs/>
              </w:rPr>
              <w:t>1.7</w:t>
            </w:r>
          </w:p>
          <w:p w14:paraId="78286849" w14:textId="77777777" w:rsidR="008C09D9" w:rsidRPr="00C63860" w:rsidRDefault="008C09D9" w:rsidP="008C09D9">
            <w:pPr>
              <w:jc w:val="center"/>
              <w:rPr>
                <w:bCs/>
              </w:rPr>
            </w:pPr>
            <w:r w:rsidRPr="00C63860">
              <w:rPr>
                <w:bCs/>
              </w:rPr>
              <w:t>98.3</w:t>
            </w:r>
          </w:p>
        </w:tc>
        <w:tc>
          <w:tcPr>
            <w:tcW w:w="0" w:type="auto"/>
            <w:shd w:val="clear" w:color="auto" w:fill="auto"/>
          </w:tcPr>
          <w:p w14:paraId="7C12ACB8" w14:textId="77777777" w:rsidR="00C63860" w:rsidRPr="00C63860" w:rsidRDefault="00C63860" w:rsidP="008C09D9">
            <w:pPr>
              <w:jc w:val="center"/>
              <w:rPr>
                <w:bCs/>
              </w:rPr>
            </w:pPr>
          </w:p>
          <w:p w14:paraId="1D7D45E5" w14:textId="77777777" w:rsidR="008C09D9" w:rsidRPr="00C63860" w:rsidRDefault="008C09D9" w:rsidP="008C09D9">
            <w:pPr>
              <w:jc w:val="center"/>
              <w:rPr>
                <w:bCs/>
              </w:rPr>
            </w:pPr>
            <w:r w:rsidRPr="00C63860">
              <w:rPr>
                <w:bCs/>
              </w:rPr>
              <w:t>0.7</w:t>
            </w:r>
          </w:p>
          <w:p w14:paraId="69EF2DCB" w14:textId="77777777" w:rsidR="008C09D9" w:rsidRPr="00C63860" w:rsidRDefault="008C09D9" w:rsidP="008C09D9">
            <w:pPr>
              <w:jc w:val="center"/>
              <w:rPr>
                <w:bCs/>
              </w:rPr>
            </w:pPr>
            <w:r w:rsidRPr="00C63860">
              <w:rPr>
                <w:bCs/>
              </w:rPr>
              <w:t>99.3</w:t>
            </w:r>
          </w:p>
        </w:tc>
        <w:tc>
          <w:tcPr>
            <w:tcW w:w="0" w:type="auto"/>
            <w:shd w:val="clear" w:color="auto" w:fill="auto"/>
          </w:tcPr>
          <w:p w14:paraId="73790F45" w14:textId="77777777" w:rsidR="00C63860" w:rsidRPr="00C63860" w:rsidRDefault="00C63860" w:rsidP="008C09D9">
            <w:pPr>
              <w:jc w:val="center"/>
              <w:rPr>
                <w:bCs/>
              </w:rPr>
            </w:pPr>
          </w:p>
          <w:p w14:paraId="36B4213B" w14:textId="77777777" w:rsidR="008C09D9" w:rsidRPr="00C63860" w:rsidRDefault="008C09D9" w:rsidP="008C09D9">
            <w:pPr>
              <w:jc w:val="center"/>
              <w:rPr>
                <w:bCs/>
              </w:rPr>
            </w:pPr>
            <w:r w:rsidRPr="00C63860">
              <w:rPr>
                <w:bCs/>
              </w:rPr>
              <w:t>0.6</w:t>
            </w:r>
          </w:p>
          <w:p w14:paraId="376BB11F" w14:textId="77777777" w:rsidR="008C09D9" w:rsidRPr="00C63860" w:rsidRDefault="008C09D9" w:rsidP="008C09D9">
            <w:pPr>
              <w:jc w:val="center"/>
              <w:rPr>
                <w:bCs/>
              </w:rPr>
            </w:pPr>
            <w:r w:rsidRPr="00C63860">
              <w:rPr>
                <w:bCs/>
              </w:rPr>
              <w:t>99.4</w:t>
            </w:r>
          </w:p>
        </w:tc>
      </w:tr>
      <w:tr w:rsidR="00C475F9" w:rsidRPr="00C63860" w14:paraId="67949EBB" w14:textId="77777777" w:rsidTr="00C63860">
        <w:trPr>
          <w:cantSplit/>
        </w:trPr>
        <w:tc>
          <w:tcPr>
            <w:tcW w:w="0" w:type="auto"/>
            <w:shd w:val="clear" w:color="auto" w:fill="auto"/>
            <w:hideMark/>
          </w:tcPr>
          <w:p w14:paraId="79965146" w14:textId="77777777" w:rsidR="00C63860" w:rsidRPr="00C63860" w:rsidRDefault="008C09D9" w:rsidP="008C09D9">
            <w:pPr>
              <w:ind w:right="-110"/>
              <w:rPr>
                <w:b/>
              </w:rPr>
            </w:pPr>
            <w:r w:rsidRPr="00C63860">
              <w:rPr>
                <w:b/>
              </w:rPr>
              <w:t>Imaging</w:t>
            </w:r>
            <w:r w:rsidRPr="00C63860">
              <w:rPr>
                <w:b/>
                <w:bCs/>
              </w:rPr>
              <w:t>:</w:t>
            </w:r>
            <w:r w:rsidR="00C63860" w:rsidRPr="00C63860">
              <w:rPr>
                <w:b/>
                <w:bCs/>
                <w:color w:val="00B0F0"/>
              </w:rPr>
              <w:t>%</w:t>
            </w:r>
          </w:p>
          <w:p w14:paraId="4E1CA576" w14:textId="77777777" w:rsidR="00C63860" w:rsidRPr="00C63860" w:rsidRDefault="008C09D9" w:rsidP="008C09D9">
            <w:pPr>
              <w:ind w:right="-110"/>
              <w:rPr>
                <w:bCs/>
              </w:rPr>
            </w:pPr>
            <w:r w:rsidRPr="00C63860">
              <w:rPr>
                <w:bCs/>
              </w:rPr>
              <w:t>Imaging procedure</w:t>
            </w:r>
          </w:p>
          <w:p w14:paraId="29FBB7DF" w14:textId="16B8E457" w:rsidR="008C09D9" w:rsidRPr="00C63860" w:rsidRDefault="008C09D9" w:rsidP="008C09D9">
            <w:pPr>
              <w:ind w:right="-110"/>
              <w:rPr>
                <w:bCs/>
              </w:rPr>
            </w:pPr>
            <w:r w:rsidRPr="00C63860">
              <w:rPr>
                <w:bCs/>
              </w:rPr>
              <w:t>No imaging</w:t>
            </w:r>
          </w:p>
        </w:tc>
        <w:tc>
          <w:tcPr>
            <w:tcW w:w="0" w:type="auto"/>
            <w:shd w:val="clear" w:color="auto" w:fill="auto"/>
          </w:tcPr>
          <w:p w14:paraId="38C9A254" w14:textId="77777777" w:rsidR="008C09D9" w:rsidRPr="00C63860" w:rsidRDefault="008C09D9" w:rsidP="008C09D9">
            <w:pPr>
              <w:jc w:val="center"/>
              <w:rPr>
                <w:bCs/>
              </w:rPr>
            </w:pPr>
          </w:p>
          <w:p w14:paraId="2A6552D3" w14:textId="77777777" w:rsidR="008C09D9" w:rsidRPr="00C63860" w:rsidRDefault="008C09D9" w:rsidP="008C09D9">
            <w:pPr>
              <w:jc w:val="center"/>
              <w:rPr>
                <w:bCs/>
              </w:rPr>
            </w:pPr>
            <w:r w:rsidRPr="00C63860">
              <w:rPr>
                <w:bCs/>
              </w:rPr>
              <w:t>27.8</w:t>
            </w:r>
          </w:p>
          <w:p w14:paraId="0C27281F" w14:textId="77777777" w:rsidR="008C09D9" w:rsidRPr="00C63860" w:rsidRDefault="008C09D9" w:rsidP="008C09D9">
            <w:pPr>
              <w:jc w:val="center"/>
              <w:rPr>
                <w:bCs/>
              </w:rPr>
            </w:pPr>
            <w:r w:rsidRPr="00C63860">
              <w:rPr>
                <w:bCs/>
              </w:rPr>
              <w:t>72.2</w:t>
            </w:r>
          </w:p>
        </w:tc>
        <w:tc>
          <w:tcPr>
            <w:tcW w:w="0" w:type="auto"/>
            <w:shd w:val="clear" w:color="auto" w:fill="auto"/>
          </w:tcPr>
          <w:p w14:paraId="553ADAF8" w14:textId="77777777" w:rsidR="008C09D9" w:rsidRPr="00C63860" w:rsidRDefault="008C09D9" w:rsidP="008C09D9">
            <w:pPr>
              <w:jc w:val="center"/>
              <w:rPr>
                <w:bCs/>
              </w:rPr>
            </w:pPr>
          </w:p>
          <w:p w14:paraId="4DEF2E4A" w14:textId="77777777" w:rsidR="008C09D9" w:rsidRPr="00C63860" w:rsidRDefault="008C09D9" w:rsidP="008C09D9">
            <w:pPr>
              <w:jc w:val="center"/>
              <w:rPr>
                <w:bCs/>
              </w:rPr>
            </w:pPr>
            <w:r w:rsidRPr="00C63860">
              <w:rPr>
                <w:bCs/>
              </w:rPr>
              <w:t>4.0</w:t>
            </w:r>
          </w:p>
          <w:p w14:paraId="6BCFB0AF" w14:textId="77777777" w:rsidR="008C09D9" w:rsidRPr="00C63860" w:rsidRDefault="008C09D9" w:rsidP="008C09D9">
            <w:pPr>
              <w:jc w:val="center"/>
              <w:rPr>
                <w:bCs/>
              </w:rPr>
            </w:pPr>
            <w:r w:rsidRPr="00C63860">
              <w:rPr>
                <w:bCs/>
              </w:rPr>
              <w:t>96.0</w:t>
            </w:r>
          </w:p>
        </w:tc>
        <w:tc>
          <w:tcPr>
            <w:tcW w:w="0" w:type="auto"/>
            <w:shd w:val="clear" w:color="auto" w:fill="auto"/>
          </w:tcPr>
          <w:p w14:paraId="19BA27AE" w14:textId="77777777" w:rsidR="008C09D9" w:rsidRPr="00C63860" w:rsidRDefault="008C09D9" w:rsidP="008C09D9">
            <w:pPr>
              <w:jc w:val="center"/>
              <w:rPr>
                <w:bCs/>
              </w:rPr>
            </w:pPr>
          </w:p>
          <w:p w14:paraId="15910CAA" w14:textId="77777777" w:rsidR="008C09D9" w:rsidRPr="00C63860" w:rsidRDefault="008C09D9" w:rsidP="008C09D9">
            <w:pPr>
              <w:jc w:val="center"/>
              <w:rPr>
                <w:bCs/>
              </w:rPr>
            </w:pPr>
            <w:r w:rsidRPr="00C63860">
              <w:rPr>
                <w:bCs/>
              </w:rPr>
              <w:t>56.6</w:t>
            </w:r>
          </w:p>
          <w:p w14:paraId="789F900D" w14:textId="77777777" w:rsidR="008C09D9" w:rsidRPr="00C63860" w:rsidRDefault="008C09D9" w:rsidP="008C09D9">
            <w:pPr>
              <w:jc w:val="center"/>
              <w:rPr>
                <w:bCs/>
              </w:rPr>
            </w:pPr>
            <w:r w:rsidRPr="00C63860">
              <w:rPr>
                <w:bCs/>
              </w:rPr>
              <w:t>43.4</w:t>
            </w:r>
          </w:p>
        </w:tc>
        <w:tc>
          <w:tcPr>
            <w:tcW w:w="0" w:type="auto"/>
            <w:shd w:val="clear" w:color="auto" w:fill="auto"/>
          </w:tcPr>
          <w:p w14:paraId="1C6628B4" w14:textId="77777777" w:rsidR="008C09D9" w:rsidRPr="00C63860" w:rsidRDefault="008C09D9" w:rsidP="008C09D9">
            <w:pPr>
              <w:jc w:val="center"/>
              <w:rPr>
                <w:bCs/>
              </w:rPr>
            </w:pPr>
          </w:p>
          <w:p w14:paraId="16343D1D" w14:textId="77777777" w:rsidR="008C09D9" w:rsidRPr="00C63860" w:rsidRDefault="008C09D9" w:rsidP="008C09D9">
            <w:pPr>
              <w:jc w:val="center"/>
              <w:rPr>
                <w:bCs/>
              </w:rPr>
            </w:pPr>
            <w:r w:rsidRPr="00C63860">
              <w:rPr>
                <w:bCs/>
              </w:rPr>
              <w:t>8.3</w:t>
            </w:r>
          </w:p>
          <w:p w14:paraId="6D192C18" w14:textId="77777777" w:rsidR="008C09D9" w:rsidRPr="00C63860" w:rsidRDefault="008C09D9" w:rsidP="008C09D9">
            <w:pPr>
              <w:jc w:val="center"/>
              <w:rPr>
                <w:bCs/>
              </w:rPr>
            </w:pPr>
            <w:r w:rsidRPr="00C63860">
              <w:rPr>
                <w:bCs/>
              </w:rPr>
              <w:t>91.7</w:t>
            </w:r>
          </w:p>
        </w:tc>
        <w:tc>
          <w:tcPr>
            <w:tcW w:w="0" w:type="auto"/>
            <w:shd w:val="clear" w:color="auto" w:fill="auto"/>
          </w:tcPr>
          <w:p w14:paraId="79BD7526" w14:textId="77777777" w:rsidR="008C09D9" w:rsidRPr="00C63860" w:rsidRDefault="008C09D9" w:rsidP="008C09D9">
            <w:pPr>
              <w:jc w:val="center"/>
              <w:rPr>
                <w:bCs/>
              </w:rPr>
            </w:pPr>
          </w:p>
          <w:p w14:paraId="74442A50" w14:textId="77777777" w:rsidR="008C09D9" w:rsidRPr="00C63860" w:rsidRDefault="008C09D9" w:rsidP="008C09D9">
            <w:pPr>
              <w:jc w:val="center"/>
              <w:rPr>
                <w:bCs/>
              </w:rPr>
            </w:pPr>
            <w:r w:rsidRPr="00C63860">
              <w:rPr>
                <w:bCs/>
              </w:rPr>
              <w:t>32.2</w:t>
            </w:r>
          </w:p>
          <w:p w14:paraId="76183479" w14:textId="77777777" w:rsidR="008C09D9" w:rsidRPr="00C63860" w:rsidRDefault="008C09D9" w:rsidP="008C09D9">
            <w:pPr>
              <w:jc w:val="center"/>
              <w:rPr>
                <w:bCs/>
              </w:rPr>
            </w:pPr>
            <w:r w:rsidRPr="00C63860">
              <w:rPr>
                <w:bCs/>
              </w:rPr>
              <w:t>67.8</w:t>
            </w:r>
          </w:p>
        </w:tc>
        <w:tc>
          <w:tcPr>
            <w:tcW w:w="0" w:type="auto"/>
            <w:shd w:val="clear" w:color="auto" w:fill="auto"/>
          </w:tcPr>
          <w:p w14:paraId="19A1F813" w14:textId="77777777" w:rsidR="008C09D9" w:rsidRPr="00C63860" w:rsidRDefault="008C09D9" w:rsidP="008C09D9">
            <w:pPr>
              <w:jc w:val="center"/>
              <w:rPr>
                <w:bCs/>
              </w:rPr>
            </w:pPr>
          </w:p>
          <w:p w14:paraId="75B6BCF4" w14:textId="77777777" w:rsidR="008C09D9" w:rsidRPr="00C63860" w:rsidRDefault="008C09D9" w:rsidP="008C09D9">
            <w:pPr>
              <w:jc w:val="center"/>
              <w:rPr>
                <w:bCs/>
              </w:rPr>
            </w:pPr>
            <w:r w:rsidRPr="00C63860">
              <w:rPr>
                <w:bCs/>
              </w:rPr>
              <w:t>8.5</w:t>
            </w:r>
          </w:p>
          <w:p w14:paraId="7E7BC47D" w14:textId="77777777" w:rsidR="008C09D9" w:rsidRPr="00C63860" w:rsidRDefault="008C09D9" w:rsidP="008C09D9">
            <w:pPr>
              <w:jc w:val="center"/>
              <w:rPr>
                <w:bCs/>
              </w:rPr>
            </w:pPr>
            <w:r w:rsidRPr="00C63860">
              <w:rPr>
                <w:bCs/>
              </w:rPr>
              <w:t>91.5</w:t>
            </w:r>
          </w:p>
        </w:tc>
        <w:tc>
          <w:tcPr>
            <w:tcW w:w="0" w:type="auto"/>
            <w:shd w:val="clear" w:color="auto" w:fill="auto"/>
          </w:tcPr>
          <w:p w14:paraId="6D2DE652" w14:textId="77777777" w:rsidR="008C09D9" w:rsidRPr="00C63860" w:rsidRDefault="008C09D9" w:rsidP="008C09D9">
            <w:pPr>
              <w:jc w:val="center"/>
              <w:rPr>
                <w:bCs/>
              </w:rPr>
            </w:pPr>
          </w:p>
          <w:p w14:paraId="14E9BBD2" w14:textId="77777777" w:rsidR="008C09D9" w:rsidRPr="00C63860" w:rsidRDefault="008C09D9" w:rsidP="008C09D9">
            <w:pPr>
              <w:jc w:val="center"/>
              <w:rPr>
                <w:bCs/>
              </w:rPr>
            </w:pPr>
            <w:r w:rsidRPr="00C63860">
              <w:rPr>
                <w:bCs/>
              </w:rPr>
              <w:t>37.0</w:t>
            </w:r>
          </w:p>
          <w:p w14:paraId="65D72DA5" w14:textId="77777777" w:rsidR="008C09D9" w:rsidRPr="00C63860" w:rsidRDefault="008C09D9" w:rsidP="008C09D9">
            <w:pPr>
              <w:jc w:val="center"/>
              <w:rPr>
                <w:bCs/>
              </w:rPr>
            </w:pPr>
            <w:r w:rsidRPr="00C63860">
              <w:rPr>
                <w:bCs/>
              </w:rPr>
              <w:t>63.0</w:t>
            </w:r>
          </w:p>
        </w:tc>
        <w:tc>
          <w:tcPr>
            <w:tcW w:w="0" w:type="auto"/>
            <w:shd w:val="clear" w:color="auto" w:fill="auto"/>
          </w:tcPr>
          <w:p w14:paraId="0AFF024A" w14:textId="77777777" w:rsidR="008C09D9" w:rsidRPr="00C63860" w:rsidRDefault="008C09D9" w:rsidP="008C09D9">
            <w:pPr>
              <w:jc w:val="center"/>
              <w:rPr>
                <w:bCs/>
              </w:rPr>
            </w:pPr>
          </w:p>
          <w:p w14:paraId="74078135" w14:textId="77777777" w:rsidR="008C09D9" w:rsidRPr="00C63860" w:rsidRDefault="008C09D9" w:rsidP="008C09D9">
            <w:pPr>
              <w:jc w:val="center"/>
              <w:rPr>
                <w:bCs/>
              </w:rPr>
            </w:pPr>
            <w:r w:rsidRPr="00C63860">
              <w:rPr>
                <w:bCs/>
              </w:rPr>
              <w:t>11.0</w:t>
            </w:r>
          </w:p>
          <w:p w14:paraId="5EF4D486" w14:textId="77777777" w:rsidR="008C09D9" w:rsidRPr="00C63860" w:rsidRDefault="008C09D9" w:rsidP="008C09D9">
            <w:pPr>
              <w:jc w:val="center"/>
              <w:rPr>
                <w:bCs/>
              </w:rPr>
            </w:pPr>
            <w:r w:rsidRPr="00C63860">
              <w:rPr>
                <w:bCs/>
              </w:rPr>
              <w:t>89.0</w:t>
            </w:r>
          </w:p>
        </w:tc>
        <w:tc>
          <w:tcPr>
            <w:tcW w:w="0" w:type="auto"/>
            <w:shd w:val="clear" w:color="auto" w:fill="auto"/>
          </w:tcPr>
          <w:p w14:paraId="718A05B3" w14:textId="77777777" w:rsidR="008C09D9" w:rsidRPr="00C63860" w:rsidRDefault="008C09D9" w:rsidP="008C09D9">
            <w:pPr>
              <w:jc w:val="center"/>
              <w:rPr>
                <w:bCs/>
              </w:rPr>
            </w:pPr>
          </w:p>
          <w:p w14:paraId="570988E1" w14:textId="77777777" w:rsidR="008C09D9" w:rsidRPr="00C63860" w:rsidRDefault="008C09D9" w:rsidP="008C09D9">
            <w:pPr>
              <w:jc w:val="center"/>
              <w:rPr>
                <w:bCs/>
              </w:rPr>
            </w:pPr>
            <w:r w:rsidRPr="00C63860">
              <w:rPr>
                <w:bCs/>
              </w:rPr>
              <w:t>78.0</w:t>
            </w:r>
          </w:p>
          <w:p w14:paraId="23D50C76" w14:textId="77777777" w:rsidR="008C09D9" w:rsidRPr="00C63860" w:rsidRDefault="008C09D9" w:rsidP="008C09D9">
            <w:pPr>
              <w:jc w:val="center"/>
              <w:rPr>
                <w:bCs/>
              </w:rPr>
            </w:pPr>
            <w:r w:rsidRPr="00C63860">
              <w:rPr>
                <w:bCs/>
              </w:rPr>
              <w:t>22.0</w:t>
            </w:r>
          </w:p>
        </w:tc>
        <w:tc>
          <w:tcPr>
            <w:tcW w:w="0" w:type="auto"/>
            <w:shd w:val="clear" w:color="auto" w:fill="auto"/>
          </w:tcPr>
          <w:p w14:paraId="3F4BD3D9" w14:textId="77777777" w:rsidR="008C09D9" w:rsidRPr="00C63860" w:rsidRDefault="008C09D9" w:rsidP="008C09D9">
            <w:pPr>
              <w:jc w:val="center"/>
              <w:rPr>
                <w:bCs/>
              </w:rPr>
            </w:pPr>
          </w:p>
          <w:p w14:paraId="5B0B0286" w14:textId="77777777" w:rsidR="008C09D9" w:rsidRPr="00C63860" w:rsidRDefault="008C09D9" w:rsidP="008C09D9">
            <w:pPr>
              <w:jc w:val="center"/>
              <w:rPr>
                <w:bCs/>
              </w:rPr>
            </w:pPr>
            <w:r w:rsidRPr="00C63860">
              <w:rPr>
                <w:bCs/>
              </w:rPr>
              <w:t>4.7</w:t>
            </w:r>
          </w:p>
          <w:p w14:paraId="506CAE96" w14:textId="77777777" w:rsidR="008C09D9" w:rsidRPr="00C63860" w:rsidRDefault="008C09D9" w:rsidP="008C09D9">
            <w:pPr>
              <w:jc w:val="center"/>
              <w:rPr>
                <w:bCs/>
              </w:rPr>
            </w:pPr>
            <w:r w:rsidRPr="00C63860">
              <w:rPr>
                <w:bCs/>
              </w:rPr>
              <w:t>95.3</w:t>
            </w:r>
          </w:p>
        </w:tc>
        <w:tc>
          <w:tcPr>
            <w:tcW w:w="0" w:type="auto"/>
            <w:shd w:val="clear" w:color="auto" w:fill="auto"/>
          </w:tcPr>
          <w:p w14:paraId="74729D83" w14:textId="77777777" w:rsidR="008C09D9" w:rsidRPr="00C63860" w:rsidRDefault="008C09D9" w:rsidP="008C09D9">
            <w:pPr>
              <w:jc w:val="center"/>
              <w:rPr>
                <w:bCs/>
              </w:rPr>
            </w:pPr>
          </w:p>
          <w:p w14:paraId="6C118F71" w14:textId="77777777" w:rsidR="008C09D9" w:rsidRPr="00C63860" w:rsidRDefault="008C09D9" w:rsidP="008C09D9">
            <w:pPr>
              <w:jc w:val="center"/>
              <w:rPr>
                <w:bCs/>
              </w:rPr>
            </w:pPr>
            <w:r w:rsidRPr="00C63860">
              <w:rPr>
                <w:bCs/>
              </w:rPr>
              <w:t>80.6</w:t>
            </w:r>
          </w:p>
          <w:p w14:paraId="78B8CEC5" w14:textId="77777777" w:rsidR="008C09D9" w:rsidRPr="00C63860" w:rsidRDefault="008C09D9" w:rsidP="008C09D9">
            <w:pPr>
              <w:jc w:val="center"/>
              <w:rPr>
                <w:bCs/>
              </w:rPr>
            </w:pPr>
            <w:r w:rsidRPr="00C63860">
              <w:rPr>
                <w:bCs/>
              </w:rPr>
              <w:t>19.4</w:t>
            </w:r>
          </w:p>
        </w:tc>
        <w:tc>
          <w:tcPr>
            <w:tcW w:w="0" w:type="auto"/>
            <w:shd w:val="clear" w:color="auto" w:fill="auto"/>
          </w:tcPr>
          <w:p w14:paraId="64E14AFC" w14:textId="77777777" w:rsidR="008C09D9" w:rsidRPr="00C63860" w:rsidRDefault="008C09D9" w:rsidP="008C09D9">
            <w:pPr>
              <w:jc w:val="center"/>
              <w:rPr>
                <w:bCs/>
              </w:rPr>
            </w:pPr>
          </w:p>
          <w:p w14:paraId="32068349" w14:textId="77777777" w:rsidR="008C09D9" w:rsidRPr="00C63860" w:rsidRDefault="008C09D9" w:rsidP="008C09D9">
            <w:pPr>
              <w:jc w:val="center"/>
              <w:rPr>
                <w:bCs/>
              </w:rPr>
            </w:pPr>
            <w:r w:rsidRPr="00C63860">
              <w:rPr>
                <w:bCs/>
              </w:rPr>
              <w:t>8.0</w:t>
            </w:r>
          </w:p>
          <w:p w14:paraId="3EE743EA" w14:textId="77777777" w:rsidR="008C09D9" w:rsidRPr="00C63860" w:rsidRDefault="008C09D9" w:rsidP="008C09D9">
            <w:pPr>
              <w:jc w:val="center"/>
              <w:rPr>
                <w:bCs/>
              </w:rPr>
            </w:pPr>
            <w:r w:rsidRPr="00C63860">
              <w:rPr>
                <w:bCs/>
              </w:rPr>
              <w:t>92.0</w:t>
            </w:r>
          </w:p>
        </w:tc>
        <w:tc>
          <w:tcPr>
            <w:tcW w:w="0" w:type="auto"/>
            <w:shd w:val="clear" w:color="auto" w:fill="auto"/>
          </w:tcPr>
          <w:p w14:paraId="49252AEB" w14:textId="77777777" w:rsidR="008C09D9" w:rsidRPr="00C63860" w:rsidRDefault="008C09D9" w:rsidP="008C09D9">
            <w:pPr>
              <w:jc w:val="center"/>
              <w:rPr>
                <w:bCs/>
              </w:rPr>
            </w:pPr>
          </w:p>
          <w:p w14:paraId="31EC5B14" w14:textId="77777777" w:rsidR="008C09D9" w:rsidRPr="00C63860" w:rsidRDefault="008C09D9" w:rsidP="008C09D9">
            <w:pPr>
              <w:jc w:val="center"/>
              <w:rPr>
                <w:bCs/>
              </w:rPr>
            </w:pPr>
            <w:r w:rsidRPr="00C63860">
              <w:rPr>
                <w:bCs/>
              </w:rPr>
              <w:t>16.1</w:t>
            </w:r>
          </w:p>
          <w:p w14:paraId="536EE2B5" w14:textId="77777777" w:rsidR="008C09D9" w:rsidRPr="00C63860" w:rsidRDefault="008C09D9" w:rsidP="008C09D9">
            <w:pPr>
              <w:jc w:val="center"/>
              <w:rPr>
                <w:bCs/>
              </w:rPr>
            </w:pPr>
            <w:r w:rsidRPr="00C63860">
              <w:rPr>
                <w:bCs/>
              </w:rPr>
              <w:t>83.9</w:t>
            </w:r>
          </w:p>
        </w:tc>
        <w:tc>
          <w:tcPr>
            <w:tcW w:w="0" w:type="auto"/>
            <w:shd w:val="clear" w:color="auto" w:fill="auto"/>
          </w:tcPr>
          <w:p w14:paraId="5FFC2ECA" w14:textId="77777777" w:rsidR="008C09D9" w:rsidRPr="00C63860" w:rsidRDefault="008C09D9" w:rsidP="008C09D9">
            <w:pPr>
              <w:jc w:val="center"/>
              <w:rPr>
                <w:bCs/>
              </w:rPr>
            </w:pPr>
          </w:p>
          <w:p w14:paraId="689BF0F1" w14:textId="77777777" w:rsidR="008C09D9" w:rsidRPr="00C63860" w:rsidRDefault="008C09D9" w:rsidP="008C09D9">
            <w:pPr>
              <w:jc w:val="center"/>
              <w:rPr>
                <w:bCs/>
              </w:rPr>
            </w:pPr>
            <w:r w:rsidRPr="00C63860">
              <w:rPr>
                <w:bCs/>
              </w:rPr>
              <w:t>2.3</w:t>
            </w:r>
          </w:p>
          <w:p w14:paraId="41774D87" w14:textId="77777777" w:rsidR="008C09D9" w:rsidRPr="00C63860" w:rsidRDefault="008C09D9" w:rsidP="008C09D9">
            <w:pPr>
              <w:jc w:val="center"/>
              <w:rPr>
                <w:bCs/>
              </w:rPr>
            </w:pPr>
            <w:r w:rsidRPr="00C63860">
              <w:rPr>
                <w:bCs/>
              </w:rPr>
              <w:t>97.7</w:t>
            </w:r>
          </w:p>
        </w:tc>
        <w:tc>
          <w:tcPr>
            <w:tcW w:w="0" w:type="auto"/>
            <w:shd w:val="clear" w:color="auto" w:fill="auto"/>
          </w:tcPr>
          <w:p w14:paraId="18E6172D" w14:textId="77777777" w:rsidR="008C09D9" w:rsidRPr="00C63860" w:rsidRDefault="008C09D9" w:rsidP="008C09D9">
            <w:pPr>
              <w:jc w:val="center"/>
              <w:rPr>
                <w:bCs/>
              </w:rPr>
            </w:pPr>
          </w:p>
          <w:p w14:paraId="4E13D8BD" w14:textId="77777777" w:rsidR="008C09D9" w:rsidRPr="00C63860" w:rsidRDefault="008C09D9" w:rsidP="008C09D9">
            <w:pPr>
              <w:jc w:val="center"/>
              <w:rPr>
                <w:bCs/>
              </w:rPr>
            </w:pPr>
            <w:r w:rsidRPr="00C63860">
              <w:rPr>
                <w:bCs/>
              </w:rPr>
              <w:t>16.4</w:t>
            </w:r>
          </w:p>
          <w:p w14:paraId="6A6E97C2" w14:textId="77777777" w:rsidR="008C09D9" w:rsidRPr="00C63860" w:rsidRDefault="008C09D9" w:rsidP="008C09D9">
            <w:pPr>
              <w:jc w:val="center"/>
              <w:rPr>
                <w:bCs/>
              </w:rPr>
            </w:pPr>
            <w:r w:rsidRPr="00C63860">
              <w:rPr>
                <w:bCs/>
              </w:rPr>
              <w:t>83.6</w:t>
            </w:r>
          </w:p>
        </w:tc>
        <w:tc>
          <w:tcPr>
            <w:tcW w:w="0" w:type="auto"/>
            <w:shd w:val="clear" w:color="auto" w:fill="auto"/>
          </w:tcPr>
          <w:p w14:paraId="2FC0EA29" w14:textId="77777777" w:rsidR="008C09D9" w:rsidRPr="00C63860" w:rsidRDefault="008C09D9" w:rsidP="008C09D9">
            <w:pPr>
              <w:jc w:val="center"/>
              <w:rPr>
                <w:bCs/>
              </w:rPr>
            </w:pPr>
          </w:p>
          <w:p w14:paraId="16E3E3F7" w14:textId="77777777" w:rsidR="008C09D9" w:rsidRPr="00C63860" w:rsidRDefault="008C09D9" w:rsidP="008C09D9">
            <w:pPr>
              <w:jc w:val="center"/>
              <w:rPr>
                <w:bCs/>
              </w:rPr>
            </w:pPr>
            <w:r w:rsidRPr="00C63860">
              <w:rPr>
                <w:bCs/>
              </w:rPr>
              <w:t>1.6</w:t>
            </w:r>
          </w:p>
          <w:p w14:paraId="3FAD2FA1" w14:textId="77777777" w:rsidR="008C09D9" w:rsidRPr="00C63860" w:rsidRDefault="008C09D9" w:rsidP="008C09D9">
            <w:pPr>
              <w:jc w:val="center"/>
              <w:rPr>
                <w:bCs/>
              </w:rPr>
            </w:pPr>
            <w:r w:rsidRPr="00C63860">
              <w:rPr>
                <w:bCs/>
              </w:rPr>
              <w:t>98.4</w:t>
            </w:r>
          </w:p>
        </w:tc>
        <w:tc>
          <w:tcPr>
            <w:tcW w:w="0" w:type="auto"/>
            <w:shd w:val="clear" w:color="auto" w:fill="auto"/>
          </w:tcPr>
          <w:p w14:paraId="72091677" w14:textId="77777777" w:rsidR="008C09D9" w:rsidRPr="00C63860" w:rsidRDefault="008C09D9" w:rsidP="008C09D9">
            <w:pPr>
              <w:jc w:val="center"/>
              <w:rPr>
                <w:bCs/>
              </w:rPr>
            </w:pPr>
          </w:p>
          <w:p w14:paraId="61AFD168" w14:textId="77777777" w:rsidR="008C09D9" w:rsidRPr="00C63860" w:rsidRDefault="008C09D9" w:rsidP="008C09D9">
            <w:pPr>
              <w:jc w:val="center"/>
              <w:rPr>
                <w:bCs/>
              </w:rPr>
            </w:pPr>
            <w:r w:rsidRPr="00C63860">
              <w:rPr>
                <w:bCs/>
              </w:rPr>
              <w:t>70.1</w:t>
            </w:r>
          </w:p>
          <w:p w14:paraId="31017E7D" w14:textId="77777777" w:rsidR="008C09D9" w:rsidRPr="00C63860" w:rsidRDefault="008C09D9" w:rsidP="008C09D9">
            <w:pPr>
              <w:jc w:val="center"/>
              <w:rPr>
                <w:bCs/>
              </w:rPr>
            </w:pPr>
            <w:r w:rsidRPr="00C63860">
              <w:rPr>
                <w:bCs/>
              </w:rPr>
              <w:t>29.9</w:t>
            </w:r>
          </w:p>
        </w:tc>
        <w:tc>
          <w:tcPr>
            <w:tcW w:w="0" w:type="auto"/>
            <w:shd w:val="clear" w:color="auto" w:fill="auto"/>
          </w:tcPr>
          <w:p w14:paraId="215E56FB" w14:textId="77777777" w:rsidR="008C09D9" w:rsidRPr="00C63860" w:rsidRDefault="008C09D9" w:rsidP="008C09D9">
            <w:pPr>
              <w:jc w:val="center"/>
              <w:rPr>
                <w:bCs/>
              </w:rPr>
            </w:pPr>
          </w:p>
          <w:p w14:paraId="3B3B9F4B" w14:textId="77777777" w:rsidR="008C09D9" w:rsidRPr="00C63860" w:rsidRDefault="008C09D9" w:rsidP="008C09D9">
            <w:pPr>
              <w:jc w:val="center"/>
              <w:rPr>
                <w:bCs/>
              </w:rPr>
            </w:pPr>
            <w:r w:rsidRPr="00C63860">
              <w:rPr>
                <w:bCs/>
              </w:rPr>
              <w:t>7.0</w:t>
            </w:r>
          </w:p>
          <w:p w14:paraId="795ADE5A" w14:textId="77777777" w:rsidR="008C09D9" w:rsidRPr="00C63860" w:rsidRDefault="008C09D9" w:rsidP="008C09D9">
            <w:pPr>
              <w:jc w:val="center"/>
              <w:rPr>
                <w:bCs/>
              </w:rPr>
            </w:pPr>
            <w:r w:rsidRPr="00C63860">
              <w:rPr>
                <w:bCs/>
              </w:rPr>
              <w:t>93.0</w:t>
            </w:r>
          </w:p>
        </w:tc>
        <w:tc>
          <w:tcPr>
            <w:tcW w:w="0" w:type="auto"/>
            <w:shd w:val="clear" w:color="auto" w:fill="auto"/>
          </w:tcPr>
          <w:p w14:paraId="2E11284B" w14:textId="77777777" w:rsidR="008C09D9" w:rsidRPr="00C63860" w:rsidRDefault="008C09D9" w:rsidP="008C09D9">
            <w:pPr>
              <w:jc w:val="center"/>
              <w:rPr>
                <w:bCs/>
              </w:rPr>
            </w:pPr>
          </w:p>
          <w:p w14:paraId="634399FD" w14:textId="77777777" w:rsidR="008C09D9" w:rsidRPr="00C63860" w:rsidRDefault="008C09D9" w:rsidP="008C09D9">
            <w:pPr>
              <w:jc w:val="center"/>
              <w:rPr>
                <w:bCs/>
              </w:rPr>
            </w:pPr>
            <w:r w:rsidRPr="00C63860">
              <w:rPr>
                <w:bCs/>
              </w:rPr>
              <w:t>54.5</w:t>
            </w:r>
          </w:p>
          <w:p w14:paraId="33776976" w14:textId="77777777" w:rsidR="008C09D9" w:rsidRPr="00C63860" w:rsidRDefault="008C09D9" w:rsidP="008C09D9">
            <w:pPr>
              <w:jc w:val="center"/>
              <w:rPr>
                <w:bCs/>
              </w:rPr>
            </w:pPr>
            <w:r w:rsidRPr="00C63860">
              <w:rPr>
                <w:bCs/>
              </w:rPr>
              <w:t>45.5</w:t>
            </w:r>
          </w:p>
        </w:tc>
        <w:tc>
          <w:tcPr>
            <w:tcW w:w="0" w:type="auto"/>
            <w:shd w:val="clear" w:color="auto" w:fill="auto"/>
          </w:tcPr>
          <w:p w14:paraId="07159296" w14:textId="77777777" w:rsidR="008C09D9" w:rsidRPr="00C63860" w:rsidRDefault="008C09D9" w:rsidP="008C09D9">
            <w:pPr>
              <w:jc w:val="center"/>
              <w:rPr>
                <w:bCs/>
              </w:rPr>
            </w:pPr>
          </w:p>
          <w:p w14:paraId="61A5393D" w14:textId="77777777" w:rsidR="008C09D9" w:rsidRPr="00C63860" w:rsidRDefault="008C09D9" w:rsidP="008C09D9">
            <w:pPr>
              <w:jc w:val="center"/>
              <w:rPr>
                <w:bCs/>
              </w:rPr>
            </w:pPr>
            <w:r w:rsidRPr="00C63860">
              <w:rPr>
                <w:bCs/>
              </w:rPr>
              <w:t>2.4</w:t>
            </w:r>
          </w:p>
          <w:p w14:paraId="1A91D492" w14:textId="77777777" w:rsidR="008C09D9" w:rsidRPr="00C63860" w:rsidRDefault="008C09D9" w:rsidP="008C09D9">
            <w:pPr>
              <w:jc w:val="center"/>
              <w:rPr>
                <w:bCs/>
              </w:rPr>
            </w:pPr>
            <w:r w:rsidRPr="00C63860">
              <w:rPr>
                <w:bCs/>
              </w:rPr>
              <w:t>97.6</w:t>
            </w:r>
          </w:p>
        </w:tc>
      </w:tr>
    </w:tbl>
    <w:p w14:paraId="20CA36C9" w14:textId="77777777" w:rsidR="00C63860" w:rsidRPr="00C63860" w:rsidRDefault="008C09D9" w:rsidP="008C09D9">
      <w:pPr>
        <w:rPr>
          <w:rFonts w:eastAsia="Calibri"/>
          <w:bCs/>
        </w:rPr>
      </w:pPr>
      <w:r w:rsidRPr="00C63860">
        <w:rPr>
          <w:rFonts w:eastAsia="Calibri"/>
          <w:bCs/>
          <w:vertAlign w:val="superscript"/>
        </w:rPr>
        <w:t xml:space="preserve">a </w:t>
      </w:r>
      <w:r w:rsidRPr="00C63860">
        <w:rPr>
          <w:rFonts w:eastAsia="Calibri"/>
          <w:bCs/>
        </w:rPr>
        <w:t>If there is no ES procedure</w:t>
      </w:r>
    </w:p>
    <w:p w14:paraId="730AAB7A" w14:textId="77777777" w:rsidR="00C63860" w:rsidRPr="00C63860" w:rsidRDefault="008C09D9" w:rsidP="00F23137">
      <w:pPr>
        <w:spacing w:line="276" w:lineRule="auto"/>
        <w:rPr>
          <w:b/>
          <w:bCs/>
        </w:rPr>
      </w:pPr>
      <w:r w:rsidRPr="00C63860">
        <w:rPr>
          <w:b/>
          <w:bCs/>
        </w:rPr>
        <w:t>3.3</w:t>
      </w:r>
      <w:bookmarkEnd w:id="50"/>
      <w:r w:rsidR="009B6230" w:rsidRPr="00C63860">
        <w:rPr>
          <w:b/>
          <w:bCs/>
        </w:rPr>
        <w:t>.3 Unadjusted outcomes</w:t>
      </w:r>
    </w:p>
    <w:p w14:paraId="625A5699" w14:textId="7FDA24DC" w:rsidR="00C63860" w:rsidRPr="00C63860" w:rsidRDefault="009B6230" w:rsidP="00F23137">
      <w:pPr>
        <w:spacing w:line="276" w:lineRule="auto"/>
      </w:pPr>
      <w:r w:rsidRPr="00C63860">
        <w:t xml:space="preserve">The crude outcomes for the ES and NES groups are presented in </w:t>
      </w:r>
      <w:r w:rsidR="00C63860" w:rsidRPr="00C63860">
        <w:rPr>
          <w:i/>
          <w:color w:val="FF0000"/>
        </w:rPr>
        <w:t>Table 8</w:t>
      </w:r>
      <w:r w:rsidRPr="00C63860">
        <w:t xml:space="preserve"> together with the absolute mean differences between the ES and NES treatment strategy groups without adjusting for case-mix differences. For patients with diverticular disease, the mean DAOH at 90 days was 19.0 days lower in the ES versus NES strategy groups.</w:t>
      </w:r>
      <w:r w:rsidR="00B32A76" w:rsidRPr="00C63860">
        <w:t xml:space="preserve"> </w:t>
      </w:r>
      <w:r w:rsidRPr="00C63860">
        <w:t xml:space="preserve">For the other four conditions, the unadjusted differences in the mean DAOH were relatively small. </w:t>
      </w:r>
      <w:r w:rsidRPr="00C63860" w:rsidDel="005C5B67">
        <w:t>For patients with diverticular disease, a higher proportion of patients in the ES group died before 90 days, with the majority of these additional deaths occurring within the first 30 days.</w:t>
      </w:r>
    </w:p>
    <w:p w14:paraId="298096FA" w14:textId="131A19C1" w:rsidR="00E13E3C" w:rsidRPr="00C63860" w:rsidRDefault="00C63860" w:rsidP="00E13E3C">
      <w:pPr>
        <w:pStyle w:val="Caption"/>
        <w:rPr>
          <w:rFonts w:eastAsia="Calibri"/>
          <w:b/>
          <w:bCs/>
          <w:color w:val="auto"/>
          <w:sz w:val="22"/>
          <w:szCs w:val="22"/>
        </w:rPr>
      </w:pPr>
      <w:bookmarkStart w:id="52" w:name="_Toc86670780"/>
      <w:r w:rsidRPr="00C63860">
        <w:rPr>
          <w:b/>
          <w:bCs/>
          <w:color w:val="FF0000"/>
          <w:sz w:val="22"/>
          <w:szCs w:val="22"/>
        </w:rPr>
        <w:t xml:space="preserve">Table </w:t>
      </w:r>
      <w:r w:rsidRPr="00C63860">
        <w:rPr>
          <w:b/>
          <w:bCs/>
          <w:noProof/>
          <w:color w:val="FF0000"/>
          <w:sz w:val="22"/>
          <w:szCs w:val="22"/>
        </w:rPr>
        <w:t>8</w:t>
      </w:r>
      <w:r w:rsidR="00E13E3C" w:rsidRPr="00C63860">
        <w:rPr>
          <w:b/>
          <w:bCs/>
          <w:color w:val="auto"/>
          <w:sz w:val="22"/>
          <w:szCs w:val="22"/>
        </w:rPr>
        <w:t>: Unadjusted outcomes following emergency surgery (ES) and non-emergency surgery (NES) strategies for the primary (DAOH) and secondary outcomes</w:t>
      </w:r>
      <w:bookmarkEnd w:id="52"/>
    </w:p>
    <w:tbl>
      <w:tblPr>
        <w:tblW w:w="0" w:type="auto"/>
        <w:tblCellMar>
          <w:top w:w="40" w:type="dxa"/>
          <w:left w:w="60" w:type="dxa"/>
          <w:bottom w:w="40" w:type="dxa"/>
          <w:right w:w="60" w:type="dxa"/>
        </w:tblCellMar>
        <w:tblLook w:val="04A0" w:firstRow="1" w:lastRow="0" w:firstColumn="1" w:lastColumn="0" w:noHBand="0" w:noVBand="1"/>
      </w:tblPr>
      <w:tblGrid>
        <w:gridCol w:w="3770"/>
        <w:gridCol w:w="1028"/>
        <w:gridCol w:w="1027"/>
        <w:gridCol w:w="570"/>
        <w:gridCol w:w="2011"/>
      </w:tblGrid>
      <w:tr w:rsidR="009B6230" w:rsidRPr="00C63860" w14:paraId="43A6FCD1" w14:textId="77777777" w:rsidTr="00C63860">
        <w:trPr>
          <w:cantSplit/>
        </w:trPr>
        <w:tc>
          <w:tcPr>
            <w:tcW w:w="0" w:type="auto"/>
            <w:shd w:val="clear" w:color="auto" w:fill="auto"/>
            <w:noWrap/>
            <w:vAlign w:val="center"/>
          </w:tcPr>
          <w:p w14:paraId="38012A88" w14:textId="77777777" w:rsidR="009B6230" w:rsidRPr="00C63860" w:rsidRDefault="009B6230" w:rsidP="009B6230">
            <w:pPr>
              <w:rPr>
                <w:rFonts w:asciiTheme="minorHAnsi" w:hAnsiTheme="minorHAnsi" w:cstheme="minorHAnsi"/>
                <w:b/>
                <w:bCs/>
                <w:color w:val="000000"/>
              </w:rPr>
            </w:pPr>
          </w:p>
        </w:tc>
        <w:tc>
          <w:tcPr>
            <w:tcW w:w="0" w:type="auto"/>
            <w:shd w:val="clear" w:color="auto" w:fill="auto"/>
            <w:noWrap/>
            <w:vAlign w:val="center"/>
            <w:hideMark/>
          </w:tcPr>
          <w:p w14:paraId="1FC9844A" w14:textId="77777777" w:rsidR="009B6230" w:rsidRPr="00C63860" w:rsidRDefault="009B6230" w:rsidP="009B6230">
            <w:pPr>
              <w:jc w:val="center"/>
              <w:rPr>
                <w:rFonts w:cstheme="minorHAnsi"/>
                <w:b/>
                <w:bCs/>
              </w:rPr>
            </w:pPr>
            <w:r w:rsidRPr="00C63860">
              <w:rPr>
                <w:rFonts w:cstheme="minorHAnsi"/>
                <w:b/>
                <w:bCs/>
              </w:rPr>
              <w:t>ES</w:t>
            </w:r>
          </w:p>
        </w:tc>
        <w:tc>
          <w:tcPr>
            <w:tcW w:w="0" w:type="auto"/>
            <w:shd w:val="clear" w:color="auto" w:fill="auto"/>
            <w:noWrap/>
            <w:vAlign w:val="center"/>
            <w:hideMark/>
          </w:tcPr>
          <w:p w14:paraId="10E4DF68" w14:textId="77777777" w:rsidR="009B6230" w:rsidRPr="00C63860" w:rsidRDefault="009B6230" w:rsidP="009B6230">
            <w:pPr>
              <w:jc w:val="center"/>
              <w:rPr>
                <w:rFonts w:cstheme="minorHAnsi"/>
                <w:b/>
                <w:bCs/>
              </w:rPr>
            </w:pPr>
            <w:r w:rsidRPr="00C63860">
              <w:rPr>
                <w:rFonts w:cstheme="minorHAnsi"/>
                <w:b/>
                <w:bCs/>
              </w:rPr>
              <w:t>NES</w:t>
            </w:r>
          </w:p>
        </w:tc>
        <w:tc>
          <w:tcPr>
            <w:tcW w:w="0" w:type="auto"/>
            <w:gridSpan w:val="2"/>
            <w:shd w:val="clear" w:color="auto" w:fill="auto"/>
            <w:hideMark/>
          </w:tcPr>
          <w:p w14:paraId="6E61EA00" w14:textId="77777777" w:rsidR="00C63860" w:rsidRPr="00C63860" w:rsidRDefault="009B6230" w:rsidP="009B6230">
            <w:pPr>
              <w:jc w:val="center"/>
              <w:rPr>
                <w:rFonts w:cstheme="minorHAnsi"/>
                <w:b/>
                <w:bCs/>
              </w:rPr>
            </w:pPr>
            <w:r w:rsidRPr="00C63860">
              <w:rPr>
                <w:rFonts w:cstheme="minorHAnsi"/>
                <w:b/>
                <w:bCs/>
              </w:rPr>
              <w:t>Absolute mean</w:t>
            </w:r>
          </w:p>
          <w:p w14:paraId="43E858E4" w14:textId="3ED78DA6" w:rsidR="009B6230" w:rsidRPr="00C63860" w:rsidRDefault="009B6230" w:rsidP="009B6230">
            <w:pPr>
              <w:jc w:val="center"/>
              <w:rPr>
                <w:rFonts w:cstheme="minorHAnsi"/>
                <w:b/>
                <w:bCs/>
              </w:rPr>
            </w:pPr>
            <w:r w:rsidRPr="00C63860">
              <w:rPr>
                <w:rFonts w:cstheme="minorHAnsi"/>
                <w:b/>
                <w:bCs/>
              </w:rPr>
              <w:t>difference (95% CI)</w:t>
            </w:r>
          </w:p>
        </w:tc>
      </w:tr>
      <w:tr w:rsidR="009B6230" w:rsidRPr="00C63860" w14:paraId="64FFDF58" w14:textId="77777777" w:rsidTr="00C63860">
        <w:trPr>
          <w:cantSplit/>
        </w:trPr>
        <w:tc>
          <w:tcPr>
            <w:tcW w:w="0" w:type="auto"/>
            <w:shd w:val="clear" w:color="auto" w:fill="auto"/>
            <w:noWrap/>
            <w:vAlign w:val="center"/>
            <w:hideMark/>
          </w:tcPr>
          <w:p w14:paraId="783DBD88" w14:textId="77777777" w:rsidR="009B6230" w:rsidRPr="00C63860" w:rsidRDefault="009B6230" w:rsidP="009B6230">
            <w:pPr>
              <w:rPr>
                <w:rFonts w:cstheme="minorHAnsi"/>
                <w:b/>
                <w:bCs/>
                <w:color w:val="000000"/>
              </w:rPr>
            </w:pPr>
            <w:r w:rsidRPr="00C63860">
              <w:rPr>
                <w:rFonts w:cstheme="minorHAnsi"/>
                <w:b/>
                <w:bCs/>
              </w:rPr>
              <w:t>Appendicitis</w:t>
            </w:r>
          </w:p>
        </w:tc>
        <w:tc>
          <w:tcPr>
            <w:tcW w:w="0" w:type="auto"/>
            <w:shd w:val="clear" w:color="auto" w:fill="auto"/>
            <w:noWrap/>
            <w:vAlign w:val="center"/>
            <w:hideMark/>
          </w:tcPr>
          <w:p w14:paraId="739D01EA" w14:textId="77777777" w:rsidR="009B6230" w:rsidRPr="00C63860" w:rsidRDefault="009B6230" w:rsidP="009B6230">
            <w:pPr>
              <w:rPr>
                <w:rFonts w:cstheme="minorHAnsi"/>
                <w:b/>
                <w:bCs/>
              </w:rPr>
            </w:pPr>
          </w:p>
        </w:tc>
        <w:tc>
          <w:tcPr>
            <w:tcW w:w="0" w:type="auto"/>
            <w:shd w:val="clear" w:color="auto" w:fill="auto"/>
            <w:noWrap/>
            <w:vAlign w:val="center"/>
            <w:hideMark/>
          </w:tcPr>
          <w:p w14:paraId="695F636B" w14:textId="77777777" w:rsidR="009B6230" w:rsidRPr="00C63860" w:rsidRDefault="009B6230" w:rsidP="009B6230"/>
        </w:tc>
        <w:tc>
          <w:tcPr>
            <w:tcW w:w="0" w:type="auto"/>
            <w:shd w:val="clear" w:color="auto" w:fill="auto"/>
          </w:tcPr>
          <w:p w14:paraId="0B75F1FE" w14:textId="77777777" w:rsidR="009B6230" w:rsidRPr="00C63860" w:rsidRDefault="009B6230" w:rsidP="009B6230">
            <w:pPr>
              <w:rPr>
                <w:rFonts w:cstheme="minorHAnsi"/>
                <w:color w:val="000000"/>
              </w:rPr>
            </w:pPr>
          </w:p>
        </w:tc>
        <w:tc>
          <w:tcPr>
            <w:tcW w:w="0" w:type="auto"/>
            <w:shd w:val="clear" w:color="auto" w:fill="auto"/>
            <w:noWrap/>
            <w:vAlign w:val="bottom"/>
            <w:hideMark/>
          </w:tcPr>
          <w:p w14:paraId="46D142E3" w14:textId="51A3A533" w:rsidR="009B6230" w:rsidRPr="00C63860" w:rsidRDefault="00C63860" w:rsidP="009B6230">
            <w:pPr>
              <w:ind w:right="729"/>
              <w:rPr>
                <w:rFonts w:cstheme="minorHAnsi"/>
              </w:rPr>
            </w:pPr>
            <w:r w:rsidRPr="00C63860">
              <w:rPr>
                <w:rFonts w:cstheme="minorHAnsi"/>
              </w:rPr>
              <w:t xml:space="preserve"> </w:t>
            </w:r>
          </w:p>
        </w:tc>
      </w:tr>
      <w:tr w:rsidR="009B6230" w:rsidRPr="00C63860" w14:paraId="7F3FEA4F" w14:textId="77777777" w:rsidTr="00C63860">
        <w:trPr>
          <w:cantSplit/>
        </w:trPr>
        <w:tc>
          <w:tcPr>
            <w:tcW w:w="0" w:type="auto"/>
            <w:shd w:val="clear" w:color="auto" w:fill="auto"/>
            <w:noWrap/>
            <w:vAlign w:val="center"/>
            <w:hideMark/>
          </w:tcPr>
          <w:p w14:paraId="47282DDA" w14:textId="77777777" w:rsidR="009B6230" w:rsidRPr="00C63860" w:rsidRDefault="009B6230" w:rsidP="009B6230">
            <w:pPr>
              <w:rPr>
                <w:rFonts w:cstheme="minorHAnsi"/>
                <w:color w:val="000000"/>
              </w:rPr>
            </w:pPr>
            <w:r w:rsidRPr="00C63860">
              <w:rPr>
                <w:rFonts w:cstheme="minorHAnsi"/>
              </w:rPr>
              <w:t>DAOH within 90 days (mean)</w:t>
            </w:r>
          </w:p>
        </w:tc>
        <w:tc>
          <w:tcPr>
            <w:tcW w:w="0" w:type="auto"/>
            <w:shd w:val="clear" w:color="auto" w:fill="auto"/>
            <w:noWrap/>
            <w:vAlign w:val="center"/>
            <w:hideMark/>
          </w:tcPr>
          <w:p w14:paraId="6B73D9D6" w14:textId="77777777" w:rsidR="009B6230" w:rsidRPr="00C63860" w:rsidRDefault="009B6230" w:rsidP="009B6230">
            <w:pPr>
              <w:ind w:right="458"/>
              <w:jc w:val="right"/>
              <w:rPr>
                <w:rFonts w:cstheme="minorHAnsi"/>
                <w:color w:val="000000"/>
              </w:rPr>
            </w:pPr>
            <w:r w:rsidRPr="00C63860">
              <w:rPr>
                <w:rFonts w:cstheme="minorHAnsi"/>
              </w:rPr>
              <w:t>84.78</w:t>
            </w:r>
          </w:p>
        </w:tc>
        <w:tc>
          <w:tcPr>
            <w:tcW w:w="0" w:type="auto"/>
            <w:shd w:val="clear" w:color="auto" w:fill="auto"/>
            <w:noWrap/>
            <w:vAlign w:val="center"/>
            <w:hideMark/>
          </w:tcPr>
          <w:p w14:paraId="5678D82F" w14:textId="77777777" w:rsidR="009B6230" w:rsidRPr="00C63860" w:rsidRDefault="009B6230" w:rsidP="009B6230">
            <w:pPr>
              <w:ind w:right="456"/>
              <w:jc w:val="right"/>
              <w:rPr>
                <w:rFonts w:cstheme="minorHAnsi"/>
                <w:color w:val="000000"/>
              </w:rPr>
            </w:pPr>
            <w:r w:rsidRPr="00C63860">
              <w:rPr>
                <w:rFonts w:cstheme="minorHAnsi"/>
              </w:rPr>
              <w:t>82.50</w:t>
            </w:r>
          </w:p>
        </w:tc>
        <w:tc>
          <w:tcPr>
            <w:tcW w:w="0" w:type="auto"/>
            <w:shd w:val="clear" w:color="auto" w:fill="auto"/>
            <w:hideMark/>
          </w:tcPr>
          <w:p w14:paraId="750A5D36" w14:textId="77777777" w:rsidR="009B6230" w:rsidRPr="00C63860" w:rsidRDefault="009B6230" w:rsidP="009B6230">
            <w:pPr>
              <w:ind w:right="-109"/>
              <w:jc w:val="right"/>
              <w:rPr>
                <w:rFonts w:cstheme="minorHAnsi"/>
                <w:color w:val="000000"/>
              </w:rPr>
            </w:pPr>
            <w:r w:rsidRPr="00C63860">
              <w:rPr>
                <w:rFonts w:cstheme="minorHAnsi"/>
              </w:rPr>
              <w:t>2.28</w:t>
            </w:r>
          </w:p>
        </w:tc>
        <w:tc>
          <w:tcPr>
            <w:tcW w:w="0" w:type="auto"/>
            <w:shd w:val="clear" w:color="auto" w:fill="auto"/>
            <w:noWrap/>
            <w:vAlign w:val="center"/>
            <w:hideMark/>
          </w:tcPr>
          <w:p w14:paraId="29A6CE2A" w14:textId="77777777" w:rsidR="009B6230" w:rsidRPr="00C63860" w:rsidRDefault="009B6230" w:rsidP="009B6230">
            <w:pPr>
              <w:ind w:right="741"/>
              <w:jc w:val="right"/>
              <w:rPr>
                <w:rFonts w:cstheme="minorHAnsi"/>
              </w:rPr>
            </w:pPr>
            <w:r w:rsidRPr="00C63860">
              <w:rPr>
                <w:rFonts w:cstheme="minorHAnsi"/>
              </w:rPr>
              <w:t xml:space="preserve"> (2.01, 2.54)</w:t>
            </w:r>
          </w:p>
        </w:tc>
      </w:tr>
      <w:tr w:rsidR="009B6230" w:rsidRPr="00C63860" w14:paraId="502D69D3" w14:textId="77777777" w:rsidTr="00C63860">
        <w:trPr>
          <w:cantSplit/>
        </w:trPr>
        <w:tc>
          <w:tcPr>
            <w:tcW w:w="0" w:type="auto"/>
            <w:shd w:val="clear" w:color="auto" w:fill="auto"/>
            <w:noWrap/>
            <w:vAlign w:val="center"/>
            <w:hideMark/>
          </w:tcPr>
          <w:p w14:paraId="520CDCB9" w14:textId="77777777" w:rsidR="009B6230" w:rsidRPr="00C63860" w:rsidRDefault="009B6230" w:rsidP="009B6230">
            <w:pPr>
              <w:rPr>
                <w:rFonts w:cstheme="minorHAnsi"/>
                <w:color w:val="000000"/>
              </w:rPr>
            </w:pPr>
            <w:r w:rsidRPr="00C63860">
              <w:rPr>
                <w:rFonts w:cstheme="minorHAnsi"/>
              </w:rPr>
              <w:t>Mortality within 90 days (%)</w:t>
            </w:r>
          </w:p>
        </w:tc>
        <w:tc>
          <w:tcPr>
            <w:tcW w:w="0" w:type="auto"/>
            <w:shd w:val="clear" w:color="auto" w:fill="auto"/>
            <w:noWrap/>
            <w:vAlign w:val="center"/>
            <w:hideMark/>
          </w:tcPr>
          <w:p w14:paraId="527C8125" w14:textId="77777777" w:rsidR="009B6230" w:rsidRPr="00C63860" w:rsidRDefault="009B6230" w:rsidP="009B6230">
            <w:pPr>
              <w:ind w:right="458"/>
              <w:jc w:val="right"/>
              <w:rPr>
                <w:rFonts w:cstheme="minorHAnsi"/>
                <w:color w:val="000000"/>
              </w:rPr>
            </w:pPr>
            <w:r w:rsidRPr="00C63860">
              <w:rPr>
                <w:rFonts w:cstheme="minorHAnsi"/>
              </w:rPr>
              <w:t>0.19</w:t>
            </w:r>
          </w:p>
        </w:tc>
        <w:tc>
          <w:tcPr>
            <w:tcW w:w="0" w:type="auto"/>
            <w:shd w:val="clear" w:color="auto" w:fill="auto"/>
            <w:noWrap/>
            <w:vAlign w:val="center"/>
            <w:hideMark/>
          </w:tcPr>
          <w:p w14:paraId="0D733D6A" w14:textId="77777777" w:rsidR="009B6230" w:rsidRPr="00C63860" w:rsidRDefault="009B6230" w:rsidP="009B6230">
            <w:pPr>
              <w:ind w:right="456"/>
              <w:jc w:val="right"/>
              <w:rPr>
                <w:rFonts w:cstheme="minorHAnsi"/>
                <w:color w:val="000000"/>
              </w:rPr>
            </w:pPr>
            <w:r w:rsidRPr="00C63860">
              <w:rPr>
                <w:rFonts w:cstheme="minorHAnsi"/>
              </w:rPr>
              <w:t>1.09</w:t>
            </w:r>
          </w:p>
        </w:tc>
        <w:tc>
          <w:tcPr>
            <w:tcW w:w="0" w:type="auto"/>
            <w:shd w:val="clear" w:color="auto" w:fill="auto"/>
            <w:hideMark/>
          </w:tcPr>
          <w:p w14:paraId="1907BE3D" w14:textId="36E4358C" w:rsidR="009B6230" w:rsidRPr="00C63860" w:rsidRDefault="00C63860" w:rsidP="009B6230">
            <w:pPr>
              <w:ind w:right="-109"/>
              <w:jc w:val="right"/>
              <w:rPr>
                <w:rFonts w:cstheme="minorHAnsi"/>
                <w:color w:val="000000"/>
              </w:rPr>
            </w:pPr>
            <w:r w:rsidRPr="00C63860">
              <w:rPr>
                <w:rFonts w:cstheme="minorHAnsi"/>
                <w:color w:val="00B0F0"/>
              </w:rPr>
              <w:t>–0</w:t>
            </w:r>
            <w:r w:rsidR="009B6230" w:rsidRPr="00C63860">
              <w:rPr>
                <w:rFonts w:cstheme="minorHAnsi"/>
              </w:rPr>
              <w:t>.90</w:t>
            </w:r>
          </w:p>
        </w:tc>
        <w:tc>
          <w:tcPr>
            <w:tcW w:w="0" w:type="auto"/>
            <w:shd w:val="clear" w:color="auto" w:fill="auto"/>
            <w:noWrap/>
            <w:vAlign w:val="center"/>
            <w:hideMark/>
          </w:tcPr>
          <w:p w14:paraId="5919DC83" w14:textId="75EDA1DD" w:rsidR="009B6230" w:rsidRPr="00C63860" w:rsidRDefault="009B6230" w:rsidP="009B6230">
            <w:pPr>
              <w:ind w:right="741"/>
              <w:jc w:val="right"/>
              <w:rPr>
                <w:rFonts w:cstheme="minorHAnsi"/>
              </w:rPr>
            </w:pPr>
            <w:r w:rsidRPr="00C63860">
              <w:rPr>
                <w:rFonts w:cstheme="minorHAnsi"/>
              </w:rPr>
              <w:t>(</w:t>
            </w:r>
            <w:r w:rsidR="00C63860" w:rsidRPr="00C63860">
              <w:rPr>
                <w:rFonts w:cstheme="minorHAnsi"/>
                <w:color w:val="00B0F0"/>
              </w:rPr>
              <w:t>–1</w:t>
            </w:r>
            <w:r w:rsidRPr="00C63860">
              <w:rPr>
                <w:rFonts w:cstheme="minorHAnsi"/>
              </w:rPr>
              <w:t>.0</w:t>
            </w:r>
            <w:r w:rsidR="00C63860" w:rsidRPr="00C63860">
              <w:rPr>
                <w:rFonts w:cstheme="minorHAnsi"/>
                <w:color w:val="00B0F0"/>
              </w:rPr>
              <w:t>7, -0</w:t>
            </w:r>
            <w:r w:rsidRPr="00C63860">
              <w:rPr>
                <w:rFonts w:cstheme="minorHAnsi"/>
              </w:rPr>
              <w:t>.73)</w:t>
            </w:r>
          </w:p>
        </w:tc>
      </w:tr>
      <w:tr w:rsidR="009B6230" w:rsidRPr="00C63860" w14:paraId="2E55D722" w14:textId="77777777" w:rsidTr="00C63860">
        <w:trPr>
          <w:cantSplit/>
        </w:trPr>
        <w:tc>
          <w:tcPr>
            <w:tcW w:w="0" w:type="auto"/>
            <w:shd w:val="clear" w:color="auto" w:fill="auto"/>
            <w:noWrap/>
            <w:vAlign w:val="center"/>
            <w:hideMark/>
          </w:tcPr>
          <w:p w14:paraId="7941B47E" w14:textId="77777777" w:rsidR="009B6230" w:rsidRPr="00C63860" w:rsidRDefault="009B6230" w:rsidP="009B6230">
            <w:pPr>
              <w:rPr>
                <w:rFonts w:cstheme="minorHAnsi"/>
                <w:color w:val="000000"/>
              </w:rPr>
            </w:pPr>
            <w:r w:rsidRPr="00C63860">
              <w:rPr>
                <w:rFonts w:cstheme="minorHAnsi"/>
              </w:rPr>
              <w:t>LOS within 90 days (mean)</w:t>
            </w:r>
          </w:p>
        </w:tc>
        <w:tc>
          <w:tcPr>
            <w:tcW w:w="0" w:type="auto"/>
            <w:shd w:val="clear" w:color="auto" w:fill="auto"/>
            <w:noWrap/>
            <w:vAlign w:val="center"/>
            <w:hideMark/>
          </w:tcPr>
          <w:p w14:paraId="68B634BD" w14:textId="77777777" w:rsidR="009B6230" w:rsidRPr="00C63860" w:rsidRDefault="009B6230" w:rsidP="009B6230">
            <w:pPr>
              <w:ind w:right="458"/>
              <w:jc w:val="right"/>
              <w:rPr>
                <w:rFonts w:cstheme="minorHAnsi"/>
                <w:color w:val="000000"/>
              </w:rPr>
            </w:pPr>
            <w:r w:rsidRPr="00C63860">
              <w:rPr>
                <w:rFonts w:cstheme="minorHAnsi"/>
              </w:rPr>
              <w:t>5.09</w:t>
            </w:r>
          </w:p>
        </w:tc>
        <w:tc>
          <w:tcPr>
            <w:tcW w:w="0" w:type="auto"/>
            <w:shd w:val="clear" w:color="auto" w:fill="auto"/>
            <w:noWrap/>
            <w:vAlign w:val="center"/>
            <w:hideMark/>
          </w:tcPr>
          <w:p w14:paraId="31123750" w14:textId="77777777" w:rsidR="009B6230" w:rsidRPr="00C63860" w:rsidRDefault="009B6230" w:rsidP="009B6230">
            <w:pPr>
              <w:ind w:right="456"/>
              <w:jc w:val="right"/>
              <w:rPr>
                <w:rFonts w:cstheme="minorHAnsi"/>
                <w:color w:val="000000"/>
              </w:rPr>
            </w:pPr>
            <w:r w:rsidRPr="00C63860">
              <w:rPr>
                <w:rFonts w:cstheme="minorHAnsi"/>
              </w:rPr>
              <w:t>6.68</w:t>
            </w:r>
          </w:p>
        </w:tc>
        <w:tc>
          <w:tcPr>
            <w:tcW w:w="0" w:type="auto"/>
            <w:shd w:val="clear" w:color="auto" w:fill="auto"/>
            <w:hideMark/>
          </w:tcPr>
          <w:p w14:paraId="22E0CD2F" w14:textId="0FC0C578" w:rsidR="009B6230" w:rsidRPr="00C63860" w:rsidRDefault="00C63860" w:rsidP="009B6230">
            <w:pPr>
              <w:ind w:right="-109"/>
              <w:jc w:val="right"/>
              <w:rPr>
                <w:rFonts w:cstheme="minorHAnsi"/>
                <w:color w:val="000000"/>
              </w:rPr>
            </w:pPr>
            <w:r w:rsidRPr="00C63860">
              <w:rPr>
                <w:rFonts w:cstheme="minorHAnsi"/>
                <w:color w:val="00B0F0"/>
              </w:rPr>
              <w:t>–1</w:t>
            </w:r>
            <w:r w:rsidR="009B6230" w:rsidRPr="00C63860">
              <w:rPr>
                <w:rFonts w:cstheme="minorHAnsi"/>
              </w:rPr>
              <w:t>.60</w:t>
            </w:r>
          </w:p>
        </w:tc>
        <w:tc>
          <w:tcPr>
            <w:tcW w:w="0" w:type="auto"/>
            <w:shd w:val="clear" w:color="auto" w:fill="auto"/>
            <w:noWrap/>
            <w:vAlign w:val="center"/>
            <w:hideMark/>
          </w:tcPr>
          <w:p w14:paraId="252C44BD" w14:textId="142B18E5" w:rsidR="009B6230" w:rsidRPr="00C63860" w:rsidRDefault="009B6230" w:rsidP="009B6230">
            <w:pPr>
              <w:ind w:right="741"/>
              <w:jc w:val="right"/>
              <w:rPr>
                <w:rFonts w:cstheme="minorHAnsi"/>
              </w:rPr>
            </w:pPr>
            <w:r w:rsidRPr="00C63860">
              <w:rPr>
                <w:rFonts w:cstheme="minorHAnsi"/>
              </w:rPr>
              <w:t>(</w:t>
            </w:r>
            <w:r w:rsidR="00C63860" w:rsidRPr="00C63860">
              <w:rPr>
                <w:rFonts w:cstheme="minorHAnsi"/>
                <w:color w:val="00B0F0"/>
              </w:rPr>
              <w:t>–1</w:t>
            </w:r>
            <w:r w:rsidRPr="00C63860">
              <w:rPr>
                <w:rFonts w:cstheme="minorHAnsi"/>
              </w:rPr>
              <w:t>.7</w:t>
            </w:r>
            <w:r w:rsidR="00C63860" w:rsidRPr="00C63860">
              <w:rPr>
                <w:rFonts w:cstheme="minorHAnsi"/>
                <w:color w:val="00B0F0"/>
              </w:rPr>
              <w:t>7, -1</w:t>
            </w:r>
            <w:r w:rsidRPr="00C63860">
              <w:rPr>
                <w:rFonts w:cstheme="minorHAnsi"/>
              </w:rPr>
              <w:t>.42)</w:t>
            </w:r>
          </w:p>
        </w:tc>
      </w:tr>
      <w:tr w:rsidR="009B6230" w:rsidRPr="00C63860" w14:paraId="01FC2171" w14:textId="77777777" w:rsidTr="00C63860">
        <w:trPr>
          <w:cantSplit/>
        </w:trPr>
        <w:tc>
          <w:tcPr>
            <w:tcW w:w="0" w:type="auto"/>
            <w:shd w:val="clear" w:color="auto" w:fill="auto"/>
            <w:noWrap/>
            <w:vAlign w:val="center"/>
            <w:hideMark/>
          </w:tcPr>
          <w:p w14:paraId="2E2B1057" w14:textId="77777777" w:rsidR="009B6230" w:rsidRPr="00C63860" w:rsidRDefault="009B6230" w:rsidP="009B6230">
            <w:pPr>
              <w:rPr>
                <w:rFonts w:cstheme="minorHAnsi"/>
                <w:color w:val="000000"/>
              </w:rPr>
            </w:pPr>
            <w:r w:rsidRPr="00C63860">
              <w:rPr>
                <w:rFonts w:cstheme="minorHAnsi"/>
              </w:rPr>
              <w:t>Emergency Readmissions within 30 days (%)</w:t>
            </w:r>
          </w:p>
        </w:tc>
        <w:tc>
          <w:tcPr>
            <w:tcW w:w="0" w:type="auto"/>
            <w:shd w:val="clear" w:color="auto" w:fill="auto"/>
            <w:noWrap/>
            <w:vAlign w:val="center"/>
            <w:hideMark/>
          </w:tcPr>
          <w:p w14:paraId="451E9D0A" w14:textId="77777777" w:rsidR="009B6230" w:rsidRPr="00C63860" w:rsidRDefault="009B6230" w:rsidP="009B6230">
            <w:pPr>
              <w:ind w:right="458"/>
              <w:jc w:val="right"/>
              <w:rPr>
                <w:rFonts w:cstheme="minorHAnsi"/>
                <w:color w:val="000000"/>
              </w:rPr>
            </w:pPr>
            <w:r w:rsidRPr="00C63860">
              <w:rPr>
                <w:rFonts w:cstheme="minorHAnsi"/>
              </w:rPr>
              <w:t>9.06</w:t>
            </w:r>
          </w:p>
        </w:tc>
        <w:tc>
          <w:tcPr>
            <w:tcW w:w="0" w:type="auto"/>
            <w:shd w:val="clear" w:color="auto" w:fill="auto"/>
            <w:noWrap/>
            <w:vAlign w:val="center"/>
            <w:hideMark/>
          </w:tcPr>
          <w:p w14:paraId="427B74C1" w14:textId="77777777" w:rsidR="009B6230" w:rsidRPr="00C63860" w:rsidRDefault="009B6230" w:rsidP="009B6230">
            <w:pPr>
              <w:ind w:right="456"/>
              <w:jc w:val="right"/>
              <w:rPr>
                <w:rFonts w:cstheme="minorHAnsi"/>
                <w:color w:val="000000"/>
              </w:rPr>
            </w:pPr>
            <w:r w:rsidRPr="00C63860">
              <w:rPr>
                <w:rFonts w:cstheme="minorHAnsi"/>
              </w:rPr>
              <w:t>11.09</w:t>
            </w:r>
          </w:p>
        </w:tc>
        <w:tc>
          <w:tcPr>
            <w:tcW w:w="0" w:type="auto"/>
            <w:shd w:val="clear" w:color="auto" w:fill="auto"/>
            <w:hideMark/>
          </w:tcPr>
          <w:p w14:paraId="153AEE14" w14:textId="270CDB31" w:rsidR="009B6230" w:rsidRPr="00C63860" w:rsidRDefault="00C63860" w:rsidP="009B6230">
            <w:pPr>
              <w:ind w:right="-109"/>
              <w:jc w:val="right"/>
              <w:rPr>
                <w:rFonts w:cstheme="minorHAnsi"/>
                <w:color w:val="000000"/>
              </w:rPr>
            </w:pPr>
            <w:r w:rsidRPr="00C63860">
              <w:rPr>
                <w:rFonts w:cstheme="minorHAnsi"/>
                <w:color w:val="00B0F0"/>
              </w:rPr>
              <w:t>–2</w:t>
            </w:r>
            <w:r w:rsidR="009B6230" w:rsidRPr="00C63860">
              <w:rPr>
                <w:rFonts w:cstheme="minorHAnsi"/>
              </w:rPr>
              <w:t>.03</w:t>
            </w:r>
          </w:p>
        </w:tc>
        <w:tc>
          <w:tcPr>
            <w:tcW w:w="0" w:type="auto"/>
            <w:shd w:val="clear" w:color="auto" w:fill="auto"/>
            <w:noWrap/>
            <w:vAlign w:val="center"/>
            <w:hideMark/>
          </w:tcPr>
          <w:p w14:paraId="10CC2034" w14:textId="235AF788" w:rsidR="009B6230" w:rsidRPr="00C63860" w:rsidRDefault="009B6230" w:rsidP="009B6230">
            <w:pPr>
              <w:ind w:right="741"/>
              <w:jc w:val="right"/>
              <w:rPr>
                <w:rFonts w:cstheme="minorHAnsi"/>
              </w:rPr>
            </w:pPr>
            <w:r w:rsidRPr="00C63860">
              <w:rPr>
                <w:rFonts w:cstheme="minorHAnsi"/>
              </w:rPr>
              <w:t>(</w:t>
            </w:r>
            <w:r w:rsidR="00C63860" w:rsidRPr="00C63860">
              <w:rPr>
                <w:rFonts w:cstheme="minorHAnsi"/>
                <w:color w:val="00B0F0"/>
              </w:rPr>
              <w:t>–2</w:t>
            </w:r>
            <w:r w:rsidRPr="00C63860">
              <w:rPr>
                <w:rFonts w:cstheme="minorHAnsi"/>
              </w:rPr>
              <w:t>.5</w:t>
            </w:r>
            <w:r w:rsidR="00C63860" w:rsidRPr="00C63860">
              <w:rPr>
                <w:rFonts w:cstheme="minorHAnsi"/>
                <w:color w:val="00B0F0"/>
              </w:rPr>
              <w:t>5, -1</w:t>
            </w:r>
            <w:r w:rsidRPr="00C63860">
              <w:rPr>
                <w:rFonts w:cstheme="minorHAnsi"/>
              </w:rPr>
              <w:t>.51)</w:t>
            </w:r>
          </w:p>
        </w:tc>
      </w:tr>
      <w:tr w:rsidR="009B6230" w:rsidRPr="00C63860" w14:paraId="0FCB5403" w14:textId="77777777" w:rsidTr="00C63860">
        <w:trPr>
          <w:cantSplit/>
        </w:trPr>
        <w:tc>
          <w:tcPr>
            <w:tcW w:w="0" w:type="auto"/>
            <w:shd w:val="clear" w:color="auto" w:fill="auto"/>
            <w:noWrap/>
            <w:vAlign w:val="center"/>
          </w:tcPr>
          <w:p w14:paraId="409BA885" w14:textId="77777777" w:rsidR="009B6230" w:rsidRPr="00C63860" w:rsidRDefault="009B6230" w:rsidP="009B6230">
            <w:pPr>
              <w:rPr>
                <w:rFonts w:cstheme="minorHAnsi"/>
                <w:color w:val="000000"/>
              </w:rPr>
            </w:pPr>
          </w:p>
        </w:tc>
        <w:tc>
          <w:tcPr>
            <w:tcW w:w="0" w:type="auto"/>
            <w:shd w:val="clear" w:color="auto" w:fill="auto"/>
            <w:noWrap/>
            <w:vAlign w:val="center"/>
          </w:tcPr>
          <w:p w14:paraId="2E9CC033" w14:textId="77777777" w:rsidR="009B6230" w:rsidRPr="00C63860" w:rsidRDefault="009B6230" w:rsidP="009B6230">
            <w:pPr>
              <w:ind w:right="458"/>
              <w:jc w:val="right"/>
              <w:rPr>
                <w:rFonts w:cstheme="minorHAnsi"/>
                <w:color w:val="000000"/>
              </w:rPr>
            </w:pPr>
          </w:p>
        </w:tc>
        <w:tc>
          <w:tcPr>
            <w:tcW w:w="0" w:type="auto"/>
            <w:shd w:val="clear" w:color="auto" w:fill="auto"/>
            <w:noWrap/>
            <w:vAlign w:val="center"/>
          </w:tcPr>
          <w:p w14:paraId="4E8632C0" w14:textId="77777777" w:rsidR="009B6230" w:rsidRPr="00C63860" w:rsidRDefault="009B6230" w:rsidP="009B6230">
            <w:pPr>
              <w:ind w:right="456"/>
              <w:jc w:val="right"/>
              <w:rPr>
                <w:rFonts w:cstheme="minorHAnsi"/>
                <w:color w:val="000000"/>
              </w:rPr>
            </w:pPr>
          </w:p>
        </w:tc>
        <w:tc>
          <w:tcPr>
            <w:tcW w:w="0" w:type="auto"/>
            <w:shd w:val="clear" w:color="auto" w:fill="auto"/>
          </w:tcPr>
          <w:p w14:paraId="0D55E1DF" w14:textId="77777777" w:rsidR="009B6230" w:rsidRPr="00C63860" w:rsidRDefault="009B6230" w:rsidP="009B6230">
            <w:pPr>
              <w:ind w:right="-109"/>
              <w:jc w:val="right"/>
              <w:rPr>
                <w:rFonts w:cstheme="minorHAnsi"/>
                <w:color w:val="000000"/>
              </w:rPr>
            </w:pPr>
          </w:p>
        </w:tc>
        <w:tc>
          <w:tcPr>
            <w:tcW w:w="0" w:type="auto"/>
            <w:shd w:val="clear" w:color="auto" w:fill="auto"/>
            <w:noWrap/>
            <w:vAlign w:val="center"/>
          </w:tcPr>
          <w:p w14:paraId="32C6CDA0" w14:textId="77777777" w:rsidR="009B6230" w:rsidRPr="00C63860" w:rsidRDefault="009B6230" w:rsidP="009B6230">
            <w:pPr>
              <w:ind w:right="741"/>
              <w:jc w:val="right"/>
              <w:rPr>
                <w:rFonts w:cstheme="minorHAnsi"/>
              </w:rPr>
            </w:pPr>
          </w:p>
        </w:tc>
      </w:tr>
      <w:tr w:rsidR="009B6230" w:rsidRPr="00C63860" w14:paraId="6727CAE3" w14:textId="77777777" w:rsidTr="00C63860">
        <w:trPr>
          <w:cantSplit/>
        </w:trPr>
        <w:tc>
          <w:tcPr>
            <w:tcW w:w="0" w:type="auto"/>
            <w:shd w:val="clear" w:color="auto" w:fill="auto"/>
            <w:noWrap/>
            <w:vAlign w:val="center"/>
            <w:hideMark/>
          </w:tcPr>
          <w:p w14:paraId="0662A540" w14:textId="77777777" w:rsidR="009B6230" w:rsidRPr="00C63860" w:rsidRDefault="009B6230" w:rsidP="009B6230">
            <w:pPr>
              <w:rPr>
                <w:rFonts w:cstheme="minorHAnsi"/>
                <w:b/>
                <w:bCs/>
                <w:color w:val="000000"/>
              </w:rPr>
            </w:pPr>
            <w:r w:rsidRPr="00C63860">
              <w:rPr>
                <w:rFonts w:cstheme="minorHAnsi"/>
                <w:b/>
                <w:bCs/>
              </w:rPr>
              <w:t>Cholelithiasis</w:t>
            </w:r>
          </w:p>
        </w:tc>
        <w:tc>
          <w:tcPr>
            <w:tcW w:w="0" w:type="auto"/>
            <w:shd w:val="clear" w:color="auto" w:fill="auto"/>
            <w:noWrap/>
            <w:vAlign w:val="bottom"/>
            <w:hideMark/>
          </w:tcPr>
          <w:p w14:paraId="116A3788" w14:textId="77777777" w:rsidR="009B6230" w:rsidRPr="00C63860" w:rsidRDefault="009B6230" w:rsidP="009B6230">
            <w:pPr>
              <w:rPr>
                <w:rFonts w:cstheme="minorHAnsi"/>
                <w:b/>
                <w:bCs/>
              </w:rPr>
            </w:pPr>
          </w:p>
        </w:tc>
        <w:tc>
          <w:tcPr>
            <w:tcW w:w="0" w:type="auto"/>
            <w:shd w:val="clear" w:color="auto" w:fill="auto"/>
            <w:noWrap/>
            <w:vAlign w:val="bottom"/>
            <w:hideMark/>
          </w:tcPr>
          <w:p w14:paraId="32E1277C" w14:textId="77777777" w:rsidR="009B6230" w:rsidRPr="00C63860" w:rsidRDefault="009B6230" w:rsidP="009B6230"/>
        </w:tc>
        <w:tc>
          <w:tcPr>
            <w:tcW w:w="0" w:type="auto"/>
            <w:shd w:val="clear" w:color="auto" w:fill="auto"/>
          </w:tcPr>
          <w:p w14:paraId="02B49A0A" w14:textId="77777777" w:rsidR="009B6230" w:rsidRPr="00C63860" w:rsidRDefault="009B6230" w:rsidP="009B6230">
            <w:pPr>
              <w:ind w:right="-109"/>
              <w:jc w:val="right"/>
              <w:rPr>
                <w:rFonts w:cstheme="minorHAnsi"/>
                <w:color w:val="000000"/>
              </w:rPr>
            </w:pPr>
          </w:p>
        </w:tc>
        <w:tc>
          <w:tcPr>
            <w:tcW w:w="0" w:type="auto"/>
            <w:shd w:val="clear" w:color="auto" w:fill="auto"/>
            <w:noWrap/>
            <w:vAlign w:val="bottom"/>
            <w:hideMark/>
          </w:tcPr>
          <w:p w14:paraId="65862AE0" w14:textId="00A2856E" w:rsidR="009B6230" w:rsidRPr="00C63860" w:rsidRDefault="00C63860" w:rsidP="009B6230">
            <w:pPr>
              <w:ind w:right="741"/>
              <w:jc w:val="right"/>
              <w:rPr>
                <w:rFonts w:cstheme="minorHAnsi"/>
              </w:rPr>
            </w:pPr>
            <w:r w:rsidRPr="00C63860">
              <w:rPr>
                <w:rFonts w:cstheme="minorHAnsi"/>
              </w:rPr>
              <w:t xml:space="preserve"> </w:t>
            </w:r>
          </w:p>
        </w:tc>
      </w:tr>
      <w:tr w:rsidR="009B6230" w:rsidRPr="00C63860" w14:paraId="03BE1C23" w14:textId="77777777" w:rsidTr="00C63860">
        <w:trPr>
          <w:cantSplit/>
        </w:trPr>
        <w:tc>
          <w:tcPr>
            <w:tcW w:w="0" w:type="auto"/>
            <w:shd w:val="clear" w:color="auto" w:fill="auto"/>
            <w:noWrap/>
            <w:vAlign w:val="center"/>
            <w:hideMark/>
          </w:tcPr>
          <w:p w14:paraId="7C9F4C70" w14:textId="77777777" w:rsidR="009B6230" w:rsidRPr="00C63860" w:rsidRDefault="009B6230" w:rsidP="009B6230">
            <w:pPr>
              <w:rPr>
                <w:rFonts w:cstheme="minorHAnsi"/>
                <w:color w:val="000000"/>
              </w:rPr>
            </w:pPr>
            <w:r w:rsidRPr="00C63860">
              <w:rPr>
                <w:rFonts w:cstheme="minorHAnsi"/>
              </w:rPr>
              <w:t>DAOH within 90 days (mean)</w:t>
            </w:r>
          </w:p>
        </w:tc>
        <w:tc>
          <w:tcPr>
            <w:tcW w:w="0" w:type="auto"/>
            <w:shd w:val="clear" w:color="auto" w:fill="auto"/>
            <w:noWrap/>
            <w:vAlign w:val="center"/>
            <w:hideMark/>
          </w:tcPr>
          <w:p w14:paraId="06446D10" w14:textId="77777777" w:rsidR="009B6230" w:rsidRPr="00C63860" w:rsidRDefault="009B6230" w:rsidP="009B6230">
            <w:pPr>
              <w:ind w:right="458"/>
              <w:jc w:val="right"/>
              <w:rPr>
                <w:rFonts w:cstheme="minorHAnsi"/>
                <w:color w:val="000000"/>
              </w:rPr>
            </w:pPr>
            <w:r w:rsidRPr="00C63860">
              <w:rPr>
                <w:rFonts w:cstheme="minorHAnsi"/>
              </w:rPr>
              <w:t>81.28</w:t>
            </w:r>
          </w:p>
        </w:tc>
        <w:tc>
          <w:tcPr>
            <w:tcW w:w="0" w:type="auto"/>
            <w:shd w:val="clear" w:color="auto" w:fill="auto"/>
            <w:noWrap/>
            <w:vAlign w:val="center"/>
            <w:hideMark/>
          </w:tcPr>
          <w:p w14:paraId="0A18A268" w14:textId="77777777" w:rsidR="009B6230" w:rsidRPr="00C63860" w:rsidRDefault="009B6230" w:rsidP="009B6230">
            <w:pPr>
              <w:ind w:right="456"/>
              <w:jc w:val="right"/>
              <w:rPr>
                <w:rFonts w:cstheme="minorHAnsi"/>
                <w:color w:val="000000"/>
              </w:rPr>
            </w:pPr>
            <w:r w:rsidRPr="00C63860">
              <w:rPr>
                <w:rFonts w:cstheme="minorHAnsi"/>
              </w:rPr>
              <w:t>80.74</w:t>
            </w:r>
          </w:p>
        </w:tc>
        <w:tc>
          <w:tcPr>
            <w:tcW w:w="0" w:type="auto"/>
            <w:shd w:val="clear" w:color="auto" w:fill="auto"/>
            <w:hideMark/>
          </w:tcPr>
          <w:p w14:paraId="6E1B2DF8" w14:textId="77777777" w:rsidR="009B6230" w:rsidRPr="00C63860" w:rsidRDefault="009B6230" w:rsidP="009B6230">
            <w:pPr>
              <w:ind w:right="-109"/>
              <w:jc w:val="right"/>
              <w:rPr>
                <w:rFonts w:cstheme="minorHAnsi"/>
                <w:color w:val="000000"/>
              </w:rPr>
            </w:pPr>
            <w:r w:rsidRPr="00C63860">
              <w:rPr>
                <w:rFonts w:cstheme="minorHAnsi"/>
              </w:rPr>
              <w:t>0.54</w:t>
            </w:r>
          </w:p>
        </w:tc>
        <w:tc>
          <w:tcPr>
            <w:tcW w:w="0" w:type="auto"/>
            <w:shd w:val="clear" w:color="auto" w:fill="auto"/>
            <w:noWrap/>
            <w:vAlign w:val="center"/>
            <w:hideMark/>
          </w:tcPr>
          <w:p w14:paraId="23BF7A28" w14:textId="77777777" w:rsidR="009B6230" w:rsidRPr="00C63860" w:rsidRDefault="009B6230" w:rsidP="009B6230">
            <w:pPr>
              <w:ind w:right="741"/>
              <w:jc w:val="right"/>
              <w:rPr>
                <w:rFonts w:cstheme="minorHAnsi"/>
              </w:rPr>
            </w:pPr>
            <w:r w:rsidRPr="00C63860">
              <w:rPr>
                <w:rFonts w:cstheme="minorHAnsi"/>
              </w:rPr>
              <w:t>(0.22, 0.87)</w:t>
            </w:r>
          </w:p>
        </w:tc>
      </w:tr>
      <w:tr w:rsidR="009B6230" w:rsidRPr="00C63860" w14:paraId="69C6BE2D" w14:textId="77777777" w:rsidTr="00C63860">
        <w:trPr>
          <w:cantSplit/>
        </w:trPr>
        <w:tc>
          <w:tcPr>
            <w:tcW w:w="0" w:type="auto"/>
            <w:shd w:val="clear" w:color="auto" w:fill="auto"/>
            <w:noWrap/>
            <w:vAlign w:val="center"/>
            <w:hideMark/>
          </w:tcPr>
          <w:p w14:paraId="2F4A28C2" w14:textId="77777777" w:rsidR="009B6230" w:rsidRPr="00C63860" w:rsidRDefault="009B6230" w:rsidP="009B6230">
            <w:pPr>
              <w:rPr>
                <w:rFonts w:cstheme="minorHAnsi"/>
                <w:color w:val="000000"/>
              </w:rPr>
            </w:pPr>
            <w:r w:rsidRPr="00C63860">
              <w:rPr>
                <w:rFonts w:cstheme="minorHAnsi"/>
              </w:rPr>
              <w:t>Mortality within 90 days (%)</w:t>
            </w:r>
          </w:p>
        </w:tc>
        <w:tc>
          <w:tcPr>
            <w:tcW w:w="0" w:type="auto"/>
            <w:shd w:val="clear" w:color="auto" w:fill="auto"/>
            <w:noWrap/>
            <w:vAlign w:val="center"/>
            <w:hideMark/>
          </w:tcPr>
          <w:p w14:paraId="4B0A5D3D" w14:textId="77777777" w:rsidR="009B6230" w:rsidRPr="00C63860" w:rsidRDefault="009B6230" w:rsidP="009B6230">
            <w:pPr>
              <w:ind w:right="458"/>
              <w:jc w:val="right"/>
              <w:rPr>
                <w:rFonts w:cstheme="minorHAnsi"/>
                <w:color w:val="000000"/>
              </w:rPr>
            </w:pPr>
            <w:r w:rsidRPr="00C63860">
              <w:rPr>
                <w:rFonts w:cstheme="minorHAnsi"/>
              </w:rPr>
              <w:t>0.73</w:t>
            </w:r>
          </w:p>
        </w:tc>
        <w:tc>
          <w:tcPr>
            <w:tcW w:w="0" w:type="auto"/>
            <w:shd w:val="clear" w:color="auto" w:fill="auto"/>
            <w:noWrap/>
            <w:vAlign w:val="center"/>
            <w:hideMark/>
          </w:tcPr>
          <w:p w14:paraId="67A7C0EE" w14:textId="77777777" w:rsidR="009B6230" w:rsidRPr="00C63860" w:rsidRDefault="009B6230" w:rsidP="009B6230">
            <w:pPr>
              <w:ind w:right="456"/>
              <w:jc w:val="right"/>
              <w:rPr>
                <w:rFonts w:cstheme="minorHAnsi"/>
                <w:color w:val="000000"/>
              </w:rPr>
            </w:pPr>
            <w:r w:rsidRPr="00C63860">
              <w:rPr>
                <w:rFonts w:cstheme="minorHAnsi"/>
              </w:rPr>
              <w:t>1.50</w:t>
            </w:r>
          </w:p>
        </w:tc>
        <w:tc>
          <w:tcPr>
            <w:tcW w:w="0" w:type="auto"/>
            <w:shd w:val="clear" w:color="auto" w:fill="auto"/>
            <w:hideMark/>
          </w:tcPr>
          <w:p w14:paraId="29A14726" w14:textId="4E509C58" w:rsidR="009B6230" w:rsidRPr="00C63860" w:rsidRDefault="00C63860" w:rsidP="009B6230">
            <w:pPr>
              <w:ind w:right="-109"/>
              <w:jc w:val="right"/>
              <w:rPr>
                <w:rFonts w:cstheme="minorHAnsi"/>
                <w:color w:val="000000"/>
              </w:rPr>
            </w:pPr>
            <w:r w:rsidRPr="00C63860">
              <w:rPr>
                <w:rFonts w:cstheme="minorHAnsi"/>
                <w:color w:val="00B0F0"/>
              </w:rPr>
              <w:t>–0</w:t>
            </w:r>
            <w:r w:rsidR="009B6230" w:rsidRPr="00C63860">
              <w:rPr>
                <w:rFonts w:cstheme="minorHAnsi"/>
              </w:rPr>
              <w:t>.77</w:t>
            </w:r>
          </w:p>
        </w:tc>
        <w:tc>
          <w:tcPr>
            <w:tcW w:w="0" w:type="auto"/>
            <w:shd w:val="clear" w:color="auto" w:fill="auto"/>
            <w:noWrap/>
            <w:vAlign w:val="center"/>
            <w:hideMark/>
          </w:tcPr>
          <w:p w14:paraId="2B334ABB" w14:textId="4ACA9D08" w:rsidR="009B6230" w:rsidRPr="00C63860" w:rsidRDefault="009B6230" w:rsidP="009B6230">
            <w:pPr>
              <w:ind w:right="741"/>
              <w:jc w:val="right"/>
              <w:rPr>
                <w:rFonts w:cstheme="minorHAnsi"/>
              </w:rPr>
            </w:pPr>
            <w:r w:rsidRPr="00C63860">
              <w:rPr>
                <w:rFonts w:cstheme="minorHAnsi"/>
              </w:rPr>
              <w:t xml:space="preserve"> (</w:t>
            </w:r>
            <w:r w:rsidR="00C63860" w:rsidRPr="00C63860">
              <w:rPr>
                <w:rFonts w:cstheme="minorHAnsi"/>
                <w:color w:val="00B0F0"/>
              </w:rPr>
              <w:t>–0</w:t>
            </w:r>
            <w:r w:rsidRPr="00C63860">
              <w:rPr>
                <w:rFonts w:cstheme="minorHAnsi"/>
              </w:rPr>
              <w:t>.</w:t>
            </w:r>
            <w:r w:rsidR="00C63860" w:rsidRPr="00C63860">
              <w:rPr>
                <w:rFonts w:cstheme="minorHAnsi"/>
                <w:color w:val="00B0F0"/>
              </w:rPr>
              <w:t>9, -0</w:t>
            </w:r>
            <w:r w:rsidRPr="00C63860">
              <w:rPr>
                <w:rFonts w:cstheme="minorHAnsi"/>
              </w:rPr>
              <w:t>.64)</w:t>
            </w:r>
          </w:p>
        </w:tc>
      </w:tr>
      <w:tr w:rsidR="009B6230" w:rsidRPr="00C63860" w14:paraId="5DA6CD2B" w14:textId="77777777" w:rsidTr="00C63860">
        <w:trPr>
          <w:cantSplit/>
        </w:trPr>
        <w:tc>
          <w:tcPr>
            <w:tcW w:w="0" w:type="auto"/>
            <w:shd w:val="clear" w:color="auto" w:fill="auto"/>
            <w:noWrap/>
            <w:vAlign w:val="center"/>
            <w:hideMark/>
          </w:tcPr>
          <w:p w14:paraId="087AA0D0" w14:textId="77777777" w:rsidR="009B6230" w:rsidRPr="00C63860" w:rsidRDefault="009B6230" w:rsidP="009B6230">
            <w:pPr>
              <w:rPr>
                <w:rFonts w:cstheme="minorHAnsi"/>
                <w:color w:val="000000"/>
              </w:rPr>
            </w:pPr>
            <w:r w:rsidRPr="00C63860">
              <w:rPr>
                <w:rFonts w:cstheme="minorHAnsi"/>
              </w:rPr>
              <w:t>LOS within 90 days (mean)</w:t>
            </w:r>
          </w:p>
        </w:tc>
        <w:tc>
          <w:tcPr>
            <w:tcW w:w="0" w:type="auto"/>
            <w:shd w:val="clear" w:color="auto" w:fill="auto"/>
            <w:noWrap/>
            <w:vAlign w:val="center"/>
            <w:hideMark/>
          </w:tcPr>
          <w:p w14:paraId="63780495" w14:textId="77777777" w:rsidR="009B6230" w:rsidRPr="00C63860" w:rsidRDefault="009B6230" w:rsidP="009B6230">
            <w:pPr>
              <w:ind w:right="458"/>
              <w:jc w:val="right"/>
              <w:rPr>
                <w:rFonts w:cstheme="minorHAnsi"/>
                <w:color w:val="000000"/>
              </w:rPr>
            </w:pPr>
            <w:r w:rsidRPr="00C63860">
              <w:rPr>
                <w:rFonts w:cstheme="minorHAnsi"/>
              </w:rPr>
              <w:t>8.23</w:t>
            </w:r>
          </w:p>
        </w:tc>
        <w:tc>
          <w:tcPr>
            <w:tcW w:w="0" w:type="auto"/>
            <w:shd w:val="clear" w:color="auto" w:fill="auto"/>
            <w:noWrap/>
            <w:vAlign w:val="center"/>
            <w:hideMark/>
          </w:tcPr>
          <w:p w14:paraId="0E54AABD" w14:textId="77777777" w:rsidR="009B6230" w:rsidRPr="00C63860" w:rsidRDefault="009B6230" w:rsidP="009B6230">
            <w:pPr>
              <w:ind w:right="456"/>
              <w:jc w:val="right"/>
              <w:rPr>
                <w:rFonts w:cstheme="minorHAnsi"/>
                <w:color w:val="000000"/>
              </w:rPr>
            </w:pPr>
            <w:r w:rsidRPr="00C63860">
              <w:rPr>
                <w:rFonts w:cstheme="minorHAnsi"/>
              </w:rPr>
              <w:t>8.22</w:t>
            </w:r>
          </w:p>
        </w:tc>
        <w:tc>
          <w:tcPr>
            <w:tcW w:w="0" w:type="auto"/>
            <w:shd w:val="clear" w:color="auto" w:fill="auto"/>
            <w:hideMark/>
          </w:tcPr>
          <w:p w14:paraId="6126C9A2" w14:textId="77777777" w:rsidR="009B6230" w:rsidRPr="00C63860" w:rsidRDefault="009B6230" w:rsidP="009B6230">
            <w:pPr>
              <w:ind w:right="-109"/>
              <w:jc w:val="right"/>
              <w:rPr>
                <w:rFonts w:cstheme="minorHAnsi"/>
                <w:color w:val="000000"/>
              </w:rPr>
            </w:pPr>
            <w:r w:rsidRPr="00C63860">
              <w:rPr>
                <w:rFonts w:cstheme="minorHAnsi"/>
              </w:rPr>
              <w:t>0.01</w:t>
            </w:r>
          </w:p>
        </w:tc>
        <w:tc>
          <w:tcPr>
            <w:tcW w:w="0" w:type="auto"/>
            <w:shd w:val="clear" w:color="auto" w:fill="auto"/>
            <w:noWrap/>
            <w:vAlign w:val="center"/>
            <w:hideMark/>
          </w:tcPr>
          <w:p w14:paraId="281235CD" w14:textId="17555104" w:rsidR="009B6230" w:rsidRPr="00C63860" w:rsidRDefault="009B6230" w:rsidP="009B6230">
            <w:pPr>
              <w:ind w:right="741"/>
              <w:jc w:val="right"/>
              <w:rPr>
                <w:rFonts w:cstheme="minorHAnsi"/>
              </w:rPr>
            </w:pPr>
            <w:r w:rsidRPr="00C63860">
              <w:rPr>
                <w:rFonts w:cstheme="minorHAnsi"/>
              </w:rPr>
              <w:t xml:space="preserve"> (</w:t>
            </w:r>
            <w:r w:rsidR="00C63860" w:rsidRPr="00C63860">
              <w:rPr>
                <w:rFonts w:cstheme="minorHAnsi"/>
                <w:color w:val="00B0F0"/>
              </w:rPr>
              <w:t>–0</w:t>
            </w:r>
            <w:r w:rsidRPr="00C63860">
              <w:rPr>
                <w:rFonts w:cstheme="minorHAnsi"/>
              </w:rPr>
              <w:t>.26, 0.28)</w:t>
            </w:r>
          </w:p>
        </w:tc>
      </w:tr>
      <w:tr w:rsidR="009B6230" w:rsidRPr="00C63860" w14:paraId="5545F22C" w14:textId="77777777" w:rsidTr="00C63860">
        <w:trPr>
          <w:cantSplit/>
        </w:trPr>
        <w:tc>
          <w:tcPr>
            <w:tcW w:w="0" w:type="auto"/>
            <w:shd w:val="clear" w:color="auto" w:fill="auto"/>
            <w:noWrap/>
            <w:vAlign w:val="center"/>
            <w:hideMark/>
          </w:tcPr>
          <w:p w14:paraId="6319C056" w14:textId="77777777" w:rsidR="009B6230" w:rsidRPr="00C63860" w:rsidRDefault="009B6230" w:rsidP="009B6230">
            <w:pPr>
              <w:rPr>
                <w:rFonts w:cstheme="minorHAnsi"/>
                <w:color w:val="000000"/>
              </w:rPr>
            </w:pPr>
            <w:r w:rsidRPr="00C63860">
              <w:rPr>
                <w:rFonts w:cstheme="minorHAnsi"/>
              </w:rPr>
              <w:t>Emergency Readmissions 30 days (%)</w:t>
            </w:r>
          </w:p>
        </w:tc>
        <w:tc>
          <w:tcPr>
            <w:tcW w:w="0" w:type="auto"/>
            <w:shd w:val="clear" w:color="auto" w:fill="auto"/>
            <w:noWrap/>
            <w:vAlign w:val="center"/>
            <w:hideMark/>
          </w:tcPr>
          <w:p w14:paraId="6DF49BA6" w14:textId="77777777" w:rsidR="009B6230" w:rsidRPr="00C63860" w:rsidRDefault="009B6230" w:rsidP="009B6230">
            <w:pPr>
              <w:ind w:right="458"/>
              <w:jc w:val="right"/>
              <w:rPr>
                <w:rFonts w:cstheme="minorHAnsi"/>
                <w:color w:val="000000"/>
              </w:rPr>
            </w:pPr>
            <w:r w:rsidRPr="00C63860">
              <w:rPr>
                <w:rFonts w:cstheme="minorHAnsi"/>
              </w:rPr>
              <w:t>10.63</w:t>
            </w:r>
          </w:p>
        </w:tc>
        <w:tc>
          <w:tcPr>
            <w:tcW w:w="0" w:type="auto"/>
            <w:shd w:val="clear" w:color="auto" w:fill="auto"/>
            <w:noWrap/>
            <w:vAlign w:val="center"/>
            <w:hideMark/>
          </w:tcPr>
          <w:p w14:paraId="5C042B89" w14:textId="77777777" w:rsidR="009B6230" w:rsidRPr="00C63860" w:rsidRDefault="009B6230" w:rsidP="009B6230">
            <w:pPr>
              <w:ind w:right="456"/>
              <w:jc w:val="right"/>
              <w:rPr>
                <w:rFonts w:cstheme="minorHAnsi"/>
                <w:color w:val="000000"/>
              </w:rPr>
            </w:pPr>
            <w:r w:rsidRPr="00C63860">
              <w:rPr>
                <w:rFonts w:cstheme="minorHAnsi"/>
              </w:rPr>
              <w:t>14.43</w:t>
            </w:r>
          </w:p>
        </w:tc>
        <w:tc>
          <w:tcPr>
            <w:tcW w:w="0" w:type="auto"/>
            <w:shd w:val="clear" w:color="auto" w:fill="auto"/>
            <w:hideMark/>
          </w:tcPr>
          <w:p w14:paraId="270706E8" w14:textId="307955E6" w:rsidR="009B6230" w:rsidRPr="00C63860" w:rsidRDefault="00C63860" w:rsidP="009B6230">
            <w:pPr>
              <w:ind w:right="-109"/>
              <w:jc w:val="right"/>
              <w:rPr>
                <w:rFonts w:cstheme="minorHAnsi"/>
                <w:color w:val="000000"/>
              </w:rPr>
            </w:pPr>
            <w:r w:rsidRPr="00C63860">
              <w:rPr>
                <w:rFonts w:cstheme="minorHAnsi"/>
                <w:color w:val="00B0F0"/>
              </w:rPr>
              <w:t>–3</w:t>
            </w:r>
            <w:r w:rsidR="009B6230" w:rsidRPr="00C63860">
              <w:rPr>
                <w:rFonts w:cstheme="minorHAnsi"/>
              </w:rPr>
              <w:t>.80</w:t>
            </w:r>
          </w:p>
        </w:tc>
        <w:tc>
          <w:tcPr>
            <w:tcW w:w="0" w:type="auto"/>
            <w:shd w:val="clear" w:color="auto" w:fill="auto"/>
            <w:noWrap/>
            <w:vAlign w:val="center"/>
            <w:hideMark/>
          </w:tcPr>
          <w:p w14:paraId="53A0A77B" w14:textId="5C383F23" w:rsidR="009B6230" w:rsidRPr="00C63860" w:rsidRDefault="009B6230" w:rsidP="009B6230">
            <w:pPr>
              <w:ind w:right="741"/>
              <w:jc w:val="right"/>
              <w:rPr>
                <w:rFonts w:cstheme="minorHAnsi"/>
              </w:rPr>
            </w:pPr>
            <w:r w:rsidRPr="00C63860">
              <w:rPr>
                <w:rFonts w:cstheme="minorHAnsi"/>
              </w:rPr>
              <w:t xml:space="preserve"> (</w:t>
            </w:r>
            <w:r w:rsidR="00C63860" w:rsidRPr="00C63860">
              <w:rPr>
                <w:rFonts w:cstheme="minorHAnsi"/>
                <w:color w:val="00B0F0"/>
              </w:rPr>
              <w:t>–4</w:t>
            </w:r>
            <w:r w:rsidRPr="00C63860">
              <w:rPr>
                <w:rFonts w:cstheme="minorHAnsi"/>
              </w:rPr>
              <w:t>.2</w:t>
            </w:r>
            <w:r w:rsidR="00C63860" w:rsidRPr="00C63860">
              <w:rPr>
                <w:rFonts w:cstheme="minorHAnsi"/>
                <w:color w:val="00B0F0"/>
              </w:rPr>
              <w:t>3, -3</w:t>
            </w:r>
            <w:r w:rsidRPr="00C63860">
              <w:rPr>
                <w:rFonts w:cstheme="minorHAnsi"/>
              </w:rPr>
              <w:t>.37)</w:t>
            </w:r>
          </w:p>
        </w:tc>
      </w:tr>
      <w:tr w:rsidR="009B6230" w:rsidRPr="00C63860" w14:paraId="6C42C783" w14:textId="77777777" w:rsidTr="00C63860">
        <w:trPr>
          <w:cantSplit/>
        </w:trPr>
        <w:tc>
          <w:tcPr>
            <w:tcW w:w="0" w:type="auto"/>
            <w:shd w:val="clear" w:color="auto" w:fill="auto"/>
            <w:noWrap/>
            <w:vAlign w:val="center"/>
          </w:tcPr>
          <w:p w14:paraId="77686FAD" w14:textId="77777777" w:rsidR="009B6230" w:rsidRPr="00C63860" w:rsidRDefault="009B6230" w:rsidP="009B6230">
            <w:pPr>
              <w:rPr>
                <w:rFonts w:cstheme="minorHAnsi"/>
                <w:color w:val="000000"/>
              </w:rPr>
            </w:pPr>
          </w:p>
        </w:tc>
        <w:tc>
          <w:tcPr>
            <w:tcW w:w="0" w:type="auto"/>
            <w:shd w:val="clear" w:color="auto" w:fill="auto"/>
            <w:noWrap/>
            <w:vAlign w:val="center"/>
          </w:tcPr>
          <w:p w14:paraId="7C913D0D" w14:textId="77777777" w:rsidR="009B6230" w:rsidRPr="00C63860" w:rsidRDefault="009B6230" w:rsidP="009B6230">
            <w:pPr>
              <w:ind w:right="458"/>
              <w:jc w:val="right"/>
              <w:rPr>
                <w:rFonts w:cstheme="minorHAnsi"/>
                <w:color w:val="000000"/>
              </w:rPr>
            </w:pPr>
          </w:p>
        </w:tc>
        <w:tc>
          <w:tcPr>
            <w:tcW w:w="0" w:type="auto"/>
            <w:shd w:val="clear" w:color="auto" w:fill="auto"/>
            <w:noWrap/>
            <w:vAlign w:val="center"/>
          </w:tcPr>
          <w:p w14:paraId="6AE009A4" w14:textId="77777777" w:rsidR="009B6230" w:rsidRPr="00C63860" w:rsidRDefault="009B6230" w:rsidP="009B6230">
            <w:pPr>
              <w:ind w:right="456"/>
              <w:jc w:val="right"/>
              <w:rPr>
                <w:rFonts w:cstheme="minorHAnsi"/>
                <w:color w:val="000000"/>
              </w:rPr>
            </w:pPr>
          </w:p>
        </w:tc>
        <w:tc>
          <w:tcPr>
            <w:tcW w:w="0" w:type="auto"/>
            <w:shd w:val="clear" w:color="auto" w:fill="auto"/>
          </w:tcPr>
          <w:p w14:paraId="2FDEC467" w14:textId="77777777" w:rsidR="009B6230" w:rsidRPr="00C63860" w:rsidRDefault="009B6230" w:rsidP="009B6230">
            <w:pPr>
              <w:ind w:right="-109"/>
              <w:jc w:val="right"/>
              <w:rPr>
                <w:rFonts w:cstheme="minorHAnsi"/>
                <w:color w:val="000000"/>
              </w:rPr>
            </w:pPr>
          </w:p>
        </w:tc>
        <w:tc>
          <w:tcPr>
            <w:tcW w:w="0" w:type="auto"/>
            <w:shd w:val="clear" w:color="auto" w:fill="auto"/>
            <w:noWrap/>
            <w:vAlign w:val="center"/>
          </w:tcPr>
          <w:p w14:paraId="10216595" w14:textId="77777777" w:rsidR="009B6230" w:rsidRPr="00C63860" w:rsidRDefault="009B6230" w:rsidP="009B6230">
            <w:pPr>
              <w:ind w:right="741"/>
              <w:jc w:val="right"/>
              <w:rPr>
                <w:rFonts w:cstheme="minorHAnsi"/>
              </w:rPr>
            </w:pPr>
          </w:p>
        </w:tc>
      </w:tr>
      <w:tr w:rsidR="009B6230" w:rsidRPr="00C63860" w14:paraId="149E357E" w14:textId="77777777" w:rsidTr="00C63860">
        <w:trPr>
          <w:cantSplit/>
        </w:trPr>
        <w:tc>
          <w:tcPr>
            <w:tcW w:w="0" w:type="auto"/>
            <w:shd w:val="clear" w:color="auto" w:fill="auto"/>
            <w:noWrap/>
            <w:vAlign w:val="center"/>
            <w:hideMark/>
          </w:tcPr>
          <w:p w14:paraId="58ECEA3E" w14:textId="77777777" w:rsidR="009B6230" w:rsidRPr="00C63860" w:rsidRDefault="009B6230" w:rsidP="009B6230">
            <w:pPr>
              <w:rPr>
                <w:rFonts w:cstheme="minorHAnsi"/>
                <w:b/>
                <w:bCs/>
                <w:color w:val="000000"/>
              </w:rPr>
            </w:pPr>
            <w:r w:rsidRPr="00C63860">
              <w:rPr>
                <w:rFonts w:cstheme="minorHAnsi"/>
                <w:b/>
                <w:bCs/>
              </w:rPr>
              <w:t>Diverticular disease</w:t>
            </w:r>
          </w:p>
        </w:tc>
        <w:tc>
          <w:tcPr>
            <w:tcW w:w="0" w:type="auto"/>
            <w:shd w:val="clear" w:color="auto" w:fill="auto"/>
            <w:noWrap/>
            <w:vAlign w:val="bottom"/>
            <w:hideMark/>
          </w:tcPr>
          <w:p w14:paraId="13E33DE5" w14:textId="77777777" w:rsidR="009B6230" w:rsidRPr="00C63860" w:rsidRDefault="009B6230" w:rsidP="009B6230">
            <w:pPr>
              <w:rPr>
                <w:rFonts w:cstheme="minorHAnsi"/>
                <w:b/>
                <w:bCs/>
              </w:rPr>
            </w:pPr>
          </w:p>
        </w:tc>
        <w:tc>
          <w:tcPr>
            <w:tcW w:w="0" w:type="auto"/>
            <w:shd w:val="clear" w:color="auto" w:fill="auto"/>
            <w:noWrap/>
            <w:vAlign w:val="bottom"/>
            <w:hideMark/>
          </w:tcPr>
          <w:p w14:paraId="0FCA26DA" w14:textId="77777777" w:rsidR="009B6230" w:rsidRPr="00C63860" w:rsidRDefault="009B6230" w:rsidP="009B6230"/>
        </w:tc>
        <w:tc>
          <w:tcPr>
            <w:tcW w:w="0" w:type="auto"/>
            <w:shd w:val="clear" w:color="auto" w:fill="auto"/>
          </w:tcPr>
          <w:p w14:paraId="5941368F" w14:textId="77777777" w:rsidR="009B6230" w:rsidRPr="00C63860" w:rsidRDefault="009B6230" w:rsidP="009B6230">
            <w:pPr>
              <w:ind w:right="-109"/>
              <w:jc w:val="right"/>
              <w:rPr>
                <w:rFonts w:cstheme="minorHAnsi"/>
                <w:color w:val="000000"/>
              </w:rPr>
            </w:pPr>
          </w:p>
        </w:tc>
        <w:tc>
          <w:tcPr>
            <w:tcW w:w="0" w:type="auto"/>
            <w:shd w:val="clear" w:color="auto" w:fill="auto"/>
            <w:noWrap/>
            <w:vAlign w:val="bottom"/>
            <w:hideMark/>
          </w:tcPr>
          <w:p w14:paraId="35D70316" w14:textId="7F5227CF" w:rsidR="009B6230" w:rsidRPr="00C63860" w:rsidRDefault="00C63860" w:rsidP="009B6230">
            <w:pPr>
              <w:ind w:right="741"/>
              <w:jc w:val="right"/>
              <w:rPr>
                <w:rFonts w:cstheme="minorHAnsi"/>
              </w:rPr>
            </w:pPr>
            <w:r w:rsidRPr="00C63860">
              <w:rPr>
                <w:rFonts w:cstheme="minorHAnsi"/>
              </w:rPr>
              <w:t xml:space="preserve"> </w:t>
            </w:r>
          </w:p>
        </w:tc>
      </w:tr>
      <w:tr w:rsidR="009B6230" w:rsidRPr="00C63860" w14:paraId="796B79E8" w14:textId="77777777" w:rsidTr="00C63860">
        <w:trPr>
          <w:cantSplit/>
        </w:trPr>
        <w:tc>
          <w:tcPr>
            <w:tcW w:w="0" w:type="auto"/>
            <w:shd w:val="clear" w:color="auto" w:fill="auto"/>
            <w:noWrap/>
            <w:vAlign w:val="center"/>
            <w:hideMark/>
          </w:tcPr>
          <w:p w14:paraId="1476D5BA" w14:textId="77777777" w:rsidR="009B6230" w:rsidRPr="00C63860" w:rsidRDefault="009B6230" w:rsidP="009B6230">
            <w:pPr>
              <w:rPr>
                <w:rFonts w:cstheme="minorHAnsi"/>
                <w:color w:val="000000"/>
              </w:rPr>
            </w:pPr>
            <w:r w:rsidRPr="00C63860">
              <w:rPr>
                <w:rFonts w:cstheme="minorHAnsi"/>
              </w:rPr>
              <w:t>DAOH within 90 days (mean)</w:t>
            </w:r>
          </w:p>
        </w:tc>
        <w:tc>
          <w:tcPr>
            <w:tcW w:w="0" w:type="auto"/>
            <w:shd w:val="clear" w:color="auto" w:fill="auto"/>
            <w:noWrap/>
            <w:vAlign w:val="center"/>
            <w:hideMark/>
          </w:tcPr>
          <w:p w14:paraId="2DF207D4" w14:textId="77777777" w:rsidR="009B6230" w:rsidRPr="00C63860" w:rsidRDefault="009B6230" w:rsidP="009B6230">
            <w:pPr>
              <w:ind w:right="458"/>
              <w:jc w:val="right"/>
              <w:rPr>
                <w:rFonts w:cstheme="minorHAnsi"/>
                <w:color w:val="000000"/>
              </w:rPr>
            </w:pPr>
            <w:r w:rsidRPr="00C63860">
              <w:rPr>
                <w:rFonts w:cstheme="minorHAnsi"/>
              </w:rPr>
              <w:t>60.92</w:t>
            </w:r>
          </w:p>
        </w:tc>
        <w:tc>
          <w:tcPr>
            <w:tcW w:w="0" w:type="auto"/>
            <w:shd w:val="clear" w:color="auto" w:fill="auto"/>
            <w:noWrap/>
            <w:vAlign w:val="center"/>
            <w:hideMark/>
          </w:tcPr>
          <w:p w14:paraId="39231FE4" w14:textId="77777777" w:rsidR="009B6230" w:rsidRPr="00C63860" w:rsidRDefault="009B6230" w:rsidP="009B6230">
            <w:pPr>
              <w:ind w:right="456"/>
              <w:jc w:val="right"/>
              <w:rPr>
                <w:rFonts w:cstheme="minorHAnsi"/>
                <w:color w:val="000000"/>
              </w:rPr>
            </w:pPr>
            <w:r w:rsidRPr="00C63860">
              <w:rPr>
                <w:rFonts w:cstheme="minorHAnsi"/>
              </w:rPr>
              <w:t>79.94</w:t>
            </w:r>
          </w:p>
        </w:tc>
        <w:tc>
          <w:tcPr>
            <w:tcW w:w="0" w:type="auto"/>
            <w:shd w:val="clear" w:color="auto" w:fill="auto"/>
            <w:hideMark/>
          </w:tcPr>
          <w:p w14:paraId="138B396F" w14:textId="5AD86D17" w:rsidR="009B6230" w:rsidRPr="00C63860" w:rsidRDefault="00C63860" w:rsidP="009B6230">
            <w:pPr>
              <w:ind w:right="-109"/>
              <w:jc w:val="right"/>
              <w:rPr>
                <w:rFonts w:cstheme="minorHAnsi"/>
                <w:color w:val="000000"/>
              </w:rPr>
            </w:pPr>
            <w:r w:rsidRPr="00C63860">
              <w:rPr>
                <w:rFonts w:cstheme="minorHAnsi"/>
                <w:color w:val="00B0F0"/>
              </w:rPr>
              <w:t>–1</w:t>
            </w:r>
            <w:r w:rsidR="009B6230" w:rsidRPr="00C63860">
              <w:rPr>
                <w:rFonts w:cstheme="minorHAnsi"/>
              </w:rPr>
              <w:t>9.0</w:t>
            </w:r>
          </w:p>
        </w:tc>
        <w:tc>
          <w:tcPr>
            <w:tcW w:w="0" w:type="auto"/>
            <w:shd w:val="clear" w:color="auto" w:fill="auto"/>
            <w:noWrap/>
            <w:vAlign w:val="center"/>
            <w:hideMark/>
          </w:tcPr>
          <w:p w14:paraId="5F27155D" w14:textId="1404547B" w:rsidR="009B6230" w:rsidRPr="00C63860" w:rsidRDefault="009B6230" w:rsidP="009B6230">
            <w:pPr>
              <w:ind w:right="741"/>
              <w:jc w:val="right"/>
              <w:rPr>
                <w:rFonts w:cstheme="minorHAnsi"/>
              </w:rPr>
            </w:pPr>
            <w:r w:rsidRPr="00C63860">
              <w:rPr>
                <w:rFonts w:cstheme="minorHAnsi"/>
              </w:rPr>
              <w:t xml:space="preserve"> (</w:t>
            </w:r>
            <w:r w:rsidR="00C63860" w:rsidRPr="00C63860">
              <w:rPr>
                <w:rFonts w:cstheme="minorHAnsi"/>
                <w:color w:val="00B0F0"/>
              </w:rPr>
              <w:t>–1</w:t>
            </w:r>
            <w:r w:rsidRPr="00C63860">
              <w:rPr>
                <w:rFonts w:cstheme="minorHAnsi"/>
              </w:rPr>
              <w:t>9.</w:t>
            </w:r>
            <w:r w:rsidR="00C63860" w:rsidRPr="00C63860">
              <w:rPr>
                <w:rFonts w:cstheme="minorHAnsi"/>
                <w:color w:val="00B0F0"/>
              </w:rPr>
              <w:t>6, -1</w:t>
            </w:r>
            <w:r w:rsidRPr="00C63860">
              <w:rPr>
                <w:rFonts w:cstheme="minorHAnsi"/>
              </w:rPr>
              <w:t>8.4)</w:t>
            </w:r>
          </w:p>
        </w:tc>
      </w:tr>
      <w:tr w:rsidR="009B6230" w:rsidRPr="00C63860" w14:paraId="54DD401E" w14:textId="77777777" w:rsidTr="00C63860">
        <w:trPr>
          <w:cantSplit/>
        </w:trPr>
        <w:tc>
          <w:tcPr>
            <w:tcW w:w="0" w:type="auto"/>
            <w:shd w:val="clear" w:color="auto" w:fill="auto"/>
            <w:noWrap/>
            <w:vAlign w:val="center"/>
            <w:hideMark/>
          </w:tcPr>
          <w:p w14:paraId="2B30B36A" w14:textId="77777777" w:rsidR="009B6230" w:rsidRPr="00C63860" w:rsidRDefault="009B6230" w:rsidP="009B6230">
            <w:pPr>
              <w:rPr>
                <w:rFonts w:cstheme="minorHAnsi"/>
                <w:color w:val="000000"/>
              </w:rPr>
            </w:pPr>
            <w:r w:rsidRPr="00C63860">
              <w:rPr>
                <w:rFonts w:cstheme="minorHAnsi"/>
              </w:rPr>
              <w:t>Mortality within 90 days (%)</w:t>
            </w:r>
          </w:p>
        </w:tc>
        <w:tc>
          <w:tcPr>
            <w:tcW w:w="0" w:type="auto"/>
            <w:shd w:val="clear" w:color="auto" w:fill="auto"/>
            <w:noWrap/>
            <w:vAlign w:val="center"/>
            <w:hideMark/>
          </w:tcPr>
          <w:p w14:paraId="065FC659" w14:textId="77777777" w:rsidR="009B6230" w:rsidRPr="00C63860" w:rsidRDefault="009B6230" w:rsidP="009B6230">
            <w:pPr>
              <w:ind w:right="458"/>
              <w:jc w:val="right"/>
              <w:rPr>
                <w:rFonts w:cstheme="minorHAnsi"/>
                <w:color w:val="000000"/>
              </w:rPr>
            </w:pPr>
            <w:r w:rsidRPr="00C63860">
              <w:rPr>
                <w:rFonts w:cstheme="minorHAnsi"/>
              </w:rPr>
              <w:t>9.30</w:t>
            </w:r>
          </w:p>
        </w:tc>
        <w:tc>
          <w:tcPr>
            <w:tcW w:w="0" w:type="auto"/>
            <w:shd w:val="clear" w:color="auto" w:fill="auto"/>
            <w:noWrap/>
            <w:vAlign w:val="center"/>
            <w:hideMark/>
          </w:tcPr>
          <w:p w14:paraId="2348F9D5" w14:textId="77777777" w:rsidR="009B6230" w:rsidRPr="00C63860" w:rsidRDefault="009B6230" w:rsidP="009B6230">
            <w:pPr>
              <w:ind w:right="456"/>
              <w:jc w:val="right"/>
              <w:rPr>
                <w:rFonts w:cstheme="minorHAnsi"/>
                <w:color w:val="000000"/>
              </w:rPr>
            </w:pPr>
            <w:r w:rsidRPr="00C63860">
              <w:rPr>
                <w:rFonts w:cstheme="minorHAnsi"/>
              </w:rPr>
              <w:t>3.04</w:t>
            </w:r>
          </w:p>
        </w:tc>
        <w:tc>
          <w:tcPr>
            <w:tcW w:w="0" w:type="auto"/>
            <w:shd w:val="clear" w:color="auto" w:fill="auto"/>
            <w:hideMark/>
          </w:tcPr>
          <w:p w14:paraId="41A52E61" w14:textId="77777777" w:rsidR="009B6230" w:rsidRPr="00C63860" w:rsidRDefault="009B6230" w:rsidP="009B6230">
            <w:pPr>
              <w:ind w:right="-109"/>
              <w:jc w:val="right"/>
              <w:rPr>
                <w:rFonts w:cstheme="minorHAnsi"/>
                <w:color w:val="000000"/>
              </w:rPr>
            </w:pPr>
            <w:r w:rsidRPr="00C63860">
              <w:rPr>
                <w:rFonts w:cstheme="minorHAnsi"/>
              </w:rPr>
              <w:t>6.27</w:t>
            </w:r>
          </w:p>
        </w:tc>
        <w:tc>
          <w:tcPr>
            <w:tcW w:w="0" w:type="auto"/>
            <w:shd w:val="clear" w:color="auto" w:fill="auto"/>
            <w:noWrap/>
            <w:vAlign w:val="center"/>
            <w:hideMark/>
          </w:tcPr>
          <w:p w14:paraId="78F11C72" w14:textId="77777777" w:rsidR="009B6230" w:rsidRPr="00C63860" w:rsidRDefault="009B6230" w:rsidP="009B6230">
            <w:pPr>
              <w:ind w:right="741"/>
              <w:jc w:val="right"/>
              <w:rPr>
                <w:rFonts w:cstheme="minorHAnsi"/>
              </w:rPr>
            </w:pPr>
            <w:r w:rsidRPr="00C63860">
              <w:rPr>
                <w:rFonts w:cstheme="minorHAnsi"/>
              </w:rPr>
              <w:t xml:space="preserve"> (5.74, 6.79)</w:t>
            </w:r>
          </w:p>
        </w:tc>
      </w:tr>
      <w:tr w:rsidR="009B6230" w:rsidRPr="00C63860" w14:paraId="649C277E" w14:textId="77777777" w:rsidTr="00C63860">
        <w:trPr>
          <w:cantSplit/>
        </w:trPr>
        <w:tc>
          <w:tcPr>
            <w:tcW w:w="0" w:type="auto"/>
            <w:shd w:val="clear" w:color="auto" w:fill="auto"/>
            <w:noWrap/>
            <w:vAlign w:val="center"/>
            <w:hideMark/>
          </w:tcPr>
          <w:p w14:paraId="46F19EBB" w14:textId="77777777" w:rsidR="009B6230" w:rsidRPr="00C63860" w:rsidRDefault="009B6230" w:rsidP="009B6230">
            <w:pPr>
              <w:rPr>
                <w:rFonts w:cstheme="minorHAnsi"/>
                <w:color w:val="000000"/>
              </w:rPr>
            </w:pPr>
            <w:r w:rsidRPr="00C63860">
              <w:rPr>
                <w:rFonts w:cstheme="minorHAnsi"/>
              </w:rPr>
              <w:t>LOS within 90 days (mean)</w:t>
            </w:r>
          </w:p>
        </w:tc>
        <w:tc>
          <w:tcPr>
            <w:tcW w:w="0" w:type="auto"/>
            <w:shd w:val="clear" w:color="auto" w:fill="auto"/>
            <w:noWrap/>
            <w:vAlign w:val="center"/>
            <w:hideMark/>
          </w:tcPr>
          <w:p w14:paraId="3E6351FD" w14:textId="77777777" w:rsidR="009B6230" w:rsidRPr="00C63860" w:rsidRDefault="009B6230" w:rsidP="009B6230">
            <w:pPr>
              <w:ind w:right="458"/>
              <w:jc w:val="right"/>
              <w:rPr>
                <w:rFonts w:cstheme="minorHAnsi"/>
                <w:color w:val="000000"/>
              </w:rPr>
            </w:pPr>
            <w:r w:rsidRPr="00C63860">
              <w:rPr>
                <w:rFonts w:cstheme="minorHAnsi"/>
              </w:rPr>
              <w:t>22.38</w:t>
            </w:r>
          </w:p>
        </w:tc>
        <w:tc>
          <w:tcPr>
            <w:tcW w:w="0" w:type="auto"/>
            <w:shd w:val="clear" w:color="auto" w:fill="auto"/>
            <w:noWrap/>
            <w:vAlign w:val="center"/>
            <w:hideMark/>
          </w:tcPr>
          <w:p w14:paraId="034D1987" w14:textId="77777777" w:rsidR="009B6230" w:rsidRPr="00C63860" w:rsidRDefault="009B6230" w:rsidP="009B6230">
            <w:pPr>
              <w:ind w:right="456"/>
              <w:jc w:val="right"/>
              <w:rPr>
                <w:rFonts w:cstheme="minorHAnsi"/>
                <w:color w:val="000000"/>
              </w:rPr>
            </w:pPr>
            <w:r w:rsidRPr="00C63860">
              <w:rPr>
                <w:rFonts w:cstheme="minorHAnsi"/>
              </w:rPr>
              <w:t>7.84</w:t>
            </w:r>
          </w:p>
        </w:tc>
        <w:tc>
          <w:tcPr>
            <w:tcW w:w="0" w:type="auto"/>
            <w:shd w:val="clear" w:color="auto" w:fill="auto"/>
            <w:hideMark/>
          </w:tcPr>
          <w:p w14:paraId="3FD8EF83" w14:textId="77777777" w:rsidR="009B6230" w:rsidRPr="00C63860" w:rsidRDefault="009B6230" w:rsidP="009B6230">
            <w:pPr>
              <w:ind w:right="-109"/>
              <w:jc w:val="right"/>
              <w:rPr>
                <w:rFonts w:cstheme="minorHAnsi"/>
                <w:color w:val="000000"/>
              </w:rPr>
            </w:pPr>
            <w:r w:rsidRPr="00C63860">
              <w:rPr>
                <w:rFonts w:cstheme="minorHAnsi"/>
              </w:rPr>
              <w:t>14.60</w:t>
            </w:r>
          </w:p>
        </w:tc>
        <w:tc>
          <w:tcPr>
            <w:tcW w:w="0" w:type="auto"/>
            <w:shd w:val="clear" w:color="auto" w:fill="auto"/>
            <w:noWrap/>
            <w:vAlign w:val="center"/>
            <w:hideMark/>
          </w:tcPr>
          <w:p w14:paraId="00695986" w14:textId="77777777" w:rsidR="009B6230" w:rsidRPr="00C63860" w:rsidRDefault="009B6230" w:rsidP="009B6230">
            <w:pPr>
              <w:ind w:right="741"/>
              <w:jc w:val="right"/>
              <w:rPr>
                <w:rFonts w:cstheme="minorHAnsi"/>
              </w:rPr>
            </w:pPr>
            <w:r w:rsidRPr="00C63860">
              <w:rPr>
                <w:rFonts w:cstheme="minorHAnsi"/>
              </w:rPr>
              <w:t xml:space="preserve"> (14.2, 14.9)</w:t>
            </w:r>
          </w:p>
        </w:tc>
      </w:tr>
      <w:tr w:rsidR="009B6230" w:rsidRPr="00C63860" w14:paraId="2E5E5D30" w14:textId="77777777" w:rsidTr="00C63860">
        <w:trPr>
          <w:cantSplit/>
        </w:trPr>
        <w:tc>
          <w:tcPr>
            <w:tcW w:w="0" w:type="auto"/>
            <w:shd w:val="clear" w:color="auto" w:fill="auto"/>
            <w:noWrap/>
            <w:vAlign w:val="center"/>
            <w:hideMark/>
          </w:tcPr>
          <w:p w14:paraId="55A4075B" w14:textId="77777777" w:rsidR="009B6230" w:rsidRPr="00C63860" w:rsidRDefault="009B6230" w:rsidP="009B6230">
            <w:pPr>
              <w:rPr>
                <w:rFonts w:cstheme="minorHAnsi"/>
                <w:color w:val="000000"/>
              </w:rPr>
            </w:pPr>
            <w:r w:rsidRPr="00C63860">
              <w:rPr>
                <w:rFonts w:cstheme="minorHAnsi"/>
              </w:rPr>
              <w:t>Emergency Readmissions within 30 days (%)</w:t>
            </w:r>
          </w:p>
        </w:tc>
        <w:tc>
          <w:tcPr>
            <w:tcW w:w="0" w:type="auto"/>
            <w:shd w:val="clear" w:color="auto" w:fill="auto"/>
            <w:noWrap/>
            <w:vAlign w:val="center"/>
            <w:hideMark/>
          </w:tcPr>
          <w:p w14:paraId="10BB1C95" w14:textId="77777777" w:rsidR="009B6230" w:rsidRPr="00C63860" w:rsidRDefault="009B6230" w:rsidP="009B6230">
            <w:pPr>
              <w:ind w:right="458"/>
              <w:jc w:val="right"/>
              <w:rPr>
                <w:rFonts w:cstheme="minorHAnsi"/>
                <w:color w:val="000000"/>
              </w:rPr>
            </w:pPr>
            <w:r w:rsidRPr="00C63860">
              <w:rPr>
                <w:rFonts w:cstheme="minorHAnsi"/>
              </w:rPr>
              <w:t>8.84</w:t>
            </w:r>
          </w:p>
        </w:tc>
        <w:tc>
          <w:tcPr>
            <w:tcW w:w="0" w:type="auto"/>
            <w:shd w:val="clear" w:color="auto" w:fill="auto"/>
            <w:noWrap/>
            <w:vAlign w:val="center"/>
            <w:hideMark/>
          </w:tcPr>
          <w:p w14:paraId="75443088" w14:textId="77777777" w:rsidR="009B6230" w:rsidRPr="00C63860" w:rsidRDefault="009B6230" w:rsidP="009B6230">
            <w:pPr>
              <w:ind w:right="456"/>
              <w:jc w:val="right"/>
              <w:rPr>
                <w:rFonts w:cstheme="minorHAnsi"/>
                <w:color w:val="000000"/>
              </w:rPr>
            </w:pPr>
            <w:r w:rsidRPr="00C63860">
              <w:rPr>
                <w:rFonts w:cstheme="minorHAnsi"/>
              </w:rPr>
              <w:t>9.72</w:t>
            </w:r>
          </w:p>
        </w:tc>
        <w:tc>
          <w:tcPr>
            <w:tcW w:w="0" w:type="auto"/>
            <w:shd w:val="clear" w:color="auto" w:fill="auto"/>
            <w:hideMark/>
          </w:tcPr>
          <w:p w14:paraId="5406B848" w14:textId="60A5BE03" w:rsidR="009B6230" w:rsidRPr="00C63860" w:rsidRDefault="00C63860" w:rsidP="009B6230">
            <w:pPr>
              <w:ind w:right="-109"/>
              <w:jc w:val="right"/>
              <w:rPr>
                <w:rFonts w:cstheme="minorHAnsi"/>
                <w:color w:val="000000"/>
              </w:rPr>
            </w:pPr>
            <w:r w:rsidRPr="00C63860">
              <w:rPr>
                <w:rFonts w:cstheme="minorHAnsi"/>
                <w:color w:val="00B0F0"/>
              </w:rPr>
              <w:t>–0</w:t>
            </w:r>
            <w:r w:rsidR="009B6230" w:rsidRPr="00C63860">
              <w:rPr>
                <w:rFonts w:cstheme="minorHAnsi"/>
              </w:rPr>
              <w:t>.88</w:t>
            </w:r>
          </w:p>
        </w:tc>
        <w:tc>
          <w:tcPr>
            <w:tcW w:w="0" w:type="auto"/>
            <w:shd w:val="clear" w:color="auto" w:fill="auto"/>
            <w:noWrap/>
            <w:vAlign w:val="center"/>
            <w:hideMark/>
          </w:tcPr>
          <w:p w14:paraId="20D88B22" w14:textId="1C0E81CA" w:rsidR="009B6230" w:rsidRPr="00C63860" w:rsidRDefault="009B6230" w:rsidP="009B6230">
            <w:pPr>
              <w:ind w:right="741"/>
              <w:jc w:val="right"/>
              <w:rPr>
                <w:rFonts w:cstheme="minorHAnsi"/>
              </w:rPr>
            </w:pPr>
            <w:r w:rsidRPr="00C63860">
              <w:rPr>
                <w:rFonts w:cstheme="minorHAnsi"/>
              </w:rPr>
              <w:t xml:space="preserve"> (</w:t>
            </w:r>
            <w:r w:rsidR="00C63860" w:rsidRPr="00C63860">
              <w:rPr>
                <w:rFonts w:cstheme="minorHAnsi"/>
                <w:color w:val="00B0F0"/>
              </w:rPr>
              <w:t>–1</w:t>
            </w:r>
            <w:r w:rsidRPr="00C63860">
              <w:rPr>
                <w:rFonts w:cstheme="minorHAnsi"/>
              </w:rPr>
              <w:t>.42, 0.35)</w:t>
            </w:r>
          </w:p>
        </w:tc>
      </w:tr>
      <w:tr w:rsidR="009B6230" w:rsidRPr="00C63860" w14:paraId="716D1D32" w14:textId="77777777" w:rsidTr="00C63860">
        <w:trPr>
          <w:cantSplit/>
        </w:trPr>
        <w:tc>
          <w:tcPr>
            <w:tcW w:w="0" w:type="auto"/>
            <w:shd w:val="clear" w:color="auto" w:fill="auto"/>
            <w:noWrap/>
            <w:vAlign w:val="center"/>
          </w:tcPr>
          <w:p w14:paraId="7529B900" w14:textId="77777777" w:rsidR="009B6230" w:rsidRPr="00C63860" w:rsidRDefault="009B6230" w:rsidP="009B6230">
            <w:pPr>
              <w:rPr>
                <w:rFonts w:cstheme="minorHAnsi"/>
                <w:color w:val="000000"/>
              </w:rPr>
            </w:pPr>
          </w:p>
        </w:tc>
        <w:tc>
          <w:tcPr>
            <w:tcW w:w="0" w:type="auto"/>
            <w:shd w:val="clear" w:color="auto" w:fill="auto"/>
            <w:noWrap/>
            <w:vAlign w:val="center"/>
          </w:tcPr>
          <w:p w14:paraId="5CAB288A" w14:textId="77777777" w:rsidR="009B6230" w:rsidRPr="00C63860" w:rsidRDefault="009B6230" w:rsidP="009B6230">
            <w:pPr>
              <w:ind w:right="458"/>
              <w:jc w:val="right"/>
              <w:rPr>
                <w:rFonts w:cstheme="minorHAnsi"/>
                <w:color w:val="000000"/>
              </w:rPr>
            </w:pPr>
          </w:p>
        </w:tc>
        <w:tc>
          <w:tcPr>
            <w:tcW w:w="0" w:type="auto"/>
            <w:shd w:val="clear" w:color="auto" w:fill="auto"/>
            <w:noWrap/>
            <w:vAlign w:val="center"/>
          </w:tcPr>
          <w:p w14:paraId="2D3F1392" w14:textId="77777777" w:rsidR="009B6230" w:rsidRPr="00C63860" w:rsidRDefault="009B6230" w:rsidP="009B6230">
            <w:pPr>
              <w:ind w:right="456"/>
              <w:jc w:val="right"/>
              <w:rPr>
                <w:rFonts w:cstheme="minorHAnsi"/>
                <w:color w:val="000000"/>
              </w:rPr>
            </w:pPr>
          </w:p>
        </w:tc>
        <w:tc>
          <w:tcPr>
            <w:tcW w:w="0" w:type="auto"/>
            <w:shd w:val="clear" w:color="auto" w:fill="auto"/>
          </w:tcPr>
          <w:p w14:paraId="67DE8EEB" w14:textId="77777777" w:rsidR="009B6230" w:rsidRPr="00C63860" w:rsidRDefault="009B6230" w:rsidP="009B6230">
            <w:pPr>
              <w:ind w:right="-109"/>
              <w:jc w:val="right"/>
              <w:rPr>
                <w:rFonts w:cstheme="minorHAnsi"/>
                <w:color w:val="000000"/>
              </w:rPr>
            </w:pPr>
          </w:p>
        </w:tc>
        <w:tc>
          <w:tcPr>
            <w:tcW w:w="0" w:type="auto"/>
            <w:shd w:val="clear" w:color="auto" w:fill="auto"/>
            <w:noWrap/>
            <w:vAlign w:val="center"/>
          </w:tcPr>
          <w:p w14:paraId="601DC721" w14:textId="77777777" w:rsidR="009B6230" w:rsidRPr="00C63860" w:rsidRDefault="009B6230" w:rsidP="009B6230">
            <w:pPr>
              <w:ind w:right="741"/>
              <w:jc w:val="right"/>
              <w:rPr>
                <w:rFonts w:cstheme="minorHAnsi"/>
              </w:rPr>
            </w:pPr>
          </w:p>
        </w:tc>
      </w:tr>
      <w:tr w:rsidR="009B6230" w:rsidRPr="00C63860" w14:paraId="512023E1" w14:textId="77777777" w:rsidTr="00C63860">
        <w:trPr>
          <w:cantSplit/>
        </w:trPr>
        <w:tc>
          <w:tcPr>
            <w:tcW w:w="0" w:type="auto"/>
            <w:shd w:val="clear" w:color="auto" w:fill="auto"/>
            <w:noWrap/>
            <w:vAlign w:val="center"/>
            <w:hideMark/>
          </w:tcPr>
          <w:p w14:paraId="0205E9B3" w14:textId="77777777" w:rsidR="009B6230" w:rsidRPr="00C63860" w:rsidRDefault="009B6230" w:rsidP="009B6230">
            <w:pPr>
              <w:rPr>
                <w:rFonts w:cstheme="minorHAnsi"/>
                <w:b/>
                <w:bCs/>
                <w:color w:val="000000"/>
              </w:rPr>
            </w:pPr>
            <w:r w:rsidRPr="00C63860">
              <w:rPr>
                <w:rFonts w:cstheme="minorHAnsi"/>
                <w:b/>
                <w:bCs/>
              </w:rPr>
              <w:t>Hernia</w:t>
            </w:r>
          </w:p>
        </w:tc>
        <w:tc>
          <w:tcPr>
            <w:tcW w:w="0" w:type="auto"/>
            <w:shd w:val="clear" w:color="auto" w:fill="auto"/>
            <w:noWrap/>
            <w:vAlign w:val="bottom"/>
            <w:hideMark/>
          </w:tcPr>
          <w:p w14:paraId="37E3261C" w14:textId="77777777" w:rsidR="009B6230" w:rsidRPr="00C63860" w:rsidRDefault="009B6230" w:rsidP="009B6230">
            <w:pPr>
              <w:rPr>
                <w:rFonts w:cstheme="minorHAnsi"/>
                <w:b/>
                <w:bCs/>
              </w:rPr>
            </w:pPr>
          </w:p>
        </w:tc>
        <w:tc>
          <w:tcPr>
            <w:tcW w:w="0" w:type="auto"/>
            <w:shd w:val="clear" w:color="auto" w:fill="auto"/>
            <w:noWrap/>
            <w:vAlign w:val="bottom"/>
            <w:hideMark/>
          </w:tcPr>
          <w:p w14:paraId="2039CEDA" w14:textId="77777777" w:rsidR="009B6230" w:rsidRPr="00C63860" w:rsidRDefault="009B6230" w:rsidP="009B6230"/>
        </w:tc>
        <w:tc>
          <w:tcPr>
            <w:tcW w:w="0" w:type="auto"/>
            <w:shd w:val="clear" w:color="auto" w:fill="auto"/>
          </w:tcPr>
          <w:p w14:paraId="64C14108" w14:textId="77777777" w:rsidR="009B6230" w:rsidRPr="00C63860" w:rsidRDefault="009B6230" w:rsidP="009B6230">
            <w:pPr>
              <w:ind w:right="-109"/>
              <w:jc w:val="right"/>
              <w:rPr>
                <w:rFonts w:cstheme="minorHAnsi"/>
                <w:color w:val="000000"/>
              </w:rPr>
            </w:pPr>
          </w:p>
        </w:tc>
        <w:tc>
          <w:tcPr>
            <w:tcW w:w="0" w:type="auto"/>
            <w:shd w:val="clear" w:color="auto" w:fill="auto"/>
            <w:noWrap/>
            <w:vAlign w:val="bottom"/>
            <w:hideMark/>
          </w:tcPr>
          <w:p w14:paraId="64E8C6D1" w14:textId="370A54DC" w:rsidR="009B6230" w:rsidRPr="00C63860" w:rsidRDefault="00C63860" w:rsidP="009B6230">
            <w:pPr>
              <w:ind w:right="741"/>
              <w:jc w:val="right"/>
              <w:rPr>
                <w:rFonts w:cstheme="minorHAnsi"/>
              </w:rPr>
            </w:pPr>
            <w:r w:rsidRPr="00C63860">
              <w:rPr>
                <w:rFonts w:cstheme="minorHAnsi"/>
              </w:rPr>
              <w:t xml:space="preserve"> </w:t>
            </w:r>
          </w:p>
        </w:tc>
      </w:tr>
      <w:tr w:rsidR="009B6230" w:rsidRPr="00C63860" w14:paraId="15F08B22" w14:textId="77777777" w:rsidTr="00C63860">
        <w:trPr>
          <w:cantSplit/>
        </w:trPr>
        <w:tc>
          <w:tcPr>
            <w:tcW w:w="0" w:type="auto"/>
            <w:shd w:val="clear" w:color="auto" w:fill="auto"/>
            <w:noWrap/>
            <w:vAlign w:val="center"/>
            <w:hideMark/>
          </w:tcPr>
          <w:p w14:paraId="590D546A" w14:textId="77777777" w:rsidR="009B6230" w:rsidRPr="00C63860" w:rsidRDefault="009B6230" w:rsidP="009B6230">
            <w:pPr>
              <w:rPr>
                <w:rFonts w:cstheme="minorHAnsi"/>
                <w:color w:val="000000"/>
              </w:rPr>
            </w:pPr>
            <w:r w:rsidRPr="00C63860">
              <w:rPr>
                <w:rFonts w:cstheme="minorHAnsi"/>
              </w:rPr>
              <w:t>DAOH within 90 days (mean)</w:t>
            </w:r>
          </w:p>
        </w:tc>
        <w:tc>
          <w:tcPr>
            <w:tcW w:w="0" w:type="auto"/>
            <w:shd w:val="clear" w:color="auto" w:fill="auto"/>
            <w:noWrap/>
            <w:vAlign w:val="center"/>
            <w:hideMark/>
          </w:tcPr>
          <w:p w14:paraId="6F6C5300" w14:textId="77777777" w:rsidR="009B6230" w:rsidRPr="00C63860" w:rsidRDefault="009B6230" w:rsidP="009B6230">
            <w:pPr>
              <w:ind w:right="458"/>
              <w:jc w:val="right"/>
              <w:rPr>
                <w:rFonts w:cstheme="minorHAnsi"/>
                <w:color w:val="000000"/>
              </w:rPr>
            </w:pPr>
            <w:r w:rsidRPr="00C63860">
              <w:rPr>
                <w:rFonts w:cstheme="minorHAnsi"/>
              </w:rPr>
              <w:t>80.98</w:t>
            </w:r>
          </w:p>
        </w:tc>
        <w:tc>
          <w:tcPr>
            <w:tcW w:w="0" w:type="auto"/>
            <w:shd w:val="clear" w:color="auto" w:fill="auto"/>
            <w:noWrap/>
            <w:vAlign w:val="center"/>
            <w:hideMark/>
          </w:tcPr>
          <w:p w14:paraId="29B927CE" w14:textId="77777777" w:rsidR="009B6230" w:rsidRPr="00C63860" w:rsidRDefault="009B6230" w:rsidP="009B6230">
            <w:pPr>
              <w:ind w:right="456"/>
              <w:jc w:val="right"/>
              <w:rPr>
                <w:rFonts w:cstheme="minorHAnsi"/>
                <w:color w:val="000000"/>
              </w:rPr>
            </w:pPr>
            <w:r w:rsidRPr="00C63860">
              <w:rPr>
                <w:rFonts w:cstheme="minorHAnsi"/>
              </w:rPr>
              <w:t>81.63</w:t>
            </w:r>
          </w:p>
        </w:tc>
        <w:tc>
          <w:tcPr>
            <w:tcW w:w="0" w:type="auto"/>
            <w:shd w:val="clear" w:color="auto" w:fill="auto"/>
            <w:hideMark/>
          </w:tcPr>
          <w:p w14:paraId="3F38C69A" w14:textId="2E321AFD" w:rsidR="009B6230" w:rsidRPr="00C63860" w:rsidRDefault="00C63860" w:rsidP="009B6230">
            <w:pPr>
              <w:ind w:right="-109"/>
              <w:jc w:val="right"/>
              <w:rPr>
                <w:rFonts w:cstheme="minorHAnsi"/>
                <w:color w:val="000000"/>
              </w:rPr>
            </w:pPr>
            <w:r w:rsidRPr="00C63860">
              <w:rPr>
                <w:rFonts w:cstheme="minorHAnsi"/>
                <w:color w:val="00B0F0"/>
              </w:rPr>
              <w:t>–0</w:t>
            </w:r>
            <w:r w:rsidR="009B6230" w:rsidRPr="00C63860">
              <w:rPr>
                <w:rFonts w:cstheme="minorHAnsi"/>
              </w:rPr>
              <w:t>.65</w:t>
            </w:r>
          </w:p>
        </w:tc>
        <w:tc>
          <w:tcPr>
            <w:tcW w:w="0" w:type="auto"/>
            <w:shd w:val="clear" w:color="auto" w:fill="auto"/>
            <w:noWrap/>
            <w:vAlign w:val="center"/>
            <w:hideMark/>
          </w:tcPr>
          <w:p w14:paraId="0027E7B4" w14:textId="6DBD9044" w:rsidR="009B6230" w:rsidRPr="00C63860" w:rsidRDefault="009B6230" w:rsidP="009B6230">
            <w:pPr>
              <w:ind w:right="741"/>
              <w:jc w:val="right"/>
              <w:rPr>
                <w:rFonts w:cstheme="minorHAnsi"/>
              </w:rPr>
            </w:pPr>
            <w:r w:rsidRPr="00C63860">
              <w:rPr>
                <w:rFonts w:cstheme="minorHAnsi"/>
              </w:rPr>
              <w:t xml:space="preserve"> (</w:t>
            </w:r>
            <w:r w:rsidR="00C63860" w:rsidRPr="00C63860">
              <w:rPr>
                <w:rFonts w:cstheme="minorHAnsi"/>
                <w:color w:val="00B0F0"/>
              </w:rPr>
              <w:t>–0</w:t>
            </w:r>
            <w:r w:rsidRPr="00C63860">
              <w:rPr>
                <w:rFonts w:cstheme="minorHAnsi"/>
              </w:rPr>
              <w:t>.9</w:t>
            </w:r>
            <w:r w:rsidR="00C63860" w:rsidRPr="00C63860">
              <w:rPr>
                <w:rFonts w:cstheme="minorHAnsi"/>
                <w:color w:val="00B0F0"/>
              </w:rPr>
              <w:t>5, -0</w:t>
            </w:r>
            <w:r w:rsidRPr="00C63860">
              <w:rPr>
                <w:rFonts w:cstheme="minorHAnsi"/>
              </w:rPr>
              <w:t>.35)</w:t>
            </w:r>
          </w:p>
        </w:tc>
      </w:tr>
      <w:tr w:rsidR="009B6230" w:rsidRPr="00C63860" w14:paraId="361107B9" w14:textId="77777777" w:rsidTr="00C63860">
        <w:trPr>
          <w:cantSplit/>
        </w:trPr>
        <w:tc>
          <w:tcPr>
            <w:tcW w:w="0" w:type="auto"/>
            <w:shd w:val="clear" w:color="auto" w:fill="auto"/>
            <w:noWrap/>
            <w:vAlign w:val="center"/>
            <w:hideMark/>
          </w:tcPr>
          <w:p w14:paraId="4816474F" w14:textId="77777777" w:rsidR="009B6230" w:rsidRPr="00C63860" w:rsidRDefault="009B6230" w:rsidP="009B6230">
            <w:pPr>
              <w:rPr>
                <w:rFonts w:cstheme="minorHAnsi"/>
                <w:color w:val="000000"/>
              </w:rPr>
            </w:pPr>
            <w:r w:rsidRPr="00C63860">
              <w:rPr>
                <w:rFonts w:cstheme="minorHAnsi"/>
              </w:rPr>
              <w:t>Mortality within 90 days (%)</w:t>
            </w:r>
          </w:p>
        </w:tc>
        <w:tc>
          <w:tcPr>
            <w:tcW w:w="0" w:type="auto"/>
            <w:shd w:val="clear" w:color="auto" w:fill="auto"/>
            <w:noWrap/>
            <w:vAlign w:val="center"/>
            <w:hideMark/>
          </w:tcPr>
          <w:p w14:paraId="19BA6D23" w14:textId="77777777" w:rsidR="009B6230" w:rsidRPr="00C63860" w:rsidRDefault="009B6230" w:rsidP="009B6230">
            <w:pPr>
              <w:ind w:right="458"/>
              <w:jc w:val="right"/>
              <w:rPr>
                <w:rFonts w:cstheme="minorHAnsi"/>
                <w:color w:val="000000"/>
              </w:rPr>
            </w:pPr>
            <w:r w:rsidRPr="00C63860">
              <w:rPr>
                <w:rFonts w:cstheme="minorHAnsi"/>
              </w:rPr>
              <w:t>2.68</w:t>
            </w:r>
          </w:p>
        </w:tc>
        <w:tc>
          <w:tcPr>
            <w:tcW w:w="0" w:type="auto"/>
            <w:shd w:val="clear" w:color="auto" w:fill="auto"/>
            <w:noWrap/>
            <w:vAlign w:val="center"/>
            <w:hideMark/>
          </w:tcPr>
          <w:p w14:paraId="1FF98FB0" w14:textId="77777777" w:rsidR="009B6230" w:rsidRPr="00C63860" w:rsidRDefault="009B6230" w:rsidP="009B6230">
            <w:pPr>
              <w:ind w:right="456"/>
              <w:jc w:val="right"/>
              <w:rPr>
                <w:rFonts w:cstheme="minorHAnsi"/>
                <w:color w:val="000000"/>
              </w:rPr>
            </w:pPr>
            <w:r w:rsidRPr="00C63860">
              <w:rPr>
                <w:rFonts w:cstheme="minorHAnsi"/>
              </w:rPr>
              <w:t>3.69</w:t>
            </w:r>
          </w:p>
        </w:tc>
        <w:tc>
          <w:tcPr>
            <w:tcW w:w="0" w:type="auto"/>
            <w:shd w:val="clear" w:color="auto" w:fill="auto"/>
            <w:hideMark/>
          </w:tcPr>
          <w:p w14:paraId="440A20B7" w14:textId="0A5DF2B8" w:rsidR="009B6230" w:rsidRPr="00C63860" w:rsidRDefault="00C63860" w:rsidP="009B6230">
            <w:pPr>
              <w:ind w:right="-109"/>
              <w:jc w:val="right"/>
              <w:rPr>
                <w:rFonts w:cstheme="minorHAnsi"/>
                <w:color w:val="000000"/>
              </w:rPr>
            </w:pPr>
            <w:r w:rsidRPr="00C63860">
              <w:rPr>
                <w:rFonts w:cstheme="minorHAnsi"/>
                <w:color w:val="00B0F0"/>
              </w:rPr>
              <w:t>–1</w:t>
            </w:r>
            <w:r w:rsidR="009B6230" w:rsidRPr="00C63860">
              <w:rPr>
                <w:rFonts w:cstheme="minorHAnsi"/>
              </w:rPr>
              <w:t>.01</w:t>
            </w:r>
          </w:p>
        </w:tc>
        <w:tc>
          <w:tcPr>
            <w:tcW w:w="0" w:type="auto"/>
            <w:shd w:val="clear" w:color="auto" w:fill="auto"/>
            <w:noWrap/>
            <w:vAlign w:val="center"/>
            <w:hideMark/>
          </w:tcPr>
          <w:p w14:paraId="5395D4C9" w14:textId="5BF5A953" w:rsidR="009B6230" w:rsidRPr="00C63860" w:rsidRDefault="009B6230" w:rsidP="009B6230">
            <w:pPr>
              <w:ind w:right="741"/>
              <w:jc w:val="right"/>
              <w:rPr>
                <w:rFonts w:cstheme="minorHAnsi"/>
              </w:rPr>
            </w:pPr>
            <w:r w:rsidRPr="00C63860">
              <w:rPr>
                <w:rFonts w:cstheme="minorHAnsi"/>
              </w:rPr>
              <w:t xml:space="preserve"> (</w:t>
            </w:r>
            <w:r w:rsidR="00C63860" w:rsidRPr="00C63860">
              <w:rPr>
                <w:rFonts w:cstheme="minorHAnsi"/>
                <w:color w:val="00B0F0"/>
              </w:rPr>
              <w:t>–1</w:t>
            </w:r>
            <w:r w:rsidRPr="00C63860">
              <w:rPr>
                <w:rFonts w:cstheme="minorHAnsi"/>
              </w:rPr>
              <w:t>.2</w:t>
            </w:r>
            <w:r w:rsidR="00C63860" w:rsidRPr="00C63860">
              <w:rPr>
                <w:rFonts w:cstheme="minorHAnsi"/>
                <w:color w:val="00B0F0"/>
              </w:rPr>
              <w:t>5, -0</w:t>
            </w:r>
            <w:r w:rsidRPr="00C63860">
              <w:rPr>
                <w:rFonts w:cstheme="minorHAnsi"/>
              </w:rPr>
              <w:t>.78)</w:t>
            </w:r>
          </w:p>
        </w:tc>
      </w:tr>
      <w:tr w:rsidR="009B6230" w:rsidRPr="00C63860" w14:paraId="25FB5021" w14:textId="77777777" w:rsidTr="00C63860">
        <w:trPr>
          <w:cantSplit/>
        </w:trPr>
        <w:tc>
          <w:tcPr>
            <w:tcW w:w="0" w:type="auto"/>
            <w:shd w:val="clear" w:color="auto" w:fill="auto"/>
            <w:noWrap/>
            <w:vAlign w:val="center"/>
            <w:hideMark/>
          </w:tcPr>
          <w:p w14:paraId="466222D7" w14:textId="77777777" w:rsidR="009B6230" w:rsidRPr="00C63860" w:rsidRDefault="009B6230" w:rsidP="009B6230">
            <w:pPr>
              <w:rPr>
                <w:rFonts w:cstheme="minorHAnsi"/>
                <w:color w:val="000000"/>
              </w:rPr>
            </w:pPr>
            <w:r w:rsidRPr="00C63860">
              <w:rPr>
                <w:rFonts w:cstheme="minorHAnsi"/>
              </w:rPr>
              <w:t>LOS within 90 days (mean)</w:t>
            </w:r>
          </w:p>
        </w:tc>
        <w:tc>
          <w:tcPr>
            <w:tcW w:w="0" w:type="auto"/>
            <w:shd w:val="clear" w:color="auto" w:fill="auto"/>
            <w:noWrap/>
            <w:vAlign w:val="center"/>
            <w:hideMark/>
          </w:tcPr>
          <w:p w14:paraId="3DDF7BC1" w14:textId="77777777" w:rsidR="009B6230" w:rsidRPr="00C63860" w:rsidRDefault="009B6230" w:rsidP="009B6230">
            <w:pPr>
              <w:ind w:right="458"/>
              <w:jc w:val="right"/>
              <w:rPr>
                <w:rFonts w:cstheme="minorHAnsi"/>
                <w:color w:val="000000"/>
              </w:rPr>
            </w:pPr>
            <w:r w:rsidRPr="00C63860">
              <w:rPr>
                <w:rFonts w:cstheme="minorHAnsi"/>
              </w:rPr>
              <w:t>7.08</w:t>
            </w:r>
          </w:p>
        </w:tc>
        <w:tc>
          <w:tcPr>
            <w:tcW w:w="0" w:type="auto"/>
            <w:shd w:val="clear" w:color="auto" w:fill="auto"/>
            <w:noWrap/>
            <w:vAlign w:val="center"/>
            <w:hideMark/>
          </w:tcPr>
          <w:p w14:paraId="419B794C" w14:textId="77777777" w:rsidR="009B6230" w:rsidRPr="00C63860" w:rsidRDefault="009B6230" w:rsidP="009B6230">
            <w:pPr>
              <w:ind w:right="456"/>
              <w:jc w:val="right"/>
              <w:rPr>
                <w:rFonts w:cstheme="minorHAnsi"/>
                <w:color w:val="000000"/>
              </w:rPr>
            </w:pPr>
            <w:r w:rsidRPr="00C63860">
              <w:rPr>
                <w:rFonts w:cstheme="minorHAnsi"/>
              </w:rPr>
              <w:t>5.49</w:t>
            </w:r>
          </w:p>
        </w:tc>
        <w:tc>
          <w:tcPr>
            <w:tcW w:w="0" w:type="auto"/>
            <w:shd w:val="clear" w:color="auto" w:fill="auto"/>
            <w:hideMark/>
          </w:tcPr>
          <w:p w14:paraId="04893ED1" w14:textId="77777777" w:rsidR="009B6230" w:rsidRPr="00C63860" w:rsidRDefault="009B6230" w:rsidP="009B6230">
            <w:pPr>
              <w:ind w:right="-109"/>
              <w:jc w:val="right"/>
              <w:rPr>
                <w:rFonts w:cstheme="minorHAnsi"/>
                <w:color w:val="000000"/>
              </w:rPr>
            </w:pPr>
            <w:r w:rsidRPr="00C63860">
              <w:rPr>
                <w:rFonts w:cstheme="minorHAnsi"/>
              </w:rPr>
              <w:t>1.59</w:t>
            </w:r>
          </w:p>
        </w:tc>
        <w:tc>
          <w:tcPr>
            <w:tcW w:w="0" w:type="auto"/>
            <w:shd w:val="clear" w:color="auto" w:fill="auto"/>
            <w:noWrap/>
            <w:vAlign w:val="center"/>
            <w:hideMark/>
          </w:tcPr>
          <w:p w14:paraId="203B821D" w14:textId="77777777" w:rsidR="009B6230" w:rsidRPr="00C63860" w:rsidRDefault="009B6230" w:rsidP="009B6230">
            <w:pPr>
              <w:ind w:right="741"/>
              <w:jc w:val="right"/>
              <w:rPr>
                <w:rFonts w:cstheme="minorHAnsi"/>
              </w:rPr>
            </w:pPr>
            <w:r w:rsidRPr="00C63860">
              <w:rPr>
                <w:rFonts w:cstheme="minorHAnsi"/>
              </w:rPr>
              <w:t xml:space="preserve"> (1.42, 1.76)</w:t>
            </w:r>
          </w:p>
        </w:tc>
      </w:tr>
      <w:tr w:rsidR="009B6230" w:rsidRPr="00C63860" w14:paraId="35C56322" w14:textId="77777777" w:rsidTr="00C63860">
        <w:trPr>
          <w:cantSplit/>
        </w:trPr>
        <w:tc>
          <w:tcPr>
            <w:tcW w:w="0" w:type="auto"/>
            <w:shd w:val="clear" w:color="auto" w:fill="auto"/>
            <w:noWrap/>
            <w:vAlign w:val="center"/>
            <w:hideMark/>
          </w:tcPr>
          <w:p w14:paraId="353DC14E" w14:textId="77777777" w:rsidR="009B6230" w:rsidRPr="00C63860" w:rsidRDefault="009B6230" w:rsidP="009B6230">
            <w:pPr>
              <w:rPr>
                <w:rFonts w:cstheme="minorHAnsi"/>
                <w:color w:val="000000"/>
              </w:rPr>
            </w:pPr>
            <w:r w:rsidRPr="00C63860">
              <w:rPr>
                <w:rFonts w:cstheme="minorHAnsi"/>
              </w:rPr>
              <w:t>Emergency Readmissions within 30 days (%)</w:t>
            </w:r>
          </w:p>
        </w:tc>
        <w:tc>
          <w:tcPr>
            <w:tcW w:w="0" w:type="auto"/>
            <w:shd w:val="clear" w:color="auto" w:fill="auto"/>
            <w:noWrap/>
            <w:vAlign w:val="center"/>
            <w:hideMark/>
          </w:tcPr>
          <w:p w14:paraId="1D2D9379" w14:textId="77777777" w:rsidR="009B6230" w:rsidRPr="00C63860" w:rsidRDefault="009B6230" w:rsidP="009B6230">
            <w:pPr>
              <w:ind w:right="458"/>
              <w:jc w:val="right"/>
              <w:rPr>
                <w:rFonts w:cstheme="minorHAnsi"/>
                <w:color w:val="000000"/>
              </w:rPr>
            </w:pPr>
            <w:r w:rsidRPr="00C63860">
              <w:rPr>
                <w:rFonts w:cstheme="minorHAnsi"/>
              </w:rPr>
              <w:t>9.43</w:t>
            </w:r>
          </w:p>
        </w:tc>
        <w:tc>
          <w:tcPr>
            <w:tcW w:w="0" w:type="auto"/>
            <w:shd w:val="clear" w:color="auto" w:fill="auto"/>
            <w:noWrap/>
            <w:vAlign w:val="center"/>
            <w:hideMark/>
          </w:tcPr>
          <w:p w14:paraId="787F3D07" w14:textId="77777777" w:rsidR="009B6230" w:rsidRPr="00C63860" w:rsidRDefault="009B6230" w:rsidP="009B6230">
            <w:pPr>
              <w:ind w:right="456"/>
              <w:jc w:val="right"/>
              <w:rPr>
                <w:rFonts w:cstheme="minorHAnsi"/>
                <w:color w:val="000000"/>
              </w:rPr>
            </w:pPr>
            <w:r w:rsidRPr="00C63860">
              <w:rPr>
                <w:rFonts w:cstheme="minorHAnsi"/>
              </w:rPr>
              <w:t>12.40</w:t>
            </w:r>
          </w:p>
        </w:tc>
        <w:tc>
          <w:tcPr>
            <w:tcW w:w="0" w:type="auto"/>
            <w:shd w:val="clear" w:color="auto" w:fill="auto"/>
            <w:hideMark/>
          </w:tcPr>
          <w:p w14:paraId="44553EF6" w14:textId="576A972F" w:rsidR="009B6230" w:rsidRPr="00C63860" w:rsidRDefault="00C63860" w:rsidP="009B6230">
            <w:pPr>
              <w:ind w:right="-109"/>
              <w:jc w:val="right"/>
              <w:rPr>
                <w:rFonts w:cstheme="minorHAnsi"/>
                <w:color w:val="000000"/>
              </w:rPr>
            </w:pPr>
            <w:r w:rsidRPr="00C63860">
              <w:rPr>
                <w:rFonts w:cstheme="minorHAnsi"/>
                <w:color w:val="00B0F0"/>
              </w:rPr>
              <w:t>–2</w:t>
            </w:r>
            <w:r w:rsidR="009B6230" w:rsidRPr="00C63860">
              <w:rPr>
                <w:rFonts w:cstheme="minorHAnsi"/>
              </w:rPr>
              <w:t>.97</w:t>
            </w:r>
          </w:p>
        </w:tc>
        <w:tc>
          <w:tcPr>
            <w:tcW w:w="0" w:type="auto"/>
            <w:shd w:val="clear" w:color="auto" w:fill="auto"/>
            <w:noWrap/>
            <w:vAlign w:val="center"/>
            <w:hideMark/>
          </w:tcPr>
          <w:p w14:paraId="155D424E" w14:textId="08CC269D" w:rsidR="009B6230" w:rsidRPr="00C63860" w:rsidRDefault="009B6230" w:rsidP="009B6230">
            <w:pPr>
              <w:ind w:right="741"/>
              <w:jc w:val="right"/>
              <w:rPr>
                <w:rFonts w:cstheme="minorHAnsi"/>
              </w:rPr>
            </w:pPr>
            <w:r w:rsidRPr="00C63860">
              <w:rPr>
                <w:rFonts w:cstheme="minorHAnsi"/>
              </w:rPr>
              <w:t xml:space="preserve"> (</w:t>
            </w:r>
            <w:r w:rsidR="00C63860" w:rsidRPr="00C63860">
              <w:rPr>
                <w:rFonts w:cstheme="minorHAnsi"/>
                <w:color w:val="00B0F0"/>
              </w:rPr>
              <w:t>–3</w:t>
            </w:r>
            <w:r w:rsidRPr="00C63860">
              <w:rPr>
                <w:rFonts w:cstheme="minorHAnsi"/>
              </w:rPr>
              <w:t>.3</w:t>
            </w:r>
            <w:r w:rsidR="00C63860" w:rsidRPr="00C63860">
              <w:rPr>
                <w:rFonts w:cstheme="minorHAnsi"/>
                <w:color w:val="00B0F0"/>
              </w:rPr>
              <w:t>8, -2</w:t>
            </w:r>
            <w:r w:rsidRPr="00C63860">
              <w:rPr>
                <w:rFonts w:cstheme="minorHAnsi"/>
              </w:rPr>
              <w:t>.56)</w:t>
            </w:r>
          </w:p>
        </w:tc>
      </w:tr>
      <w:tr w:rsidR="009B6230" w:rsidRPr="00C63860" w14:paraId="68237C86" w14:textId="77777777" w:rsidTr="00C63860">
        <w:trPr>
          <w:cantSplit/>
        </w:trPr>
        <w:tc>
          <w:tcPr>
            <w:tcW w:w="0" w:type="auto"/>
            <w:shd w:val="clear" w:color="auto" w:fill="auto"/>
            <w:noWrap/>
            <w:vAlign w:val="center"/>
          </w:tcPr>
          <w:p w14:paraId="7078DD0D" w14:textId="77777777" w:rsidR="009B6230" w:rsidRPr="00C63860" w:rsidRDefault="009B6230" w:rsidP="009B6230">
            <w:pPr>
              <w:rPr>
                <w:rFonts w:cstheme="minorHAnsi"/>
                <w:color w:val="000000"/>
              </w:rPr>
            </w:pPr>
          </w:p>
        </w:tc>
        <w:tc>
          <w:tcPr>
            <w:tcW w:w="0" w:type="auto"/>
            <w:shd w:val="clear" w:color="auto" w:fill="auto"/>
            <w:noWrap/>
            <w:vAlign w:val="center"/>
          </w:tcPr>
          <w:p w14:paraId="67C5236C" w14:textId="77777777" w:rsidR="009B6230" w:rsidRPr="00C63860" w:rsidRDefault="009B6230" w:rsidP="009B6230">
            <w:pPr>
              <w:ind w:right="458"/>
              <w:jc w:val="right"/>
              <w:rPr>
                <w:rFonts w:cstheme="minorHAnsi"/>
                <w:color w:val="000000"/>
              </w:rPr>
            </w:pPr>
          </w:p>
        </w:tc>
        <w:tc>
          <w:tcPr>
            <w:tcW w:w="0" w:type="auto"/>
            <w:shd w:val="clear" w:color="auto" w:fill="auto"/>
            <w:noWrap/>
            <w:vAlign w:val="center"/>
          </w:tcPr>
          <w:p w14:paraId="10ECCF10" w14:textId="77777777" w:rsidR="009B6230" w:rsidRPr="00C63860" w:rsidRDefault="009B6230" w:rsidP="009B6230">
            <w:pPr>
              <w:ind w:right="456"/>
              <w:jc w:val="right"/>
              <w:rPr>
                <w:rFonts w:cstheme="minorHAnsi"/>
                <w:color w:val="000000"/>
              </w:rPr>
            </w:pPr>
          </w:p>
        </w:tc>
        <w:tc>
          <w:tcPr>
            <w:tcW w:w="0" w:type="auto"/>
            <w:shd w:val="clear" w:color="auto" w:fill="auto"/>
          </w:tcPr>
          <w:p w14:paraId="67D050B5" w14:textId="77777777" w:rsidR="009B6230" w:rsidRPr="00C63860" w:rsidRDefault="009B6230" w:rsidP="009B6230">
            <w:pPr>
              <w:ind w:right="-109"/>
              <w:jc w:val="right"/>
              <w:rPr>
                <w:rFonts w:cstheme="minorHAnsi"/>
                <w:color w:val="000000"/>
              </w:rPr>
            </w:pPr>
          </w:p>
        </w:tc>
        <w:tc>
          <w:tcPr>
            <w:tcW w:w="0" w:type="auto"/>
            <w:shd w:val="clear" w:color="auto" w:fill="auto"/>
            <w:noWrap/>
            <w:vAlign w:val="center"/>
          </w:tcPr>
          <w:p w14:paraId="3DB51CED" w14:textId="77777777" w:rsidR="009B6230" w:rsidRPr="00C63860" w:rsidRDefault="009B6230" w:rsidP="009B6230">
            <w:pPr>
              <w:ind w:right="741"/>
              <w:jc w:val="right"/>
              <w:rPr>
                <w:rFonts w:cstheme="minorHAnsi"/>
              </w:rPr>
            </w:pPr>
          </w:p>
        </w:tc>
      </w:tr>
      <w:tr w:rsidR="009B6230" w:rsidRPr="00C63860" w14:paraId="118C250A" w14:textId="77777777" w:rsidTr="00C63860">
        <w:trPr>
          <w:cantSplit/>
        </w:trPr>
        <w:tc>
          <w:tcPr>
            <w:tcW w:w="0" w:type="auto"/>
            <w:shd w:val="clear" w:color="auto" w:fill="auto"/>
            <w:noWrap/>
            <w:vAlign w:val="center"/>
            <w:hideMark/>
          </w:tcPr>
          <w:p w14:paraId="346D0502" w14:textId="49E9978A" w:rsidR="009B6230" w:rsidRPr="00C63860" w:rsidRDefault="009B6230" w:rsidP="009B6230">
            <w:pPr>
              <w:rPr>
                <w:rFonts w:cstheme="minorHAnsi"/>
                <w:b/>
                <w:bCs/>
                <w:color w:val="000000"/>
              </w:rPr>
            </w:pPr>
            <w:r w:rsidRPr="00C63860">
              <w:rPr>
                <w:rFonts w:cstheme="minorHAnsi"/>
                <w:b/>
                <w:bCs/>
              </w:rPr>
              <w:t>Intestinal obstruction</w:t>
            </w:r>
            <w:r w:rsidR="00C63860" w:rsidRPr="00C63860">
              <w:rPr>
                <w:rFonts w:cstheme="minorHAnsi"/>
                <w:b/>
                <w:bCs/>
              </w:rPr>
              <w:t xml:space="preserve"> </w:t>
            </w:r>
          </w:p>
        </w:tc>
        <w:tc>
          <w:tcPr>
            <w:tcW w:w="0" w:type="auto"/>
            <w:shd w:val="clear" w:color="auto" w:fill="auto"/>
            <w:noWrap/>
            <w:vAlign w:val="bottom"/>
            <w:hideMark/>
          </w:tcPr>
          <w:p w14:paraId="5565FFE2" w14:textId="77777777" w:rsidR="009B6230" w:rsidRPr="00C63860" w:rsidRDefault="009B6230" w:rsidP="009B6230">
            <w:pPr>
              <w:rPr>
                <w:rFonts w:cstheme="minorHAnsi"/>
                <w:b/>
                <w:bCs/>
              </w:rPr>
            </w:pPr>
          </w:p>
        </w:tc>
        <w:tc>
          <w:tcPr>
            <w:tcW w:w="0" w:type="auto"/>
            <w:shd w:val="clear" w:color="auto" w:fill="auto"/>
            <w:noWrap/>
            <w:vAlign w:val="bottom"/>
            <w:hideMark/>
          </w:tcPr>
          <w:p w14:paraId="451658FE" w14:textId="77777777" w:rsidR="009B6230" w:rsidRPr="00C63860" w:rsidRDefault="009B6230" w:rsidP="009B6230"/>
        </w:tc>
        <w:tc>
          <w:tcPr>
            <w:tcW w:w="0" w:type="auto"/>
            <w:shd w:val="clear" w:color="auto" w:fill="auto"/>
          </w:tcPr>
          <w:p w14:paraId="0560E497" w14:textId="77777777" w:rsidR="009B6230" w:rsidRPr="00C63860" w:rsidRDefault="009B6230" w:rsidP="009B6230">
            <w:pPr>
              <w:ind w:right="-109"/>
              <w:jc w:val="right"/>
              <w:rPr>
                <w:rFonts w:cstheme="minorHAnsi"/>
                <w:color w:val="000000"/>
              </w:rPr>
            </w:pPr>
          </w:p>
        </w:tc>
        <w:tc>
          <w:tcPr>
            <w:tcW w:w="0" w:type="auto"/>
            <w:shd w:val="clear" w:color="auto" w:fill="auto"/>
            <w:noWrap/>
            <w:vAlign w:val="bottom"/>
            <w:hideMark/>
          </w:tcPr>
          <w:p w14:paraId="712E1FF0" w14:textId="162D1D8E" w:rsidR="009B6230" w:rsidRPr="00C63860" w:rsidRDefault="00C63860" w:rsidP="009B6230">
            <w:pPr>
              <w:ind w:right="741"/>
              <w:jc w:val="right"/>
              <w:rPr>
                <w:rFonts w:cstheme="minorHAnsi"/>
              </w:rPr>
            </w:pPr>
            <w:r w:rsidRPr="00C63860">
              <w:rPr>
                <w:rFonts w:cstheme="minorHAnsi"/>
              </w:rPr>
              <w:t xml:space="preserve"> </w:t>
            </w:r>
          </w:p>
        </w:tc>
      </w:tr>
      <w:tr w:rsidR="009B6230" w:rsidRPr="00C63860" w14:paraId="629C95CD" w14:textId="77777777" w:rsidTr="00C63860">
        <w:trPr>
          <w:cantSplit/>
        </w:trPr>
        <w:tc>
          <w:tcPr>
            <w:tcW w:w="0" w:type="auto"/>
            <w:shd w:val="clear" w:color="auto" w:fill="auto"/>
            <w:noWrap/>
            <w:vAlign w:val="center"/>
            <w:hideMark/>
          </w:tcPr>
          <w:p w14:paraId="4875A502" w14:textId="77777777" w:rsidR="009B6230" w:rsidRPr="00C63860" w:rsidRDefault="009B6230" w:rsidP="009B6230">
            <w:pPr>
              <w:rPr>
                <w:rFonts w:cstheme="minorHAnsi"/>
                <w:color w:val="000000"/>
              </w:rPr>
            </w:pPr>
            <w:r w:rsidRPr="00C63860">
              <w:rPr>
                <w:rFonts w:cstheme="minorHAnsi"/>
              </w:rPr>
              <w:t>DAOH within 90 days (mean)</w:t>
            </w:r>
          </w:p>
        </w:tc>
        <w:tc>
          <w:tcPr>
            <w:tcW w:w="0" w:type="auto"/>
            <w:shd w:val="clear" w:color="auto" w:fill="auto"/>
            <w:noWrap/>
            <w:vAlign w:val="center"/>
            <w:hideMark/>
          </w:tcPr>
          <w:p w14:paraId="6448164A" w14:textId="77777777" w:rsidR="009B6230" w:rsidRPr="00C63860" w:rsidRDefault="009B6230" w:rsidP="009B6230">
            <w:pPr>
              <w:ind w:right="458"/>
              <w:jc w:val="right"/>
              <w:rPr>
                <w:rFonts w:cstheme="minorHAnsi"/>
                <w:color w:val="000000"/>
              </w:rPr>
            </w:pPr>
            <w:r w:rsidRPr="00C63860">
              <w:rPr>
                <w:rFonts w:cstheme="minorHAnsi"/>
              </w:rPr>
              <w:t>66.56</w:t>
            </w:r>
          </w:p>
        </w:tc>
        <w:tc>
          <w:tcPr>
            <w:tcW w:w="0" w:type="auto"/>
            <w:shd w:val="clear" w:color="auto" w:fill="auto"/>
            <w:noWrap/>
            <w:vAlign w:val="center"/>
            <w:hideMark/>
          </w:tcPr>
          <w:p w14:paraId="3C8C098C" w14:textId="77777777" w:rsidR="009B6230" w:rsidRPr="00C63860" w:rsidRDefault="009B6230" w:rsidP="009B6230">
            <w:pPr>
              <w:ind w:right="456"/>
              <w:jc w:val="right"/>
              <w:rPr>
                <w:rFonts w:cstheme="minorHAnsi"/>
                <w:color w:val="000000"/>
              </w:rPr>
            </w:pPr>
            <w:r w:rsidRPr="00C63860">
              <w:rPr>
                <w:rFonts w:cstheme="minorHAnsi"/>
              </w:rPr>
              <w:t>68.01</w:t>
            </w:r>
          </w:p>
        </w:tc>
        <w:tc>
          <w:tcPr>
            <w:tcW w:w="0" w:type="auto"/>
            <w:shd w:val="clear" w:color="auto" w:fill="auto"/>
            <w:hideMark/>
          </w:tcPr>
          <w:p w14:paraId="63571294" w14:textId="2E94C287" w:rsidR="009B6230" w:rsidRPr="00C63860" w:rsidRDefault="00C63860" w:rsidP="009B6230">
            <w:pPr>
              <w:ind w:right="-109"/>
              <w:jc w:val="right"/>
              <w:rPr>
                <w:rFonts w:cstheme="minorHAnsi"/>
                <w:color w:val="000000"/>
              </w:rPr>
            </w:pPr>
            <w:r w:rsidRPr="00C63860">
              <w:rPr>
                <w:rFonts w:cstheme="minorHAnsi"/>
                <w:color w:val="00B0F0"/>
              </w:rPr>
              <w:t>–1</w:t>
            </w:r>
            <w:r w:rsidR="009B6230" w:rsidRPr="00C63860">
              <w:rPr>
                <w:rFonts w:cstheme="minorHAnsi"/>
              </w:rPr>
              <w:t>.46</w:t>
            </w:r>
          </w:p>
        </w:tc>
        <w:tc>
          <w:tcPr>
            <w:tcW w:w="0" w:type="auto"/>
            <w:shd w:val="clear" w:color="auto" w:fill="auto"/>
            <w:noWrap/>
            <w:vAlign w:val="center"/>
            <w:hideMark/>
          </w:tcPr>
          <w:p w14:paraId="1E70A5FD" w14:textId="5B45FE6C" w:rsidR="009B6230" w:rsidRPr="00C63860" w:rsidRDefault="009B6230" w:rsidP="009B6230">
            <w:pPr>
              <w:ind w:right="741"/>
              <w:jc w:val="right"/>
              <w:rPr>
                <w:rFonts w:cstheme="minorHAnsi"/>
              </w:rPr>
            </w:pPr>
            <w:r w:rsidRPr="00C63860">
              <w:rPr>
                <w:rFonts w:cstheme="minorHAnsi"/>
              </w:rPr>
              <w:t xml:space="preserve"> (</w:t>
            </w:r>
            <w:r w:rsidR="00C63860" w:rsidRPr="00C63860">
              <w:rPr>
                <w:rFonts w:cstheme="minorHAnsi"/>
                <w:color w:val="00B0F0"/>
              </w:rPr>
              <w:t>–2</w:t>
            </w:r>
            <w:r w:rsidRPr="00C63860">
              <w:rPr>
                <w:rFonts w:cstheme="minorHAnsi"/>
              </w:rPr>
              <w:t>.0</w:t>
            </w:r>
            <w:r w:rsidR="00C63860" w:rsidRPr="00C63860">
              <w:rPr>
                <w:rFonts w:cstheme="minorHAnsi"/>
                <w:color w:val="00B0F0"/>
              </w:rPr>
              <w:t>0, -0</w:t>
            </w:r>
            <w:r w:rsidRPr="00C63860">
              <w:rPr>
                <w:rFonts w:cstheme="minorHAnsi"/>
              </w:rPr>
              <w:t>.91)</w:t>
            </w:r>
          </w:p>
        </w:tc>
      </w:tr>
      <w:tr w:rsidR="009B6230" w:rsidRPr="00C63860" w14:paraId="7742AF47" w14:textId="77777777" w:rsidTr="00C63860">
        <w:trPr>
          <w:cantSplit/>
        </w:trPr>
        <w:tc>
          <w:tcPr>
            <w:tcW w:w="0" w:type="auto"/>
            <w:shd w:val="clear" w:color="auto" w:fill="auto"/>
            <w:noWrap/>
            <w:vAlign w:val="center"/>
            <w:hideMark/>
          </w:tcPr>
          <w:p w14:paraId="2C2BD0D6" w14:textId="77777777" w:rsidR="009B6230" w:rsidRPr="00C63860" w:rsidRDefault="009B6230" w:rsidP="009B6230">
            <w:pPr>
              <w:rPr>
                <w:rFonts w:cstheme="minorHAnsi"/>
                <w:color w:val="000000"/>
              </w:rPr>
            </w:pPr>
            <w:r w:rsidRPr="00C63860">
              <w:rPr>
                <w:rFonts w:cstheme="minorHAnsi"/>
              </w:rPr>
              <w:t>Mortality within 90 days (%)</w:t>
            </w:r>
          </w:p>
        </w:tc>
        <w:tc>
          <w:tcPr>
            <w:tcW w:w="0" w:type="auto"/>
            <w:shd w:val="clear" w:color="auto" w:fill="auto"/>
            <w:noWrap/>
            <w:vAlign w:val="center"/>
            <w:hideMark/>
          </w:tcPr>
          <w:p w14:paraId="27F762C8" w14:textId="77777777" w:rsidR="009B6230" w:rsidRPr="00C63860" w:rsidRDefault="009B6230" w:rsidP="009B6230">
            <w:pPr>
              <w:ind w:right="458"/>
              <w:jc w:val="right"/>
              <w:rPr>
                <w:rFonts w:cstheme="minorHAnsi"/>
                <w:color w:val="000000"/>
              </w:rPr>
            </w:pPr>
            <w:r w:rsidRPr="00C63860">
              <w:rPr>
                <w:rFonts w:cstheme="minorHAnsi"/>
              </w:rPr>
              <w:t>7.59</w:t>
            </w:r>
          </w:p>
        </w:tc>
        <w:tc>
          <w:tcPr>
            <w:tcW w:w="0" w:type="auto"/>
            <w:shd w:val="clear" w:color="auto" w:fill="auto"/>
            <w:noWrap/>
            <w:vAlign w:val="center"/>
            <w:hideMark/>
          </w:tcPr>
          <w:p w14:paraId="58955F9B" w14:textId="77777777" w:rsidR="009B6230" w:rsidRPr="00C63860" w:rsidRDefault="009B6230" w:rsidP="009B6230">
            <w:pPr>
              <w:ind w:right="456"/>
              <w:jc w:val="right"/>
              <w:rPr>
                <w:rFonts w:cstheme="minorHAnsi"/>
                <w:color w:val="000000"/>
              </w:rPr>
            </w:pPr>
            <w:r w:rsidRPr="00C63860">
              <w:rPr>
                <w:rFonts w:cstheme="minorHAnsi"/>
              </w:rPr>
              <w:t>13.37</w:t>
            </w:r>
          </w:p>
        </w:tc>
        <w:tc>
          <w:tcPr>
            <w:tcW w:w="0" w:type="auto"/>
            <w:shd w:val="clear" w:color="auto" w:fill="auto"/>
            <w:hideMark/>
          </w:tcPr>
          <w:p w14:paraId="7581AC0D" w14:textId="041FB40A" w:rsidR="009B6230" w:rsidRPr="00C63860" w:rsidRDefault="00C63860" w:rsidP="009B6230">
            <w:pPr>
              <w:ind w:right="-109"/>
              <w:jc w:val="right"/>
              <w:rPr>
                <w:rFonts w:cstheme="minorHAnsi"/>
                <w:color w:val="000000"/>
              </w:rPr>
            </w:pPr>
            <w:r w:rsidRPr="00C63860">
              <w:rPr>
                <w:rFonts w:cstheme="minorHAnsi"/>
                <w:color w:val="00B0F0"/>
              </w:rPr>
              <w:t>–5</w:t>
            </w:r>
            <w:r w:rsidR="009B6230" w:rsidRPr="00C63860">
              <w:rPr>
                <w:rFonts w:cstheme="minorHAnsi"/>
              </w:rPr>
              <w:t>.78</w:t>
            </w:r>
          </w:p>
        </w:tc>
        <w:tc>
          <w:tcPr>
            <w:tcW w:w="0" w:type="auto"/>
            <w:shd w:val="clear" w:color="auto" w:fill="auto"/>
            <w:noWrap/>
            <w:vAlign w:val="center"/>
            <w:hideMark/>
          </w:tcPr>
          <w:p w14:paraId="0AB25A66" w14:textId="505945EF" w:rsidR="009B6230" w:rsidRPr="00C63860" w:rsidRDefault="009B6230" w:rsidP="009B6230">
            <w:pPr>
              <w:ind w:right="741"/>
              <w:jc w:val="right"/>
              <w:rPr>
                <w:rFonts w:cstheme="minorHAnsi"/>
              </w:rPr>
            </w:pPr>
            <w:r w:rsidRPr="00C63860">
              <w:rPr>
                <w:rFonts w:cstheme="minorHAnsi"/>
              </w:rPr>
              <w:t xml:space="preserve"> (</w:t>
            </w:r>
            <w:r w:rsidR="00C63860" w:rsidRPr="00C63860">
              <w:rPr>
                <w:rFonts w:cstheme="minorHAnsi"/>
                <w:color w:val="00B0F0"/>
              </w:rPr>
              <w:t>–6</w:t>
            </w:r>
            <w:r w:rsidRPr="00C63860">
              <w:rPr>
                <w:rFonts w:cstheme="minorHAnsi"/>
              </w:rPr>
              <w:t>.3</w:t>
            </w:r>
            <w:r w:rsidR="00C63860" w:rsidRPr="00C63860">
              <w:rPr>
                <w:rFonts w:cstheme="minorHAnsi"/>
                <w:color w:val="00B0F0"/>
              </w:rPr>
              <w:t>3, -5</w:t>
            </w:r>
            <w:r w:rsidRPr="00C63860">
              <w:rPr>
                <w:rFonts w:cstheme="minorHAnsi"/>
              </w:rPr>
              <w:t>.22)</w:t>
            </w:r>
          </w:p>
        </w:tc>
      </w:tr>
      <w:tr w:rsidR="009B6230" w:rsidRPr="00C63860" w14:paraId="5A9C1512" w14:textId="77777777" w:rsidTr="00C63860">
        <w:trPr>
          <w:cantSplit/>
        </w:trPr>
        <w:tc>
          <w:tcPr>
            <w:tcW w:w="0" w:type="auto"/>
            <w:shd w:val="clear" w:color="auto" w:fill="auto"/>
            <w:noWrap/>
            <w:vAlign w:val="center"/>
            <w:hideMark/>
          </w:tcPr>
          <w:p w14:paraId="544B27C9" w14:textId="77777777" w:rsidR="009B6230" w:rsidRPr="00C63860" w:rsidRDefault="009B6230" w:rsidP="009B6230">
            <w:pPr>
              <w:rPr>
                <w:rFonts w:cstheme="minorHAnsi"/>
                <w:color w:val="000000"/>
              </w:rPr>
            </w:pPr>
            <w:r w:rsidRPr="00C63860">
              <w:rPr>
                <w:rFonts w:cstheme="minorHAnsi"/>
              </w:rPr>
              <w:t>LOS within 90 days (mean)</w:t>
            </w:r>
          </w:p>
        </w:tc>
        <w:tc>
          <w:tcPr>
            <w:tcW w:w="0" w:type="auto"/>
            <w:shd w:val="clear" w:color="auto" w:fill="auto"/>
            <w:noWrap/>
            <w:vAlign w:val="center"/>
            <w:hideMark/>
          </w:tcPr>
          <w:p w14:paraId="6242208F" w14:textId="77777777" w:rsidR="009B6230" w:rsidRPr="00C63860" w:rsidRDefault="009B6230" w:rsidP="009B6230">
            <w:pPr>
              <w:ind w:right="458"/>
              <w:jc w:val="right"/>
              <w:rPr>
                <w:rFonts w:cstheme="minorHAnsi"/>
                <w:color w:val="000000"/>
              </w:rPr>
            </w:pPr>
            <w:r w:rsidRPr="00C63860">
              <w:rPr>
                <w:rFonts w:cstheme="minorHAnsi"/>
              </w:rPr>
              <w:t>18.13</w:t>
            </w:r>
          </w:p>
        </w:tc>
        <w:tc>
          <w:tcPr>
            <w:tcW w:w="0" w:type="auto"/>
            <w:shd w:val="clear" w:color="auto" w:fill="auto"/>
            <w:noWrap/>
            <w:vAlign w:val="center"/>
            <w:hideMark/>
          </w:tcPr>
          <w:p w14:paraId="1DE80649" w14:textId="77777777" w:rsidR="009B6230" w:rsidRPr="00C63860" w:rsidRDefault="009B6230" w:rsidP="009B6230">
            <w:pPr>
              <w:ind w:right="456"/>
              <w:jc w:val="right"/>
              <w:rPr>
                <w:rFonts w:cstheme="minorHAnsi"/>
                <w:color w:val="000000"/>
              </w:rPr>
            </w:pPr>
            <w:r w:rsidRPr="00C63860">
              <w:rPr>
                <w:rFonts w:cstheme="minorHAnsi"/>
              </w:rPr>
              <w:t>11.80</w:t>
            </w:r>
          </w:p>
        </w:tc>
        <w:tc>
          <w:tcPr>
            <w:tcW w:w="0" w:type="auto"/>
            <w:shd w:val="clear" w:color="auto" w:fill="auto"/>
            <w:hideMark/>
          </w:tcPr>
          <w:p w14:paraId="6945ED6B" w14:textId="77777777" w:rsidR="009B6230" w:rsidRPr="00C63860" w:rsidRDefault="009B6230" w:rsidP="009B6230">
            <w:pPr>
              <w:ind w:right="-109"/>
              <w:jc w:val="right"/>
              <w:rPr>
                <w:rFonts w:cstheme="minorHAnsi"/>
                <w:color w:val="000000"/>
              </w:rPr>
            </w:pPr>
            <w:r w:rsidRPr="00C63860">
              <w:rPr>
                <w:rFonts w:cstheme="minorHAnsi"/>
              </w:rPr>
              <w:t>6.33</w:t>
            </w:r>
          </w:p>
        </w:tc>
        <w:tc>
          <w:tcPr>
            <w:tcW w:w="0" w:type="auto"/>
            <w:shd w:val="clear" w:color="auto" w:fill="auto"/>
            <w:noWrap/>
            <w:vAlign w:val="center"/>
            <w:hideMark/>
          </w:tcPr>
          <w:p w14:paraId="3AB205FA" w14:textId="77777777" w:rsidR="009B6230" w:rsidRPr="00C63860" w:rsidRDefault="009B6230" w:rsidP="009B6230">
            <w:pPr>
              <w:ind w:right="741"/>
              <w:jc w:val="right"/>
              <w:rPr>
                <w:rFonts w:cstheme="minorHAnsi"/>
              </w:rPr>
            </w:pPr>
            <w:r w:rsidRPr="00C63860">
              <w:rPr>
                <w:rFonts w:cstheme="minorHAnsi"/>
              </w:rPr>
              <w:t xml:space="preserve"> (6.07, 6.58)</w:t>
            </w:r>
          </w:p>
        </w:tc>
      </w:tr>
      <w:tr w:rsidR="009B6230" w:rsidRPr="00C63860" w14:paraId="439A87F3" w14:textId="77777777" w:rsidTr="00C63860">
        <w:trPr>
          <w:cantSplit/>
        </w:trPr>
        <w:tc>
          <w:tcPr>
            <w:tcW w:w="0" w:type="auto"/>
            <w:shd w:val="clear" w:color="auto" w:fill="auto"/>
            <w:noWrap/>
            <w:vAlign w:val="center"/>
            <w:hideMark/>
          </w:tcPr>
          <w:p w14:paraId="30E137CB" w14:textId="77777777" w:rsidR="009B6230" w:rsidRPr="00C63860" w:rsidRDefault="009B6230" w:rsidP="009B6230">
            <w:pPr>
              <w:rPr>
                <w:rFonts w:cstheme="minorHAnsi"/>
                <w:color w:val="000000"/>
              </w:rPr>
            </w:pPr>
            <w:r w:rsidRPr="00C63860">
              <w:rPr>
                <w:rFonts w:cstheme="minorHAnsi"/>
              </w:rPr>
              <w:t>Emergency Readmissions within 30 days (%)</w:t>
            </w:r>
          </w:p>
        </w:tc>
        <w:tc>
          <w:tcPr>
            <w:tcW w:w="0" w:type="auto"/>
            <w:shd w:val="clear" w:color="auto" w:fill="auto"/>
            <w:noWrap/>
            <w:vAlign w:val="center"/>
            <w:hideMark/>
          </w:tcPr>
          <w:p w14:paraId="4B2641EF" w14:textId="77777777" w:rsidR="009B6230" w:rsidRPr="00C63860" w:rsidRDefault="009B6230" w:rsidP="009B6230">
            <w:pPr>
              <w:ind w:right="458"/>
              <w:jc w:val="right"/>
              <w:rPr>
                <w:rFonts w:cstheme="minorHAnsi"/>
                <w:color w:val="000000"/>
              </w:rPr>
            </w:pPr>
            <w:r w:rsidRPr="00C63860">
              <w:rPr>
                <w:rFonts w:cstheme="minorHAnsi"/>
              </w:rPr>
              <w:t>9.50</w:t>
            </w:r>
          </w:p>
        </w:tc>
        <w:tc>
          <w:tcPr>
            <w:tcW w:w="0" w:type="auto"/>
            <w:shd w:val="clear" w:color="auto" w:fill="auto"/>
            <w:noWrap/>
            <w:vAlign w:val="center"/>
            <w:hideMark/>
          </w:tcPr>
          <w:p w14:paraId="15BC49D7" w14:textId="77777777" w:rsidR="009B6230" w:rsidRPr="00C63860" w:rsidRDefault="009B6230" w:rsidP="009B6230">
            <w:pPr>
              <w:ind w:right="456"/>
              <w:jc w:val="right"/>
              <w:rPr>
                <w:rFonts w:cstheme="minorHAnsi"/>
                <w:color w:val="000000"/>
              </w:rPr>
            </w:pPr>
            <w:r w:rsidRPr="00C63860">
              <w:rPr>
                <w:rFonts w:cstheme="minorHAnsi"/>
              </w:rPr>
              <w:t>14.72</w:t>
            </w:r>
          </w:p>
        </w:tc>
        <w:tc>
          <w:tcPr>
            <w:tcW w:w="0" w:type="auto"/>
            <w:shd w:val="clear" w:color="auto" w:fill="auto"/>
            <w:hideMark/>
          </w:tcPr>
          <w:p w14:paraId="736972AD" w14:textId="2FAF1245" w:rsidR="009B6230" w:rsidRPr="00C63860" w:rsidRDefault="00C63860" w:rsidP="009B6230">
            <w:pPr>
              <w:ind w:right="-109"/>
              <w:jc w:val="right"/>
              <w:rPr>
                <w:rFonts w:cstheme="minorHAnsi"/>
                <w:color w:val="000000"/>
              </w:rPr>
            </w:pPr>
            <w:r w:rsidRPr="00C63860">
              <w:rPr>
                <w:rFonts w:cstheme="minorHAnsi"/>
                <w:color w:val="00B0F0"/>
              </w:rPr>
              <w:t>–5</w:t>
            </w:r>
            <w:r w:rsidR="009B6230" w:rsidRPr="00C63860">
              <w:rPr>
                <w:rFonts w:cstheme="minorHAnsi"/>
              </w:rPr>
              <w:t>.22</w:t>
            </w:r>
          </w:p>
        </w:tc>
        <w:tc>
          <w:tcPr>
            <w:tcW w:w="0" w:type="auto"/>
            <w:shd w:val="clear" w:color="auto" w:fill="auto"/>
            <w:noWrap/>
            <w:vAlign w:val="center"/>
            <w:hideMark/>
          </w:tcPr>
          <w:p w14:paraId="2F61522E" w14:textId="69FC5A6A" w:rsidR="009B6230" w:rsidRPr="00C63860" w:rsidRDefault="009B6230" w:rsidP="009B6230">
            <w:pPr>
              <w:ind w:right="741"/>
              <w:jc w:val="right"/>
              <w:rPr>
                <w:rFonts w:cstheme="minorHAnsi"/>
              </w:rPr>
            </w:pPr>
            <w:r w:rsidRPr="00C63860">
              <w:rPr>
                <w:rFonts w:cstheme="minorHAnsi"/>
              </w:rPr>
              <w:t xml:space="preserve"> (</w:t>
            </w:r>
            <w:r w:rsidR="00C63860" w:rsidRPr="00C63860">
              <w:rPr>
                <w:rFonts w:cstheme="minorHAnsi"/>
                <w:color w:val="00B0F0"/>
              </w:rPr>
              <w:t>–5</w:t>
            </w:r>
            <w:r w:rsidRPr="00C63860">
              <w:rPr>
                <w:rFonts w:cstheme="minorHAnsi"/>
              </w:rPr>
              <w:t>.6</w:t>
            </w:r>
            <w:r w:rsidR="00C63860" w:rsidRPr="00C63860">
              <w:rPr>
                <w:rFonts w:cstheme="minorHAnsi"/>
                <w:color w:val="00B0F0"/>
              </w:rPr>
              <w:t>1, -4</w:t>
            </w:r>
            <w:r w:rsidRPr="00C63860">
              <w:rPr>
                <w:rFonts w:cstheme="minorHAnsi"/>
              </w:rPr>
              <w:t>.82)</w:t>
            </w:r>
          </w:p>
        </w:tc>
      </w:tr>
    </w:tbl>
    <w:p w14:paraId="49E80389" w14:textId="77777777" w:rsidR="00C63860" w:rsidRPr="00C63860" w:rsidRDefault="00C63860"/>
    <w:p w14:paraId="787C1C45" w14:textId="77777777" w:rsidR="00C63860" w:rsidRPr="00C63860" w:rsidRDefault="009B6230" w:rsidP="00F23137">
      <w:pPr>
        <w:spacing w:line="276" w:lineRule="auto"/>
        <w:rPr>
          <w:b/>
          <w:bCs/>
        </w:rPr>
      </w:pPr>
      <w:r w:rsidRPr="00C63860">
        <w:rPr>
          <w:b/>
          <w:bCs/>
        </w:rPr>
        <w:t>3.3.</w:t>
      </w:r>
      <w:r w:rsidR="007C747D" w:rsidRPr="00C63860">
        <w:rPr>
          <w:b/>
          <w:bCs/>
        </w:rPr>
        <w:t>4</w:t>
      </w:r>
      <w:r w:rsidRPr="00C63860">
        <w:rPr>
          <w:b/>
          <w:bCs/>
        </w:rPr>
        <w:t xml:space="preserve"> Overall effectiveness of ES versus NES</w:t>
      </w:r>
    </w:p>
    <w:p w14:paraId="087715C9" w14:textId="6594FCBE" w:rsidR="00C63860" w:rsidRPr="00C63860" w:rsidRDefault="00C63860" w:rsidP="00F23137">
      <w:pPr>
        <w:spacing w:line="276" w:lineRule="auto"/>
      </w:pPr>
      <w:r w:rsidRPr="00C63860">
        <w:rPr>
          <w:i/>
          <w:color w:val="FF0000"/>
        </w:rPr>
        <w:t>Table 9</w:t>
      </w:r>
      <w:r w:rsidR="009B6230" w:rsidRPr="00C63860">
        <w:t xml:space="preserve"> presents the results from the</w:t>
      </w:r>
      <w:r w:rsidR="00AD7676" w:rsidRPr="00C63860">
        <w:t xml:space="preserve"> IV</w:t>
      </w:r>
      <w:r w:rsidR="009B6230" w:rsidRPr="00C63860">
        <w:t xml:space="preserve"> analysis</w:t>
      </w:r>
      <w:r w:rsidR="009C5AFE" w:rsidRPr="00C63860">
        <w:t xml:space="preserve"> which adjusts for confounding</w:t>
      </w:r>
      <w:r w:rsidR="009B6230" w:rsidRPr="00C63860">
        <w:t>. There were small overall mean differences in DAOH at 90 days between the ES versus NES strategy groups</w:t>
      </w:r>
      <w:r w:rsidR="009B6230" w:rsidRPr="00C63860" w:rsidDel="004B0090">
        <w:t>:</w:t>
      </w:r>
      <w:r w:rsidR="009B6230" w:rsidRPr="00C63860">
        <w:t xml:space="preserve"> appendicitis </w:t>
      </w:r>
      <w:r w:rsidRPr="00C63860">
        <w:rPr>
          <w:color w:val="00B0F0"/>
        </w:rPr>
        <w:t>–0</w:t>
      </w:r>
      <w:r w:rsidR="009B6230" w:rsidRPr="00C63860">
        <w:t xml:space="preserve">.73 (95% </w:t>
      </w:r>
      <w:r w:rsidR="00392D93" w:rsidRPr="00C63860">
        <w:t>CI</w:t>
      </w:r>
      <w:r w:rsidR="009B6230" w:rsidRPr="00C63860">
        <w:t xml:space="preserve"> </w:t>
      </w:r>
      <w:r w:rsidRPr="00C63860">
        <w:rPr>
          <w:color w:val="00B0F0"/>
        </w:rPr>
        <w:t>–2</w:t>
      </w:r>
      <w:r w:rsidR="009B6230" w:rsidRPr="00C63860">
        <w:t>.10 to 0.64), cholelithiasis 0.60 (</w:t>
      </w:r>
      <w:r w:rsidRPr="00C63860">
        <w:rPr>
          <w:color w:val="00B0F0"/>
        </w:rPr>
        <w:t>–0</w:t>
      </w:r>
      <w:r w:rsidR="009B6230" w:rsidRPr="00C63860">
        <w:t xml:space="preserve">.10 to 1.30), diverticular disease </w:t>
      </w:r>
      <w:r w:rsidRPr="00C63860">
        <w:rPr>
          <w:color w:val="00B0F0"/>
        </w:rPr>
        <w:t>–2</w:t>
      </w:r>
      <w:r w:rsidR="009B6230" w:rsidRPr="00C63860">
        <w:t>.66 (</w:t>
      </w:r>
      <w:r w:rsidRPr="00C63860">
        <w:rPr>
          <w:color w:val="00B0F0"/>
        </w:rPr>
        <w:t>–1</w:t>
      </w:r>
      <w:r w:rsidR="009B6230" w:rsidRPr="00C63860">
        <w:t xml:space="preserve">5.7 to 10.4), hernia </w:t>
      </w:r>
      <w:r w:rsidRPr="00C63860">
        <w:rPr>
          <w:color w:val="00B0F0"/>
        </w:rPr>
        <w:t>–0</w:t>
      </w:r>
      <w:r w:rsidR="009B6230" w:rsidRPr="00C63860">
        <w:t>.07 (</w:t>
      </w:r>
      <w:r w:rsidRPr="00C63860">
        <w:rPr>
          <w:color w:val="00B0F0"/>
        </w:rPr>
        <w:t>–2</w:t>
      </w:r>
      <w:r w:rsidR="009B6230" w:rsidRPr="00C63860">
        <w:t>.40 to 2.25), and intestinal obstruction 3.32 (</w:t>
      </w:r>
      <w:r w:rsidRPr="00C63860">
        <w:rPr>
          <w:color w:val="00B0F0"/>
        </w:rPr>
        <w:t>–3</w:t>
      </w:r>
      <w:r w:rsidR="009B6230" w:rsidRPr="00C63860">
        <w:t>.13 to 9.76).</w:t>
      </w:r>
    </w:p>
    <w:p w14:paraId="0E39D390" w14:textId="728FCA48" w:rsidR="00C63860" w:rsidRPr="00C63860" w:rsidRDefault="009B6230" w:rsidP="00F23137">
      <w:pPr>
        <w:spacing w:line="276" w:lineRule="auto"/>
      </w:pPr>
      <w:r w:rsidRPr="00C63860">
        <w:t xml:space="preserve">The </w:t>
      </w:r>
      <w:r w:rsidR="00AD7676" w:rsidRPr="00C63860">
        <w:t>IV</w:t>
      </w:r>
      <w:r w:rsidRPr="00C63860">
        <w:t xml:space="preserve"> analysis also found that, for four of the conditions, the effect of ES versus NES strategies on 90-day mortality was small and not statistically significant. For patients with abdominal wall hernia, the absolute risk of death with ES strategies was lower by 4.99 (95% CI </w:t>
      </w:r>
      <w:r w:rsidR="00C63860" w:rsidRPr="00C63860">
        <w:rPr>
          <w:color w:val="00B0F0"/>
        </w:rPr>
        <w:t>–9</w:t>
      </w:r>
      <w:r w:rsidRPr="00C63860">
        <w:t xml:space="preserve">.92 to </w:t>
      </w:r>
      <w:r w:rsidR="00C63860" w:rsidRPr="00C63860">
        <w:rPr>
          <w:color w:val="00B0F0"/>
        </w:rPr>
        <w:t>–0</w:t>
      </w:r>
      <w:r w:rsidRPr="00C63860">
        <w:t xml:space="preserve">.07) percentage points compared with NES strategies. Statistically significant differences in mean LOS were found for abdominal wall hernia (longer by 2.35 days with ES) and intestinal obstruction (shorter by 4.25 days with ES). The ES strategies led to reductions in the proportion of emergency readmissions before 30 days, </w:t>
      </w:r>
      <w:r w:rsidRPr="00C63860">
        <w:rPr>
          <w:highlight w:val="magenta"/>
        </w:rPr>
        <w:t>compared to</w:t>
      </w:r>
      <w:r w:rsidRPr="00C63860">
        <w:t xml:space="preserve"> the NES strategies for all the conditions apart from acute appendicitis.</w:t>
      </w:r>
    </w:p>
    <w:p w14:paraId="5B1F82EF" w14:textId="1625BC41" w:rsidR="00E13E3C" w:rsidRPr="00C63860" w:rsidRDefault="00C63860" w:rsidP="00E13E3C">
      <w:pPr>
        <w:pStyle w:val="Caption"/>
        <w:rPr>
          <w:rFonts w:eastAsia="Calibri"/>
          <w:b/>
          <w:bCs/>
          <w:color w:val="auto"/>
          <w:sz w:val="22"/>
          <w:szCs w:val="22"/>
        </w:rPr>
      </w:pPr>
      <w:bookmarkStart w:id="53" w:name="_Toc86670781"/>
      <w:r w:rsidRPr="00C63860">
        <w:rPr>
          <w:b/>
          <w:bCs/>
          <w:color w:val="FF0000"/>
          <w:sz w:val="22"/>
          <w:szCs w:val="22"/>
        </w:rPr>
        <w:t xml:space="preserve">Table </w:t>
      </w:r>
      <w:r w:rsidRPr="00C63860">
        <w:rPr>
          <w:b/>
          <w:bCs/>
          <w:noProof/>
          <w:color w:val="FF0000"/>
          <w:sz w:val="22"/>
          <w:szCs w:val="22"/>
        </w:rPr>
        <w:t>9</w:t>
      </w:r>
      <w:r w:rsidR="00E13E3C" w:rsidRPr="00C63860">
        <w:rPr>
          <w:b/>
          <w:bCs/>
          <w:color w:val="auto"/>
          <w:sz w:val="22"/>
          <w:szCs w:val="22"/>
        </w:rPr>
        <w:t>: Effects of emergency surgery (ES) versus non-emergency surgery (NES) strategies on days alive and out of hospital (DAOH), all-cause mortality, length of stay (LOS) and emergency readmissions from Instrumental Variable analysis</w:t>
      </w:r>
      <w:bookmarkEnd w:id="53"/>
    </w:p>
    <w:tbl>
      <w:tblPr>
        <w:tblW w:w="0" w:type="auto"/>
        <w:tblCellMar>
          <w:top w:w="40" w:type="dxa"/>
          <w:left w:w="60" w:type="dxa"/>
          <w:bottom w:w="40" w:type="dxa"/>
          <w:right w:w="60" w:type="dxa"/>
        </w:tblCellMar>
        <w:tblLook w:val="04A0" w:firstRow="1" w:lastRow="0" w:firstColumn="1" w:lastColumn="0" w:noHBand="0" w:noVBand="1"/>
      </w:tblPr>
      <w:tblGrid>
        <w:gridCol w:w="3770"/>
        <w:gridCol w:w="1514"/>
        <w:gridCol w:w="1676"/>
        <w:gridCol w:w="981"/>
      </w:tblGrid>
      <w:tr w:rsidR="009B6230" w:rsidRPr="00C63860" w14:paraId="61AD6AAD" w14:textId="77777777" w:rsidTr="00C63860">
        <w:trPr>
          <w:cantSplit/>
        </w:trPr>
        <w:tc>
          <w:tcPr>
            <w:tcW w:w="0" w:type="auto"/>
            <w:shd w:val="clear" w:color="auto" w:fill="auto"/>
            <w:noWrap/>
            <w:vAlign w:val="center"/>
          </w:tcPr>
          <w:p w14:paraId="34269E87" w14:textId="77777777" w:rsidR="009B6230" w:rsidRPr="00C63860" w:rsidRDefault="009B6230" w:rsidP="009B6230">
            <w:pPr>
              <w:rPr>
                <w:rFonts w:asciiTheme="minorHAnsi" w:hAnsiTheme="minorHAnsi" w:cstheme="minorHAnsi"/>
                <w:b/>
                <w:bCs/>
                <w:color w:val="000000"/>
              </w:rPr>
            </w:pPr>
          </w:p>
        </w:tc>
        <w:tc>
          <w:tcPr>
            <w:tcW w:w="0" w:type="auto"/>
            <w:shd w:val="clear" w:color="auto" w:fill="auto"/>
            <w:noWrap/>
            <w:vAlign w:val="center"/>
            <w:hideMark/>
          </w:tcPr>
          <w:p w14:paraId="489C6C59" w14:textId="77777777" w:rsidR="009B6230" w:rsidRPr="00C63860" w:rsidRDefault="009B6230" w:rsidP="009B6230">
            <w:pPr>
              <w:jc w:val="right"/>
              <w:rPr>
                <w:rFonts w:cstheme="minorHAnsi"/>
                <w:b/>
                <w:bCs/>
              </w:rPr>
            </w:pPr>
            <w:r w:rsidRPr="00C63860">
              <w:rPr>
                <w:rFonts w:cstheme="minorHAnsi"/>
                <w:b/>
                <w:bCs/>
              </w:rPr>
              <w:t>Mean difference</w:t>
            </w:r>
          </w:p>
        </w:tc>
        <w:tc>
          <w:tcPr>
            <w:tcW w:w="0" w:type="auto"/>
            <w:shd w:val="clear" w:color="auto" w:fill="auto"/>
            <w:noWrap/>
            <w:vAlign w:val="center"/>
            <w:hideMark/>
          </w:tcPr>
          <w:p w14:paraId="33F55ADD" w14:textId="77777777" w:rsidR="009B6230" w:rsidRPr="00C63860" w:rsidRDefault="009B6230" w:rsidP="009B6230">
            <w:pPr>
              <w:ind w:right="314"/>
              <w:jc w:val="center"/>
              <w:rPr>
                <w:rFonts w:cstheme="minorHAnsi"/>
                <w:b/>
                <w:bCs/>
              </w:rPr>
            </w:pPr>
            <w:r w:rsidRPr="00C63860">
              <w:rPr>
                <w:rFonts w:cstheme="minorHAnsi"/>
                <w:b/>
                <w:bCs/>
              </w:rPr>
              <w:t>95% CI</w:t>
            </w:r>
          </w:p>
        </w:tc>
        <w:tc>
          <w:tcPr>
            <w:tcW w:w="0" w:type="auto"/>
            <w:shd w:val="clear" w:color="auto" w:fill="auto"/>
            <w:hideMark/>
          </w:tcPr>
          <w:p w14:paraId="66ABA387" w14:textId="77777777" w:rsidR="009B6230" w:rsidRPr="00C63860" w:rsidRDefault="009B6230" w:rsidP="009B6230">
            <w:pPr>
              <w:rPr>
                <w:rFonts w:cstheme="minorHAnsi"/>
                <w:b/>
                <w:bCs/>
              </w:rPr>
            </w:pPr>
            <w:r w:rsidRPr="00C63860">
              <w:rPr>
                <w:rFonts w:cstheme="minorHAnsi"/>
                <w:b/>
                <w:bCs/>
              </w:rPr>
              <w:t>P value</w:t>
            </w:r>
          </w:p>
        </w:tc>
      </w:tr>
      <w:tr w:rsidR="009B6230" w:rsidRPr="00C63860" w14:paraId="404E97C7" w14:textId="77777777" w:rsidTr="00C63860">
        <w:trPr>
          <w:cantSplit/>
        </w:trPr>
        <w:tc>
          <w:tcPr>
            <w:tcW w:w="0" w:type="auto"/>
            <w:shd w:val="clear" w:color="auto" w:fill="auto"/>
            <w:noWrap/>
            <w:vAlign w:val="center"/>
            <w:hideMark/>
          </w:tcPr>
          <w:p w14:paraId="54E2599F" w14:textId="77777777" w:rsidR="009B6230" w:rsidRPr="00C63860" w:rsidRDefault="009B6230" w:rsidP="009B6230">
            <w:pPr>
              <w:rPr>
                <w:rFonts w:cstheme="minorHAnsi"/>
                <w:b/>
                <w:bCs/>
                <w:color w:val="000000"/>
              </w:rPr>
            </w:pPr>
            <w:r w:rsidRPr="00C63860">
              <w:rPr>
                <w:rFonts w:cstheme="minorHAnsi"/>
                <w:b/>
                <w:bCs/>
              </w:rPr>
              <w:t>Appendicitis</w:t>
            </w:r>
          </w:p>
        </w:tc>
        <w:tc>
          <w:tcPr>
            <w:tcW w:w="0" w:type="auto"/>
            <w:shd w:val="clear" w:color="auto" w:fill="auto"/>
            <w:noWrap/>
            <w:vAlign w:val="center"/>
            <w:hideMark/>
          </w:tcPr>
          <w:p w14:paraId="0A94FC63" w14:textId="77777777" w:rsidR="009B6230" w:rsidRPr="00C63860" w:rsidRDefault="009B6230" w:rsidP="009B6230">
            <w:pPr>
              <w:rPr>
                <w:rFonts w:cstheme="minorHAnsi"/>
                <w:b/>
                <w:bCs/>
              </w:rPr>
            </w:pPr>
          </w:p>
        </w:tc>
        <w:tc>
          <w:tcPr>
            <w:tcW w:w="0" w:type="auto"/>
            <w:shd w:val="clear" w:color="auto" w:fill="auto"/>
            <w:noWrap/>
            <w:vAlign w:val="center"/>
            <w:hideMark/>
          </w:tcPr>
          <w:p w14:paraId="10A30A5B" w14:textId="77777777" w:rsidR="009B6230" w:rsidRPr="00C63860" w:rsidRDefault="009B6230" w:rsidP="009B6230"/>
        </w:tc>
        <w:tc>
          <w:tcPr>
            <w:tcW w:w="0" w:type="auto"/>
            <w:shd w:val="clear" w:color="auto" w:fill="auto"/>
          </w:tcPr>
          <w:p w14:paraId="59D0F4DD" w14:textId="77777777" w:rsidR="009B6230" w:rsidRPr="00C63860" w:rsidRDefault="009B6230" w:rsidP="009B6230">
            <w:pPr>
              <w:rPr>
                <w:rFonts w:cstheme="minorHAnsi"/>
              </w:rPr>
            </w:pPr>
          </w:p>
        </w:tc>
      </w:tr>
      <w:tr w:rsidR="009B6230" w:rsidRPr="00C63860" w14:paraId="776495DF" w14:textId="77777777" w:rsidTr="00C63860">
        <w:trPr>
          <w:cantSplit/>
        </w:trPr>
        <w:tc>
          <w:tcPr>
            <w:tcW w:w="0" w:type="auto"/>
            <w:shd w:val="clear" w:color="auto" w:fill="auto"/>
            <w:noWrap/>
            <w:vAlign w:val="center"/>
            <w:hideMark/>
          </w:tcPr>
          <w:p w14:paraId="222190CD" w14:textId="77777777" w:rsidR="009B6230" w:rsidRPr="00C63860" w:rsidRDefault="009B6230" w:rsidP="009B6230">
            <w:pPr>
              <w:rPr>
                <w:rFonts w:cstheme="minorHAnsi"/>
                <w:color w:val="000000"/>
              </w:rPr>
            </w:pPr>
            <w:r w:rsidRPr="00C63860">
              <w:rPr>
                <w:rFonts w:cstheme="minorHAnsi"/>
              </w:rPr>
              <w:t>DAOH within 90 days (mean)</w:t>
            </w:r>
          </w:p>
        </w:tc>
        <w:tc>
          <w:tcPr>
            <w:tcW w:w="0" w:type="auto"/>
            <w:shd w:val="clear" w:color="auto" w:fill="auto"/>
            <w:noWrap/>
            <w:vAlign w:val="center"/>
            <w:hideMark/>
          </w:tcPr>
          <w:p w14:paraId="7CBCC456" w14:textId="621D9CC4" w:rsidR="009B6230" w:rsidRPr="00C63860" w:rsidRDefault="00C63860" w:rsidP="009B6230">
            <w:pPr>
              <w:jc w:val="right"/>
              <w:rPr>
                <w:rFonts w:cstheme="minorHAnsi"/>
                <w:color w:val="000000"/>
              </w:rPr>
            </w:pPr>
            <w:r w:rsidRPr="00C63860">
              <w:rPr>
                <w:rFonts w:cstheme="minorHAnsi"/>
                <w:color w:val="00B0F0"/>
              </w:rPr>
              <w:t>–0</w:t>
            </w:r>
            <w:r w:rsidR="009B6230" w:rsidRPr="00C63860">
              <w:rPr>
                <w:rFonts w:cstheme="minorHAnsi"/>
              </w:rPr>
              <w:t>.73</w:t>
            </w:r>
          </w:p>
        </w:tc>
        <w:tc>
          <w:tcPr>
            <w:tcW w:w="0" w:type="auto"/>
            <w:shd w:val="clear" w:color="auto" w:fill="auto"/>
            <w:noWrap/>
            <w:vAlign w:val="center"/>
            <w:hideMark/>
          </w:tcPr>
          <w:p w14:paraId="70C51C76" w14:textId="4AA074A1"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–2</w:t>
            </w:r>
            <w:r w:rsidRPr="00C63860">
              <w:rPr>
                <w:rFonts w:cstheme="minorHAnsi"/>
              </w:rPr>
              <w:t>.10, 0.64)</w:t>
            </w:r>
          </w:p>
        </w:tc>
        <w:tc>
          <w:tcPr>
            <w:tcW w:w="0" w:type="auto"/>
            <w:shd w:val="clear" w:color="auto" w:fill="auto"/>
            <w:hideMark/>
          </w:tcPr>
          <w:p w14:paraId="54E1D992" w14:textId="77777777" w:rsidR="009B6230" w:rsidRPr="00C63860" w:rsidRDefault="009B6230" w:rsidP="009B6230">
            <w:pPr>
              <w:ind w:right="248"/>
              <w:jc w:val="right"/>
              <w:rPr>
                <w:rFonts w:cstheme="minorHAnsi"/>
              </w:rPr>
            </w:pPr>
            <w:r w:rsidRPr="00C63860">
              <w:rPr>
                <w:rFonts w:cstheme="minorHAnsi"/>
              </w:rPr>
              <w:t>0.30</w:t>
            </w:r>
          </w:p>
        </w:tc>
      </w:tr>
      <w:tr w:rsidR="009B6230" w:rsidRPr="00C63860" w14:paraId="5199ED3A" w14:textId="77777777" w:rsidTr="00C63860">
        <w:trPr>
          <w:cantSplit/>
        </w:trPr>
        <w:tc>
          <w:tcPr>
            <w:tcW w:w="0" w:type="auto"/>
            <w:shd w:val="clear" w:color="auto" w:fill="auto"/>
            <w:noWrap/>
            <w:vAlign w:val="center"/>
            <w:hideMark/>
          </w:tcPr>
          <w:p w14:paraId="68D67210" w14:textId="77777777" w:rsidR="009B6230" w:rsidRPr="00C63860" w:rsidRDefault="009B6230" w:rsidP="009B6230">
            <w:pPr>
              <w:rPr>
                <w:rFonts w:cstheme="minorHAnsi"/>
                <w:color w:val="000000"/>
              </w:rPr>
            </w:pPr>
            <w:r w:rsidRPr="00C63860">
              <w:rPr>
                <w:rFonts w:cstheme="minorHAnsi"/>
              </w:rPr>
              <w:t>Mortality within 90 days (%)</w:t>
            </w:r>
          </w:p>
        </w:tc>
        <w:tc>
          <w:tcPr>
            <w:tcW w:w="0" w:type="auto"/>
            <w:shd w:val="clear" w:color="auto" w:fill="auto"/>
            <w:noWrap/>
            <w:vAlign w:val="center"/>
            <w:hideMark/>
          </w:tcPr>
          <w:p w14:paraId="05E2B8F1" w14:textId="77777777" w:rsidR="009B6230" w:rsidRPr="00C63860" w:rsidRDefault="009B6230" w:rsidP="009B6230">
            <w:pPr>
              <w:jc w:val="right"/>
              <w:rPr>
                <w:rFonts w:cstheme="minorHAnsi"/>
                <w:color w:val="000000"/>
              </w:rPr>
            </w:pPr>
            <w:r w:rsidRPr="00C63860">
              <w:rPr>
                <w:rFonts w:cstheme="minorHAnsi"/>
              </w:rPr>
              <w:t>0.24</w:t>
            </w:r>
          </w:p>
        </w:tc>
        <w:tc>
          <w:tcPr>
            <w:tcW w:w="0" w:type="auto"/>
            <w:shd w:val="clear" w:color="auto" w:fill="auto"/>
            <w:noWrap/>
            <w:vAlign w:val="center"/>
            <w:hideMark/>
          </w:tcPr>
          <w:p w14:paraId="65DDA2F5" w14:textId="430705E0"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–0</w:t>
            </w:r>
            <w:r w:rsidRPr="00C63860">
              <w:rPr>
                <w:rFonts w:cstheme="minorHAnsi"/>
              </w:rPr>
              <w:t>.04, 0.51)</w:t>
            </w:r>
          </w:p>
        </w:tc>
        <w:tc>
          <w:tcPr>
            <w:tcW w:w="0" w:type="auto"/>
            <w:shd w:val="clear" w:color="auto" w:fill="auto"/>
            <w:hideMark/>
          </w:tcPr>
          <w:p w14:paraId="02C16DB2" w14:textId="77777777" w:rsidR="009B6230" w:rsidRPr="00C63860" w:rsidRDefault="009B6230" w:rsidP="009B6230">
            <w:pPr>
              <w:ind w:right="248"/>
              <w:jc w:val="right"/>
              <w:rPr>
                <w:rFonts w:cstheme="minorHAnsi"/>
              </w:rPr>
            </w:pPr>
            <w:r w:rsidRPr="00C63860">
              <w:rPr>
                <w:rFonts w:cstheme="minorHAnsi"/>
              </w:rPr>
              <w:t>0.09</w:t>
            </w:r>
          </w:p>
        </w:tc>
      </w:tr>
      <w:tr w:rsidR="009B6230" w:rsidRPr="00C63860" w14:paraId="7356AB75" w14:textId="77777777" w:rsidTr="00C63860">
        <w:trPr>
          <w:cantSplit/>
        </w:trPr>
        <w:tc>
          <w:tcPr>
            <w:tcW w:w="0" w:type="auto"/>
            <w:shd w:val="clear" w:color="auto" w:fill="auto"/>
            <w:noWrap/>
            <w:vAlign w:val="center"/>
            <w:hideMark/>
          </w:tcPr>
          <w:p w14:paraId="192EA051" w14:textId="77777777" w:rsidR="009B6230" w:rsidRPr="00C63860" w:rsidRDefault="009B6230" w:rsidP="009B6230">
            <w:pPr>
              <w:rPr>
                <w:rFonts w:cstheme="minorHAnsi"/>
                <w:color w:val="000000"/>
              </w:rPr>
            </w:pPr>
            <w:r w:rsidRPr="00C63860">
              <w:rPr>
                <w:rFonts w:cstheme="minorHAnsi"/>
              </w:rPr>
              <w:t>LOS within 90 days (mean)</w:t>
            </w:r>
          </w:p>
        </w:tc>
        <w:tc>
          <w:tcPr>
            <w:tcW w:w="0" w:type="auto"/>
            <w:shd w:val="clear" w:color="auto" w:fill="auto"/>
            <w:noWrap/>
            <w:vAlign w:val="center"/>
            <w:hideMark/>
          </w:tcPr>
          <w:p w14:paraId="2CC91087" w14:textId="77777777" w:rsidR="009B6230" w:rsidRPr="00C63860" w:rsidRDefault="009B6230" w:rsidP="009B6230">
            <w:pPr>
              <w:jc w:val="right"/>
              <w:rPr>
                <w:rFonts w:cstheme="minorHAnsi"/>
                <w:color w:val="000000"/>
              </w:rPr>
            </w:pPr>
            <w:r w:rsidRPr="00C63860">
              <w:rPr>
                <w:rFonts w:cstheme="minorHAnsi"/>
              </w:rPr>
              <w:t>0.03</w:t>
            </w:r>
          </w:p>
        </w:tc>
        <w:tc>
          <w:tcPr>
            <w:tcW w:w="0" w:type="auto"/>
            <w:shd w:val="clear" w:color="auto" w:fill="auto"/>
            <w:noWrap/>
            <w:vAlign w:val="center"/>
            <w:hideMark/>
          </w:tcPr>
          <w:p w14:paraId="388BE15C" w14:textId="63628BD8"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–1</w:t>
            </w:r>
            <w:r w:rsidRPr="00C63860">
              <w:rPr>
                <w:rFonts w:cstheme="minorHAnsi"/>
              </w:rPr>
              <w:t>.04, 1.10)</w:t>
            </w:r>
          </w:p>
        </w:tc>
        <w:tc>
          <w:tcPr>
            <w:tcW w:w="0" w:type="auto"/>
            <w:shd w:val="clear" w:color="auto" w:fill="auto"/>
            <w:hideMark/>
          </w:tcPr>
          <w:p w14:paraId="695169D9" w14:textId="77777777" w:rsidR="009B6230" w:rsidRPr="00C63860" w:rsidRDefault="009B6230" w:rsidP="009B6230">
            <w:pPr>
              <w:ind w:right="248"/>
              <w:jc w:val="right"/>
              <w:rPr>
                <w:rFonts w:cstheme="minorHAnsi"/>
              </w:rPr>
            </w:pPr>
            <w:r w:rsidRPr="00C63860">
              <w:rPr>
                <w:rFonts w:cstheme="minorHAnsi"/>
              </w:rPr>
              <w:t>0.96</w:t>
            </w:r>
          </w:p>
        </w:tc>
      </w:tr>
      <w:tr w:rsidR="009B6230" w:rsidRPr="00C63860" w14:paraId="077742C4" w14:textId="77777777" w:rsidTr="00C63860">
        <w:trPr>
          <w:cantSplit/>
        </w:trPr>
        <w:tc>
          <w:tcPr>
            <w:tcW w:w="0" w:type="auto"/>
            <w:shd w:val="clear" w:color="auto" w:fill="auto"/>
            <w:noWrap/>
            <w:vAlign w:val="center"/>
            <w:hideMark/>
          </w:tcPr>
          <w:p w14:paraId="5EFC8A7C" w14:textId="77777777" w:rsidR="009B6230" w:rsidRPr="00C63860" w:rsidRDefault="009B6230" w:rsidP="009B6230">
            <w:pPr>
              <w:rPr>
                <w:rFonts w:cstheme="minorHAnsi"/>
                <w:color w:val="000000"/>
              </w:rPr>
            </w:pPr>
            <w:r w:rsidRPr="00C63860">
              <w:rPr>
                <w:rFonts w:cstheme="minorHAnsi"/>
              </w:rPr>
              <w:t>Emergency Readmissions within 30 days (%)</w:t>
            </w:r>
          </w:p>
        </w:tc>
        <w:tc>
          <w:tcPr>
            <w:tcW w:w="0" w:type="auto"/>
            <w:shd w:val="clear" w:color="auto" w:fill="auto"/>
            <w:noWrap/>
            <w:vAlign w:val="center"/>
            <w:hideMark/>
          </w:tcPr>
          <w:p w14:paraId="19598EF1" w14:textId="7ABB52FE" w:rsidR="009B6230" w:rsidRPr="00C63860" w:rsidRDefault="00C63860" w:rsidP="009B6230">
            <w:pPr>
              <w:jc w:val="right"/>
              <w:rPr>
                <w:rFonts w:cstheme="minorHAnsi"/>
                <w:color w:val="000000"/>
              </w:rPr>
            </w:pPr>
            <w:r w:rsidRPr="00C63860">
              <w:rPr>
                <w:rFonts w:cstheme="minorHAnsi"/>
                <w:color w:val="00B0F0"/>
              </w:rPr>
              <w:t>–2</w:t>
            </w:r>
            <w:r w:rsidR="009B6230" w:rsidRPr="00C63860">
              <w:rPr>
                <w:rFonts w:cstheme="minorHAnsi"/>
              </w:rPr>
              <w:t>.50</w:t>
            </w:r>
          </w:p>
        </w:tc>
        <w:tc>
          <w:tcPr>
            <w:tcW w:w="0" w:type="auto"/>
            <w:shd w:val="clear" w:color="auto" w:fill="auto"/>
            <w:noWrap/>
            <w:vAlign w:val="center"/>
            <w:hideMark/>
          </w:tcPr>
          <w:p w14:paraId="1BCD6980" w14:textId="13BD4311"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–1</w:t>
            </w:r>
            <w:r w:rsidRPr="00C63860">
              <w:rPr>
                <w:rFonts w:cstheme="minorHAnsi"/>
              </w:rPr>
              <w:t>0.3, 5.26)</w:t>
            </w:r>
          </w:p>
        </w:tc>
        <w:tc>
          <w:tcPr>
            <w:tcW w:w="0" w:type="auto"/>
            <w:shd w:val="clear" w:color="auto" w:fill="auto"/>
            <w:hideMark/>
          </w:tcPr>
          <w:p w14:paraId="325524F3" w14:textId="77777777" w:rsidR="009B6230" w:rsidRPr="00C63860" w:rsidRDefault="009B6230" w:rsidP="009B6230">
            <w:pPr>
              <w:ind w:right="248"/>
              <w:jc w:val="right"/>
              <w:rPr>
                <w:rFonts w:cstheme="minorHAnsi"/>
              </w:rPr>
            </w:pPr>
            <w:r w:rsidRPr="00C63860">
              <w:rPr>
                <w:rFonts w:cstheme="minorHAnsi"/>
              </w:rPr>
              <w:t>0.53</w:t>
            </w:r>
          </w:p>
        </w:tc>
      </w:tr>
      <w:tr w:rsidR="009B6230" w:rsidRPr="00C63860" w14:paraId="541A1471" w14:textId="77777777" w:rsidTr="00C63860">
        <w:trPr>
          <w:cantSplit/>
        </w:trPr>
        <w:tc>
          <w:tcPr>
            <w:tcW w:w="0" w:type="auto"/>
            <w:shd w:val="clear" w:color="auto" w:fill="auto"/>
            <w:noWrap/>
            <w:vAlign w:val="center"/>
          </w:tcPr>
          <w:p w14:paraId="05490D6F" w14:textId="77777777" w:rsidR="009B6230" w:rsidRPr="00C63860" w:rsidRDefault="009B6230" w:rsidP="009B6230">
            <w:pPr>
              <w:rPr>
                <w:rFonts w:cstheme="minorHAnsi"/>
                <w:color w:val="000000"/>
              </w:rPr>
            </w:pPr>
          </w:p>
        </w:tc>
        <w:tc>
          <w:tcPr>
            <w:tcW w:w="0" w:type="auto"/>
            <w:shd w:val="clear" w:color="auto" w:fill="auto"/>
            <w:noWrap/>
            <w:vAlign w:val="center"/>
          </w:tcPr>
          <w:p w14:paraId="5E94FF97" w14:textId="77777777" w:rsidR="009B6230" w:rsidRPr="00C63860" w:rsidRDefault="009B6230" w:rsidP="009B6230">
            <w:pPr>
              <w:jc w:val="right"/>
              <w:rPr>
                <w:rFonts w:cstheme="minorHAnsi"/>
                <w:color w:val="000000"/>
              </w:rPr>
            </w:pPr>
          </w:p>
        </w:tc>
        <w:tc>
          <w:tcPr>
            <w:tcW w:w="0" w:type="auto"/>
            <w:shd w:val="clear" w:color="auto" w:fill="auto"/>
            <w:noWrap/>
            <w:vAlign w:val="center"/>
          </w:tcPr>
          <w:p w14:paraId="151E1A67" w14:textId="77777777" w:rsidR="009B6230" w:rsidRPr="00C63860" w:rsidRDefault="009B6230" w:rsidP="009B6230">
            <w:pPr>
              <w:ind w:right="456"/>
              <w:jc w:val="right"/>
              <w:rPr>
                <w:rFonts w:cstheme="minorHAnsi"/>
                <w:color w:val="000000"/>
              </w:rPr>
            </w:pPr>
          </w:p>
        </w:tc>
        <w:tc>
          <w:tcPr>
            <w:tcW w:w="0" w:type="auto"/>
            <w:shd w:val="clear" w:color="auto" w:fill="auto"/>
          </w:tcPr>
          <w:p w14:paraId="3EE78D07" w14:textId="77777777" w:rsidR="009B6230" w:rsidRPr="00C63860" w:rsidRDefault="009B6230" w:rsidP="009B6230">
            <w:pPr>
              <w:ind w:right="248"/>
              <w:jc w:val="right"/>
              <w:rPr>
                <w:rFonts w:cstheme="minorHAnsi"/>
              </w:rPr>
            </w:pPr>
          </w:p>
        </w:tc>
      </w:tr>
      <w:tr w:rsidR="009B6230" w:rsidRPr="00C63860" w14:paraId="54E0D277" w14:textId="77777777" w:rsidTr="00C63860">
        <w:trPr>
          <w:cantSplit/>
        </w:trPr>
        <w:tc>
          <w:tcPr>
            <w:tcW w:w="0" w:type="auto"/>
            <w:shd w:val="clear" w:color="auto" w:fill="auto"/>
            <w:noWrap/>
            <w:vAlign w:val="center"/>
            <w:hideMark/>
          </w:tcPr>
          <w:p w14:paraId="078F1729" w14:textId="77777777" w:rsidR="009B6230" w:rsidRPr="00C63860" w:rsidRDefault="009B6230" w:rsidP="009B6230">
            <w:pPr>
              <w:rPr>
                <w:rFonts w:cstheme="minorHAnsi"/>
                <w:b/>
                <w:bCs/>
                <w:color w:val="000000"/>
              </w:rPr>
            </w:pPr>
            <w:r w:rsidRPr="00C63860">
              <w:rPr>
                <w:rFonts w:cstheme="minorHAnsi"/>
                <w:b/>
                <w:bCs/>
              </w:rPr>
              <w:t>Cholelithiasis</w:t>
            </w:r>
          </w:p>
        </w:tc>
        <w:tc>
          <w:tcPr>
            <w:tcW w:w="0" w:type="auto"/>
            <w:shd w:val="clear" w:color="auto" w:fill="auto"/>
            <w:noWrap/>
            <w:vAlign w:val="bottom"/>
          </w:tcPr>
          <w:p w14:paraId="177826C9" w14:textId="77777777" w:rsidR="009B6230" w:rsidRPr="00C63860" w:rsidRDefault="009B6230" w:rsidP="009B6230">
            <w:pPr>
              <w:jc w:val="right"/>
              <w:rPr>
                <w:rFonts w:cstheme="minorHAnsi"/>
                <w:b/>
                <w:bCs/>
              </w:rPr>
            </w:pPr>
          </w:p>
        </w:tc>
        <w:tc>
          <w:tcPr>
            <w:tcW w:w="0" w:type="auto"/>
            <w:shd w:val="clear" w:color="auto" w:fill="auto"/>
            <w:noWrap/>
            <w:vAlign w:val="bottom"/>
          </w:tcPr>
          <w:p w14:paraId="7774AAE8" w14:textId="77777777" w:rsidR="009B6230" w:rsidRPr="00C63860" w:rsidRDefault="009B6230" w:rsidP="009B6230">
            <w:pPr>
              <w:ind w:right="456"/>
              <w:jc w:val="right"/>
              <w:rPr>
                <w:rFonts w:cstheme="minorHAnsi"/>
              </w:rPr>
            </w:pPr>
          </w:p>
        </w:tc>
        <w:tc>
          <w:tcPr>
            <w:tcW w:w="0" w:type="auto"/>
            <w:shd w:val="clear" w:color="auto" w:fill="auto"/>
          </w:tcPr>
          <w:p w14:paraId="51CD87D5" w14:textId="77777777" w:rsidR="009B6230" w:rsidRPr="00C63860" w:rsidRDefault="009B6230" w:rsidP="009B6230">
            <w:pPr>
              <w:ind w:right="248"/>
              <w:jc w:val="right"/>
              <w:rPr>
                <w:rFonts w:cstheme="minorHAnsi"/>
              </w:rPr>
            </w:pPr>
          </w:p>
        </w:tc>
      </w:tr>
      <w:tr w:rsidR="009B6230" w:rsidRPr="00C63860" w14:paraId="4471B00B" w14:textId="77777777" w:rsidTr="00C63860">
        <w:trPr>
          <w:cantSplit/>
        </w:trPr>
        <w:tc>
          <w:tcPr>
            <w:tcW w:w="0" w:type="auto"/>
            <w:shd w:val="clear" w:color="auto" w:fill="auto"/>
            <w:noWrap/>
            <w:vAlign w:val="center"/>
            <w:hideMark/>
          </w:tcPr>
          <w:p w14:paraId="4FF70223" w14:textId="77777777" w:rsidR="009B6230" w:rsidRPr="00C63860" w:rsidRDefault="009B6230" w:rsidP="009B6230">
            <w:pPr>
              <w:rPr>
                <w:rFonts w:cstheme="minorHAnsi"/>
                <w:color w:val="000000"/>
              </w:rPr>
            </w:pPr>
            <w:r w:rsidRPr="00C63860">
              <w:rPr>
                <w:rFonts w:cstheme="minorHAnsi"/>
              </w:rPr>
              <w:t>DAOH within 90 days (mean)</w:t>
            </w:r>
          </w:p>
        </w:tc>
        <w:tc>
          <w:tcPr>
            <w:tcW w:w="0" w:type="auto"/>
            <w:shd w:val="clear" w:color="auto" w:fill="auto"/>
            <w:noWrap/>
            <w:vAlign w:val="center"/>
            <w:hideMark/>
          </w:tcPr>
          <w:p w14:paraId="5219C990" w14:textId="77777777" w:rsidR="009B6230" w:rsidRPr="00C63860" w:rsidRDefault="009B6230" w:rsidP="009B6230">
            <w:pPr>
              <w:jc w:val="right"/>
              <w:rPr>
                <w:rFonts w:cstheme="minorHAnsi"/>
                <w:color w:val="000000"/>
              </w:rPr>
            </w:pPr>
            <w:r w:rsidRPr="00C63860">
              <w:rPr>
                <w:rFonts w:cstheme="minorHAnsi"/>
              </w:rPr>
              <w:t>0.60</w:t>
            </w:r>
          </w:p>
        </w:tc>
        <w:tc>
          <w:tcPr>
            <w:tcW w:w="0" w:type="auto"/>
            <w:shd w:val="clear" w:color="auto" w:fill="auto"/>
            <w:noWrap/>
            <w:vAlign w:val="center"/>
            <w:hideMark/>
          </w:tcPr>
          <w:p w14:paraId="425672C7" w14:textId="0B874F77"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–0</w:t>
            </w:r>
            <w:r w:rsidRPr="00C63860">
              <w:rPr>
                <w:rFonts w:cstheme="minorHAnsi"/>
              </w:rPr>
              <w:t>.10, 1.30)</w:t>
            </w:r>
          </w:p>
        </w:tc>
        <w:tc>
          <w:tcPr>
            <w:tcW w:w="0" w:type="auto"/>
            <w:shd w:val="clear" w:color="auto" w:fill="auto"/>
            <w:hideMark/>
          </w:tcPr>
          <w:p w14:paraId="097E117D" w14:textId="77777777" w:rsidR="009B6230" w:rsidRPr="00C63860" w:rsidRDefault="009B6230" w:rsidP="009B6230">
            <w:pPr>
              <w:ind w:right="248"/>
              <w:jc w:val="right"/>
              <w:rPr>
                <w:rFonts w:cstheme="minorHAnsi"/>
              </w:rPr>
            </w:pPr>
            <w:r w:rsidRPr="00C63860">
              <w:rPr>
                <w:rFonts w:cstheme="minorHAnsi"/>
              </w:rPr>
              <w:t>0.09</w:t>
            </w:r>
          </w:p>
        </w:tc>
      </w:tr>
      <w:tr w:rsidR="009B6230" w:rsidRPr="00C63860" w14:paraId="53C247FD" w14:textId="77777777" w:rsidTr="00C63860">
        <w:trPr>
          <w:cantSplit/>
        </w:trPr>
        <w:tc>
          <w:tcPr>
            <w:tcW w:w="0" w:type="auto"/>
            <w:shd w:val="clear" w:color="auto" w:fill="auto"/>
            <w:noWrap/>
            <w:vAlign w:val="center"/>
            <w:hideMark/>
          </w:tcPr>
          <w:p w14:paraId="587B6259" w14:textId="77777777" w:rsidR="009B6230" w:rsidRPr="00C63860" w:rsidRDefault="009B6230" w:rsidP="009B6230">
            <w:pPr>
              <w:rPr>
                <w:rFonts w:cstheme="minorHAnsi"/>
                <w:color w:val="000000"/>
              </w:rPr>
            </w:pPr>
            <w:r w:rsidRPr="00C63860">
              <w:rPr>
                <w:rFonts w:cstheme="minorHAnsi"/>
              </w:rPr>
              <w:t>Mortality within 90 days (%)</w:t>
            </w:r>
          </w:p>
        </w:tc>
        <w:tc>
          <w:tcPr>
            <w:tcW w:w="0" w:type="auto"/>
            <w:shd w:val="clear" w:color="auto" w:fill="auto"/>
            <w:noWrap/>
            <w:vAlign w:val="center"/>
            <w:hideMark/>
          </w:tcPr>
          <w:p w14:paraId="1078CDB2" w14:textId="77777777" w:rsidR="009B6230" w:rsidRPr="00C63860" w:rsidRDefault="009B6230" w:rsidP="009B6230">
            <w:pPr>
              <w:jc w:val="right"/>
              <w:rPr>
                <w:rFonts w:cstheme="minorHAnsi"/>
                <w:color w:val="000000"/>
              </w:rPr>
            </w:pPr>
            <w:r w:rsidRPr="00C63860">
              <w:rPr>
                <w:rFonts w:cstheme="minorHAnsi"/>
              </w:rPr>
              <w:t>0.18</w:t>
            </w:r>
          </w:p>
        </w:tc>
        <w:tc>
          <w:tcPr>
            <w:tcW w:w="0" w:type="auto"/>
            <w:shd w:val="clear" w:color="auto" w:fill="auto"/>
            <w:noWrap/>
            <w:vAlign w:val="center"/>
            <w:hideMark/>
          </w:tcPr>
          <w:p w14:paraId="0577E595" w14:textId="388E160E"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–0</w:t>
            </w:r>
            <w:r w:rsidRPr="00C63860">
              <w:rPr>
                <w:rFonts w:cstheme="minorHAnsi"/>
              </w:rPr>
              <w:t>.97, 1.32)</w:t>
            </w:r>
          </w:p>
        </w:tc>
        <w:tc>
          <w:tcPr>
            <w:tcW w:w="0" w:type="auto"/>
            <w:shd w:val="clear" w:color="auto" w:fill="auto"/>
            <w:hideMark/>
          </w:tcPr>
          <w:p w14:paraId="63AF3648" w14:textId="77777777" w:rsidR="009B6230" w:rsidRPr="00C63860" w:rsidRDefault="009B6230" w:rsidP="009B6230">
            <w:pPr>
              <w:ind w:right="248"/>
              <w:jc w:val="right"/>
              <w:rPr>
                <w:rFonts w:cstheme="minorHAnsi"/>
              </w:rPr>
            </w:pPr>
            <w:r w:rsidRPr="00C63860">
              <w:rPr>
                <w:rFonts w:cstheme="minorHAnsi"/>
              </w:rPr>
              <w:t>0.76</w:t>
            </w:r>
          </w:p>
        </w:tc>
      </w:tr>
      <w:tr w:rsidR="009B6230" w:rsidRPr="00C63860" w14:paraId="4AF13A98" w14:textId="77777777" w:rsidTr="00C63860">
        <w:trPr>
          <w:cantSplit/>
        </w:trPr>
        <w:tc>
          <w:tcPr>
            <w:tcW w:w="0" w:type="auto"/>
            <w:shd w:val="clear" w:color="auto" w:fill="auto"/>
            <w:noWrap/>
            <w:vAlign w:val="center"/>
            <w:hideMark/>
          </w:tcPr>
          <w:p w14:paraId="5F509AF6" w14:textId="77777777" w:rsidR="009B6230" w:rsidRPr="00C63860" w:rsidRDefault="009B6230" w:rsidP="009B6230">
            <w:pPr>
              <w:rPr>
                <w:rFonts w:cstheme="minorHAnsi"/>
                <w:color w:val="000000"/>
              </w:rPr>
            </w:pPr>
            <w:r w:rsidRPr="00C63860">
              <w:rPr>
                <w:rFonts w:cstheme="minorHAnsi"/>
              </w:rPr>
              <w:t>LOS within 90 days (mean)</w:t>
            </w:r>
          </w:p>
        </w:tc>
        <w:tc>
          <w:tcPr>
            <w:tcW w:w="0" w:type="auto"/>
            <w:shd w:val="clear" w:color="auto" w:fill="auto"/>
            <w:noWrap/>
            <w:vAlign w:val="center"/>
            <w:hideMark/>
          </w:tcPr>
          <w:p w14:paraId="3255B858" w14:textId="00C6E84A" w:rsidR="009B6230" w:rsidRPr="00C63860" w:rsidRDefault="00C63860" w:rsidP="009B6230">
            <w:pPr>
              <w:jc w:val="right"/>
              <w:rPr>
                <w:rFonts w:cstheme="minorHAnsi"/>
                <w:color w:val="000000"/>
              </w:rPr>
            </w:pPr>
            <w:r w:rsidRPr="00C63860">
              <w:rPr>
                <w:rFonts w:cstheme="minorHAnsi"/>
                <w:color w:val="00B0F0"/>
              </w:rPr>
              <w:t>–0</w:t>
            </w:r>
            <w:r w:rsidR="009B6230" w:rsidRPr="00C63860">
              <w:rPr>
                <w:rFonts w:cstheme="minorHAnsi"/>
              </w:rPr>
              <w:t>.43</w:t>
            </w:r>
          </w:p>
        </w:tc>
        <w:tc>
          <w:tcPr>
            <w:tcW w:w="0" w:type="auto"/>
            <w:shd w:val="clear" w:color="auto" w:fill="auto"/>
            <w:noWrap/>
            <w:vAlign w:val="center"/>
            <w:hideMark/>
          </w:tcPr>
          <w:p w14:paraId="1D8DCDCE" w14:textId="016ABD3B"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–0</w:t>
            </w:r>
            <w:r w:rsidRPr="00C63860">
              <w:rPr>
                <w:rFonts w:cstheme="minorHAnsi"/>
              </w:rPr>
              <w:t>.88, 0.03)</w:t>
            </w:r>
          </w:p>
        </w:tc>
        <w:tc>
          <w:tcPr>
            <w:tcW w:w="0" w:type="auto"/>
            <w:shd w:val="clear" w:color="auto" w:fill="auto"/>
            <w:hideMark/>
          </w:tcPr>
          <w:p w14:paraId="641D1666" w14:textId="77777777" w:rsidR="009B6230" w:rsidRPr="00C63860" w:rsidRDefault="009B6230" w:rsidP="009B6230">
            <w:pPr>
              <w:ind w:right="248"/>
              <w:jc w:val="right"/>
              <w:rPr>
                <w:rFonts w:cstheme="minorHAnsi"/>
              </w:rPr>
            </w:pPr>
            <w:r w:rsidRPr="00C63860">
              <w:rPr>
                <w:rFonts w:cstheme="minorHAnsi"/>
              </w:rPr>
              <w:t>0.07</w:t>
            </w:r>
          </w:p>
        </w:tc>
      </w:tr>
      <w:tr w:rsidR="009B6230" w:rsidRPr="00C63860" w14:paraId="546C19DD" w14:textId="77777777" w:rsidTr="00C63860">
        <w:trPr>
          <w:cantSplit/>
        </w:trPr>
        <w:tc>
          <w:tcPr>
            <w:tcW w:w="0" w:type="auto"/>
            <w:shd w:val="clear" w:color="auto" w:fill="auto"/>
            <w:noWrap/>
            <w:vAlign w:val="center"/>
            <w:hideMark/>
          </w:tcPr>
          <w:p w14:paraId="2361B682" w14:textId="77777777" w:rsidR="009B6230" w:rsidRPr="00C63860" w:rsidRDefault="009B6230" w:rsidP="009B6230">
            <w:pPr>
              <w:rPr>
                <w:rFonts w:cstheme="minorHAnsi"/>
                <w:color w:val="000000"/>
              </w:rPr>
            </w:pPr>
            <w:r w:rsidRPr="00C63860">
              <w:rPr>
                <w:rFonts w:cstheme="minorHAnsi"/>
              </w:rPr>
              <w:t>Emergency Readmissions within 30 days (%)</w:t>
            </w:r>
          </w:p>
        </w:tc>
        <w:tc>
          <w:tcPr>
            <w:tcW w:w="0" w:type="auto"/>
            <w:shd w:val="clear" w:color="auto" w:fill="auto"/>
            <w:noWrap/>
            <w:vAlign w:val="center"/>
            <w:hideMark/>
          </w:tcPr>
          <w:p w14:paraId="76A3522B" w14:textId="6DA3B4A6" w:rsidR="009B6230" w:rsidRPr="00C63860" w:rsidRDefault="00C63860" w:rsidP="009B6230">
            <w:pPr>
              <w:jc w:val="right"/>
              <w:rPr>
                <w:rFonts w:cstheme="minorHAnsi"/>
                <w:color w:val="000000"/>
              </w:rPr>
            </w:pPr>
            <w:r w:rsidRPr="00C63860">
              <w:rPr>
                <w:rFonts w:cstheme="minorHAnsi"/>
                <w:color w:val="00B0F0"/>
              </w:rPr>
              <w:t>–3</w:t>
            </w:r>
            <w:r w:rsidR="009B6230" w:rsidRPr="00C63860">
              <w:rPr>
                <w:rFonts w:cstheme="minorHAnsi"/>
              </w:rPr>
              <w:t>.85</w:t>
            </w:r>
          </w:p>
        </w:tc>
        <w:tc>
          <w:tcPr>
            <w:tcW w:w="0" w:type="auto"/>
            <w:shd w:val="clear" w:color="auto" w:fill="auto"/>
            <w:noWrap/>
            <w:vAlign w:val="center"/>
            <w:hideMark/>
          </w:tcPr>
          <w:p w14:paraId="72943D9E" w14:textId="20104980"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–5</w:t>
            </w:r>
            <w:r w:rsidRPr="00C63860">
              <w:rPr>
                <w:rFonts w:cstheme="minorHAnsi"/>
              </w:rPr>
              <w:t>.5</w:t>
            </w:r>
            <w:r w:rsidR="00C63860" w:rsidRPr="00C63860">
              <w:rPr>
                <w:rFonts w:cstheme="minorHAnsi"/>
                <w:color w:val="00B0F0"/>
              </w:rPr>
              <w:t>4, -2</w:t>
            </w:r>
            <w:r w:rsidRPr="00C63860">
              <w:rPr>
                <w:rFonts w:cstheme="minorHAnsi"/>
              </w:rPr>
              <w:t>.16)</w:t>
            </w:r>
          </w:p>
        </w:tc>
        <w:tc>
          <w:tcPr>
            <w:tcW w:w="0" w:type="auto"/>
            <w:shd w:val="clear" w:color="auto" w:fill="auto"/>
            <w:hideMark/>
          </w:tcPr>
          <w:p w14:paraId="3C0CDC4C" w14:textId="2A77148C" w:rsidR="009B6230" w:rsidRPr="00C63860" w:rsidRDefault="00C63860" w:rsidP="009B6230">
            <w:pPr>
              <w:ind w:right="248"/>
              <w:jc w:val="right"/>
              <w:rPr>
                <w:rFonts w:cstheme="minorHAnsi"/>
              </w:rPr>
            </w:pPr>
            <w:r w:rsidRPr="00C63860">
              <w:rPr>
                <w:rFonts w:cstheme="minorHAnsi"/>
                <w:color w:val="00B0F0"/>
              </w:rPr>
              <w:t>&lt; 0</w:t>
            </w:r>
            <w:r w:rsidR="009B6230" w:rsidRPr="00C63860">
              <w:rPr>
                <w:rFonts w:cstheme="minorHAnsi"/>
              </w:rPr>
              <w:t>.001</w:t>
            </w:r>
          </w:p>
        </w:tc>
      </w:tr>
      <w:tr w:rsidR="009B6230" w:rsidRPr="00C63860" w14:paraId="00026BEF" w14:textId="77777777" w:rsidTr="00C63860">
        <w:trPr>
          <w:cantSplit/>
        </w:trPr>
        <w:tc>
          <w:tcPr>
            <w:tcW w:w="0" w:type="auto"/>
            <w:shd w:val="clear" w:color="auto" w:fill="auto"/>
            <w:noWrap/>
            <w:vAlign w:val="center"/>
          </w:tcPr>
          <w:p w14:paraId="52290D59" w14:textId="77777777" w:rsidR="009B6230" w:rsidRPr="00C63860" w:rsidRDefault="009B6230" w:rsidP="009B6230">
            <w:pPr>
              <w:rPr>
                <w:rFonts w:cstheme="minorHAnsi"/>
                <w:color w:val="000000"/>
              </w:rPr>
            </w:pPr>
          </w:p>
        </w:tc>
        <w:tc>
          <w:tcPr>
            <w:tcW w:w="0" w:type="auto"/>
            <w:shd w:val="clear" w:color="auto" w:fill="auto"/>
            <w:noWrap/>
            <w:vAlign w:val="center"/>
          </w:tcPr>
          <w:p w14:paraId="0BF1F5EA" w14:textId="77777777" w:rsidR="009B6230" w:rsidRPr="00C63860" w:rsidRDefault="009B6230" w:rsidP="009B6230">
            <w:pPr>
              <w:jc w:val="right"/>
              <w:rPr>
                <w:rFonts w:cstheme="minorHAnsi"/>
                <w:color w:val="000000"/>
              </w:rPr>
            </w:pPr>
          </w:p>
        </w:tc>
        <w:tc>
          <w:tcPr>
            <w:tcW w:w="0" w:type="auto"/>
            <w:shd w:val="clear" w:color="auto" w:fill="auto"/>
            <w:noWrap/>
            <w:vAlign w:val="center"/>
          </w:tcPr>
          <w:p w14:paraId="5C73B8AB" w14:textId="77777777" w:rsidR="009B6230" w:rsidRPr="00C63860" w:rsidRDefault="009B6230" w:rsidP="009B6230">
            <w:pPr>
              <w:ind w:right="456"/>
              <w:jc w:val="right"/>
              <w:rPr>
                <w:rFonts w:cstheme="minorHAnsi"/>
                <w:color w:val="000000"/>
              </w:rPr>
            </w:pPr>
          </w:p>
        </w:tc>
        <w:tc>
          <w:tcPr>
            <w:tcW w:w="0" w:type="auto"/>
            <w:shd w:val="clear" w:color="auto" w:fill="auto"/>
          </w:tcPr>
          <w:p w14:paraId="5E806DD5" w14:textId="77777777" w:rsidR="009B6230" w:rsidRPr="00C63860" w:rsidRDefault="009B6230" w:rsidP="009B6230">
            <w:pPr>
              <w:ind w:right="248"/>
              <w:jc w:val="right"/>
              <w:rPr>
                <w:rFonts w:cstheme="minorHAnsi"/>
              </w:rPr>
            </w:pPr>
          </w:p>
        </w:tc>
      </w:tr>
      <w:tr w:rsidR="009B6230" w:rsidRPr="00C63860" w14:paraId="3F111264" w14:textId="77777777" w:rsidTr="00C63860">
        <w:trPr>
          <w:cantSplit/>
        </w:trPr>
        <w:tc>
          <w:tcPr>
            <w:tcW w:w="0" w:type="auto"/>
            <w:shd w:val="clear" w:color="auto" w:fill="auto"/>
            <w:noWrap/>
            <w:vAlign w:val="center"/>
            <w:hideMark/>
          </w:tcPr>
          <w:p w14:paraId="77F36459" w14:textId="77777777" w:rsidR="009B6230" w:rsidRPr="00C63860" w:rsidRDefault="009B6230" w:rsidP="009B6230">
            <w:pPr>
              <w:rPr>
                <w:rFonts w:cstheme="minorHAnsi"/>
                <w:b/>
                <w:bCs/>
                <w:color w:val="000000"/>
              </w:rPr>
            </w:pPr>
            <w:r w:rsidRPr="00C63860">
              <w:rPr>
                <w:rFonts w:cstheme="minorHAnsi"/>
                <w:b/>
                <w:bCs/>
              </w:rPr>
              <w:t>Diverticular disease</w:t>
            </w:r>
          </w:p>
        </w:tc>
        <w:tc>
          <w:tcPr>
            <w:tcW w:w="0" w:type="auto"/>
            <w:shd w:val="clear" w:color="auto" w:fill="auto"/>
            <w:noWrap/>
            <w:vAlign w:val="bottom"/>
          </w:tcPr>
          <w:p w14:paraId="4F5D90D6" w14:textId="77777777" w:rsidR="009B6230" w:rsidRPr="00C63860" w:rsidRDefault="009B6230" w:rsidP="009B6230">
            <w:pPr>
              <w:jc w:val="right"/>
              <w:rPr>
                <w:rFonts w:cstheme="minorHAnsi"/>
                <w:b/>
                <w:bCs/>
              </w:rPr>
            </w:pPr>
          </w:p>
        </w:tc>
        <w:tc>
          <w:tcPr>
            <w:tcW w:w="0" w:type="auto"/>
            <w:shd w:val="clear" w:color="auto" w:fill="auto"/>
            <w:noWrap/>
            <w:vAlign w:val="bottom"/>
          </w:tcPr>
          <w:p w14:paraId="538A35BC" w14:textId="77777777" w:rsidR="009B6230" w:rsidRPr="00C63860" w:rsidRDefault="009B6230" w:rsidP="009B6230">
            <w:pPr>
              <w:ind w:right="456"/>
              <w:jc w:val="right"/>
              <w:rPr>
                <w:rFonts w:cstheme="minorHAnsi"/>
              </w:rPr>
            </w:pPr>
          </w:p>
        </w:tc>
        <w:tc>
          <w:tcPr>
            <w:tcW w:w="0" w:type="auto"/>
            <w:shd w:val="clear" w:color="auto" w:fill="auto"/>
          </w:tcPr>
          <w:p w14:paraId="783C5EE3" w14:textId="77777777" w:rsidR="009B6230" w:rsidRPr="00C63860" w:rsidRDefault="009B6230" w:rsidP="009B6230">
            <w:pPr>
              <w:ind w:right="248"/>
              <w:jc w:val="right"/>
              <w:rPr>
                <w:rFonts w:cstheme="minorHAnsi"/>
              </w:rPr>
            </w:pPr>
          </w:p>
        </w:tc>
      </w:tr>
      <w:tr w:rsidR="009B6230" w:rsidRPr="00C63860" w14:paraId="2C0432FF" w14:textId="77777777" w:rsidTr="00C63860">
        <w:trPr>
          <w:cantSplit/>
        </w:trPr>
        <w:tc>
          <w:tcPr>
            <w:tcW w:w="0" w:type="auto"/>
            <w:shd w:val="clear" w:color="auto" w:fill="auto"/>
            <w:noWrap/>
            <w:vAlign w:val="center"/>
            <w:hideMark/>
          </w:tcPr>
          <w:p w14:paraId="0CFB5DC6" w14:textId="77777777" w:rsidR="009B6230" w:rsidRPr="00C63860" w:rsidRDefault="009B6230" w:rsidP="009B6230">
            <w:pPr>
              <w:rPr>
                <w:rFonts w:cstheme="minorHAnsi"/>
                <w:color w:val="000000"/>
              </w:rPr>
            </w:pPr>
            <w:r w:rsidRPr="00C63860">
              <w:rPr>
                <w:rFonts w:cstheme="minorHAnsi"/>
              </w:rPr>
              <w:t>DAOH within 90 days (mean)</w:t>
            </w:r>
          </w:p>
        </w:tc>
        <w:tc>
          <w:tcPr>
            <w:tcW w:w="0" w:type="auto"/>
            <w:shd w:val="clear" w:color="auto" w:fill="auto"/>
            <w:noWrap/>
            <w:vAlign w:val="center"/>
            <w:hideMark/>
          </w:tcPr>
          <w:p w14:paraId="2249276F" w14:textId="41491053" w:rsidR="009B6230" w:rsidRPr="00C63860" w:rsidRDefault="00C63860" w:rsidP="009B6230">
            <w:pPr>
              <w:jc w:val="right"/>
              <w:rPr>
                <w:rFonts w:cstheme="minorHAnsi"/>
                <w:color w:val="000000"/>
              </w:rPr>
            </w:pPr>
            <w:r w:rsidRPr="00C63860">
              <w:rPr>
                <w:rFonts w:cstheme="minorHAnsi"/>
                <w:color w:val="00B0F0"/>
              </w:rPr>
              <w:t>–2</w:t>
            </w:r>
            <w:r w:rsidR="009B6230" w:rsidRPr="00C63860">
              <w:rPr>
                <w:rFonts w:cstheme="minorHAnsi"/>
              </w:rPr>
              <w:t>.66</w:t>
            </w:r>
          </w:p>
        </w:tc>
        <w:tc>
          <w:tcPr>
            <w:tcW w:w="0" w:type="auto"/>
            <w:shd w:val="clear" w:color="auto" w:fill="auto"/>
            <w:noWrap/>
            <w:vAlign w:val="center"/>
            <w:hideMark/>
          </w:tcPr>
          <w:p w14:paraId="6B7A9122" w14:textId="2A17E134"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–1</w:t>
            </w:r>
            <w:r w:rsidRPr="00C63860">
              <w:rPr>
                <w:rFonts w:cstheme="minorHAnsi"/>
              </w:rPr>
              <w:t>5.7, 10.4)</w:t>
            </w:r>
          </w:p>
        </w:tc>
        <w:tc>
          <w:tcPr>
            <w:tcW w:w="0" w:type="auto"/>
            <w:shd w:val="clear" w:color="auto" w:fill="auto"/>
            <w:hideMark/>
          </w:tcPr>
          <w:p w14:paraId="581EADF3" w14:textId="77777777" w:rsidR="009B6230" w:rsidRPr="00C63860" w:rsidRDefault="009B6230" w:rsidP="009B6230">
            <w:pPr>
              <w:ind w:right="248"/>
              <w:jc w:val="right"/>
              <w:rPr>
                <w:rFonts w:cstheme="minorHAnsi"/>
              </w:rPr>
            </w:pPr>
            <w:r w:rsidRPr="00C63860">
              <w:rPr>
                <w:rFonts w:cstheme="minorHAnsi"/>
              </w:rPr>
              <w:t>0.69</w:t>
            </w:r>
          </w:p>
        </w:tc>
      </w:tr>
      <w:tr w:rsidR="009B6230" w:rsidRPr="00C63860" w14:paraId="1F954276" w14:textId="77777777" w:rsidTr="00C63860">
        <w:trPr>
          <w:cantSplit/>
        </w:trPr>
        <w:tc>
          <w:tcPr>
            <w:tcW w:w="0" w:type="auto"/>
            <w:shd w:val="clear" w:color="auto" w:fill="auto"/>
            <w:noWrap/>
            <w:vAlign w:val="center"/>
            <w:hideMark/>
          </w:tcPr>
          <w:p w14:paraId="382533CF" w14:textId="77777777" w:rsidR="009B6230" w:rsidRPr="00C63860" w:rsidRDefault="009B6230" w:rsidP="009B6230">
            <w:pPr>
              <w:rPr>
                <w:rFonts w:cstheme="minorHAnsi"/>
                <w:color w:val="000000"/>
              </w:rPr>
            </w:pPr>
            <w:r w:rsidRPr="00C63860">
              <w:rPr>
                <w:rFonts w:cstheme="minorHAnsi"/>
              </w:rPr>
              <w:t>Mortality within 90 days (%)</w:t>
            </w:r>
          </w:p>
        </w:tc>
        <w:tc>
          <w:tcPr>
            <w:tcW w:w="0" w:type="auto"/>
            <w:shd w:val="clear" w:color="auto" w:fill="auto"/>
            <w:noWrap/>
            <w:vAlign w:val="center"/>
            <w:hideMark/>
          </w:tcPr>
          <w:p w14:paraId="06415782" w14:textId="77777777" w:rsidR="009B6230" w:rsidRPr="00C63860" w:rsidRDefault="009B6230" w:rsidP="009B6230">
            <w:pPr>
              <w:jc w:val="right"/>
              <w:rPr>
                <w:rFonts w:cstheme="minorHAnsi"/>
                <w:color w:val="000000"/>
              </w:rPr>
            </w:pPr>
            <w:r w:rsidRPr="00C63860">
              <w:rPr>
                <w:rFonts w:cstheme="minorHAnsi"/>
              </w:rPr>
              <w:t>3.34</w:t>
            </w:r>
          </w:p>
        </w:tc>
        <w:tc>
          <w:tcPr>
            <w:tcW w:w="0" w:type="auto"/>
            <w:shd w:val="clear" w:color="auto" w:fill="auto"/>
            <w:noWrap/>
            <w:vAlign w:val="center"/>
            <w:hideMark/>
          </w:tcPr>
          <w:p w14:paraId="13C6B866" w14:textId="5B7A391A"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–5</w:t>
            </w:r>
            <w:r w:rsidRPr="00C63860">
              <w:rPr>
                <w:rFonts w:cstheme="minorHAnsi"/>
              </w:rPr>
              <w:t>.22, 11.9)</w:t>
            </w:r>
          </w:p>
        </w:tc>
        <w:tc>
          <w:tcPr>
            <w:tcW w:w="0" w:type="auto"/>
            <w:shd w:val="clear" w:color="auto" w:fill="auto"/>
            <w:hideMark/>
          </w:tcPr>
          <w:p w14:paraId="499CCDF0" w14:textId="77777777" w:rsidR="009B6230" w:rsidRPr="00C63860" w:rsidRDefault="009B6230" w:rsidP="009B6230">
            <w:pPr>
              <w:ind w:right="248"/>
              <w:jc w:val="right"/>
              <w:rPr>
                <w:rFonts w:cstheme="minorHAnsi"/>
              </w:rPr>
            </w:pPr>
            <w:r w:rsidRPr="00C63860">
              <w:rPr>
                <w:rFonts w:cstheme="minorHAnsi"/>
              </w:rPr>
              <w:t>0.45</w:t>
            </w:r>
          </w:p>
        </w:tc>
      </w:tr>
      <w:tr w:rsidR="009B6230" w:rsidRPr="00C63860" w14:paraId="44583BEF" w14:textId="77777777" w:rsidTr="00C63860">
        <w:trPr>
          <w:cantSplit/>
        </w:trPr>
        <w:tc>
          <w:tcPr>
            <w:tcW w:w="0" w:type="auto"/>
            <w:shd w:val="clear" w:color="auto" w:fill="auto"/>
            <w:noWrap/>
            <w:vAlign w:val="center"/>
            <w:hideMark/>
          </w:tcPr>
          <w:p w14:paraId="3C236D47" w14:textId="77777777" w:rsidR="009B6230" w:rsidRPr="00C63860" w:rsidRDefault="009B6230" w:rsidP="009B6230">
            <w:pPr>
              <w:rPr>
                <w:rFonts w:cstheme="minorHAnsi"/>
                <w:color w:val="000000"/>
              </w:rPr>
            </w:pPr>
            <w:r w:rsidRPr="00C63860">
              <w:rPr>
                <w:rFonts w:cstheme="minorHAnsi"/>
              </w:rPr>
              <w:t>LOS within 90 days (mean)</w:t>
            </w:r>
          </w:p>
        </w:tc>
        <w:tc>
          <w:tcPr>
            <w:tcW w:w="0" w:type="auto"/>
            <w:shd w:val="clear" w:color="auto" w:fill="auto"/>
            <w:noWrap/>
            <w:vAlign w:val="center"/>
            <w:hideMark/>
          </w:tcPr>
          <w:p w14:paraId="3624106A" w14:textId="77777777" w:rsidR="009B6230" w:rsidRPr="00C63860" w:rsidRDefault="009B6230" w:rsidP="009B6230">
            <w:pPr>
              <w:jc w:val="right"/>
              <w:rPr>
                <w:rFonts w:cstheme="minorHAnsi"/>
                <w:color w:val="000000"/>
              </w:rPr>
            </w:pPr>
            <w:r w:rsidRPr="00C63860">
              <w:rPr>
                <w:rFonts w:cstheme="minorHAnsi"/>
              </w:rPr>
              <w:t>2.28</w:t>
            </w:r>
          </w:p>
        </w:tc>
        <w:tc>
          <w:tcPr>
            <w:tcW w:w="0" w:type="auto"/>
            <w:shd w:val="clear" w:color="auto" w:fill="auto"/>
            <w:noWrap/>
            <w:vAlign w:val="center"/>
            <w:hideMark/>
          </w:tcPr>
          <w:p w14:paraId="20968142" w14:textId="51CE2497"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–5</w:t>
            </w:r>
            <w:r w:rsidRPr="00C63860">
              <w:rPr>
                <w:rFonts w:cstheme="minorHAnsi"/>
              </w:rPr>
              <w:t>.23, 9.80)</w:t>
            </w:r>
          </w:p>
        </w:tc>
        <w:tc>
          <w:tcPr>
            <w:tcW w:w="0" w:type="auto"/>
            <w:shd w:val="clear" w:color="auto" w:fill="auto"/>
            <w:hideMark/>
          </w:tcPr>
          <w:p w14:paraId="48E99725" w14:textId="77777777" w:rsidR="009B6230" w:rsidRPr="00C63860" w:rsidRDefault="009B6230" w:rsidP="009B6230">
            <w:pPr>
              <w:ind w:right="248"/>
              <w:jc w:val="right"/>
              <w:rPr>
                <w:rFonts w:cstheme="minorHAnsi"/>
              </w:rPr>
            </w:pPr>
            <w:r w:rsidRPr="00C63860">
              <w:rPr>
                <w:rFonts w:cstheme="minorHAnsi"/>
              </w:rPr>
              <w:t>0.55</w:t>
            </w:r>
          </w:p>
        </w:tc>
      </w:tr>
      <w:tr w:rsidR="009B6230" w:rsidRPr="00C63860" w14:paraId="04092F17" w14:textId="77777777" w:rsidTr="00C63860">
        <w:trPr>
          <w:cantSplit/>
        </w:trPr>
        <w:tc>
          <w:tcPr>
            <w:tcW w:w="0" w:type="auto"/>
            <w:shd w:val="clear" w:color="auto" w:fill="auto"/>
            <w:noWrap/>
            <w:vAlign w:val="center"/>
            <w:hideMark/>
          </w:tcPr>
          <w:p w14:paraId="08002355" w14:textId="77777777" w:rsidR="009B6230" w:rsidRPr="00C63860" w:rsidRDefault="009B6230" w:rsidP="009B6230">
            <w:pPr>
              <w:rPr>
                <w:rFonts w:cstheme="minorHAnsi"/>
                <w:color w:val="000000"/>
              </w:rPr>
            </w:pPr>
            <w:r w:rsidRPr="00C63860">
              <w:rPr>
                <w:rFonts w:cstheme="minorHAnsi"/>
              </w:rPr>
              <w:t>Emergency Readmissions within 30 days (%)</w:t>
            </w:r>
          </w:p>
        </w:tc>
        <w:tc>
          <w:tcPr>
            <w:tcW w:w="0" w:type="auto"/>
            <w:shd w:val="clear" w:color="auto" w:fill="auto"/>
            <w:noWrap/>
            <w:vAlign w:val="center"/>
            <w:hideMark/>
          </w:tcPr>
          <w:p w14:paraId="08582FC0" w14:textId="32AF529D" w:rsidR="009B6230" w:rsidRPr="00C63860" w:rsidRDefault="00C63860" w:rsidP="009B6230">
            <w:pPr>
              <w:jc w:val="right"/>
              <w:rPr>
                <w:rFonts w:cstheme="minorHAnsi"/>
                <w:color w:val="000000"/>
              </w:rPr>
            </w:pPr>
            <w:r w:rsidRPr="00C63860">
              <w:rPr>
                <w:rFonts w:cstheme="minorHAnsi"/>
                <w:color w:val="00B0F0"/>
              </w:rPr>
              <w:t>–1</w:t>
            </w:r>
            <w:r w:rsidR="009B6230" w:rsidRPr="00C63860">
              <w:rPr>
                <w:rFonts w:cstheme="minorHAnsi"/>
              </w:rPr>
              <w:t>2.6</w:t>
            </w:r>
          </w:p>
        </w:tc>
        <w:tc>
          <w:tcPr>
            <w:tcW w:w="0" w:type="auto"/>
            <w:shd w:val="clear" w:color="auto" w:fill="auto"/>
            <w:noWrap/>
            <w:vAlign w:val="center"/>
            <w:hideMark/>
          </w:tcPr>
          <w:p w14:paraId="3A2C913F" w14:textId="553373A8"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–2</w:t>
            </w:r>
            <w:r w:rsidRPr="00C63860">
              <w:rPr>
                <w:rFonts w:cstheme="minorHAnsi"/>
              </w:rPr>
              <w:t>1.</w:t>
            </w:r>
            <w:r w:rsidR="00C63860" w:rsidRPr="00C63860">
              <w:rPr>
                <w:rFonts w:cstheme="minorHAnsi"/>
                <w:color w:val="00B0F0"/>
              </w:rPr>
              <w:t>4, -3</w:t>
            </w:r>
            <w:r w:rsidRPr="00C63860">
              <w:rPr>
                <w:rFonts w:cstheme="minorHAnsi"/>
              </w:rPr>
              <w:t>.77)</w:t>
            </w:r>
          </w:p>
        </w:tc>
        <w:tc>
          <w:tcPr>
            <w:tcW w:w="0" w:type="auto"/>
            <w:shd w:val="clear" w:color="auto" w:fill="auto"/>
            <w:hideMark/>
          </w:tcPr>
          <w:p w14:paraId="5ACCF613" w14:textId="77777777" w:rsidR="009B6230" w:rsidRPr="00C63860" w:rsidRDefault="009B6230" w:rsidP="009B6230">
            <w:pPr>
              <w:ind w:right="248"/>
              <w:jc w:val="right"/>
              <w:rPr>
                <w:rFonts w:cstheme="minorHAnsi"/>
              </w:rPr>
            </w:pPr>
            <w:r w:rsidRPr="00C63860">
              <w:rPr>
                <w:rFonts w:cstheme="minorHAnsi"/>
              </w:rPr>
              <w:t>0.005</w:t>
            </w:r>
          </w:p>
        </w:tc>
      </w:tr>
      <w:tr w:rsidR="009B6230" w:rsidRPr="00C63860" w14:paraId="4784A9F1" w14:textId="77777777" w:rsidTr="00C63860">
        <w:trPr>
          <w:cantSplit/>
        </w:trPr>
        <w:tc>
          <w:tcPr>
            <w:tcW w:w="0" w:type="auto"/>
            <w:shd w:val="clear" w:color="auto" w:fill="auto"/>
            <w:noWrap/>
            <w:vAlign w:val="center"/>
          </w:tcPr>
          <w:p w14:paraId="6F604651" w14:textId="77777777" w:rsidR="009B6230" w:rsidRPr="00C63860" w:rsidRDefault="009B6230" w:rsidP="009B6230">
            <w:pPr>
              <w:rPr>
                <w:rFonts w:cstheme="minorHAnsi"/>
                <w:color w:val="000000"/>
              </w:rPr>
            </w:pPr>
          </w:p>
        </w:tc>
        <w:tc>
          <w:tcPr>
            <w:tcW w:w="0" w:type="auto"/>
            <w:shd w:val="clear" w:color="auto" w:fill="auto"/>
            <w:noWrap/>
            <w:vAlign w:val="center"/>
          </w:tcPr>
          <w:p w14:paraId="5B767DC5" w14:textId="77777777" w:rsidR="009B6230" w:rsidRPr="00C63860" w:rsidRDefault="009B6230" w:rsidP="009B6230">
            <w:pPr>
              <w:jc w:val="right"/>
              <w:rPr>
                <w:rFonts w:cstheme="minorHAnsi"/>
                <w:color w:val="000000"/>
              </w:rPr>
            </w:pPr>
          </w:p>
        </w:tc>
        <w:tc>
          <w:tcPr>
            <w:tcW w:w="0" w:type="auto"/>
            <w:shd w:val="clear" w:color="auto" w:fill="auto"/>
            <w:noWrap/>
            <w:vAlign w:val="center"/>
          </w:tcPr>
          <w:p w14:paraId="6BC3E194" w14:textId="77777777" w:rsidR="009B6230" w:rsidRPr="00C63860" w:rsidRDefault="009B6230" w:rsidP="009B6230">
            <w:pPr>
              <w:ind w:right="456"/>
              <w:jc w:val="right"/>
              <w:rPr>
                <w:rFonts w:cstheme="minorHAnsi"/>
                <w:color w:val="000000"/>
              </w:rPr>
            </w:pPr>
          </w:p>
        </w:tc>
        <w:tc>
          <w:tcPr>
            <w:tcW w:w="0" w:type="auto"/>
            <w:shd w:val="clear" w:color="auto" w:fill="auto"/>
          </w:tcPr>
          <w:p w14:paraId="54B1E400" w14:textId="77777777" w:rsidR="009B6230" w:rsidRPr="00C63860" w:rsidRDefault="009B6230" w:rsidP="009B6230">
            <w:pPr>
              <w:ind w:right="248"/>
              <w:jc w:val="right"/>
              <w:rPr>
                <w:rFonts w:cstheme="minorHAnsi"/>
              </w:rPr>
            </w:pPr>
          </w:p>
        </w:tc>
      </w:tr>
      <w:tr w:rsidR="009B6230" w:rsidRPr="00C63860" w14:paraId="0D3731EB" w14:textId="77777777" w:rsidTr="00C63860">
        <w:trPr>
          <w:cantSplit/>
        </w:trPr>
        <w:tc>
          <w:tcPr>
            <w:tcW w:w="0" w:type="auto"/>
            <w:shd w:val="clear" w:color="auto" w:fill="auto"/>
            <w:noWrap/>
            <w:vAlign w:val="center"/>
            <w:hideMark/>
          </w:tcPr>
          <w:p w14:paraId="47786981" w14:textId="77777777" w:rsidR="009B6230" w:rsidRPr="00C63860" w:rsidRDefault="009B6230" w:rsidP="009B6230">
            <w:pPr>
              <w:rPr>
                <w:rFonts w:cstheme="minorHAnsi"/>
                <w:b/>
                <w:bCs/>
                <w:color w:val="000000"/>
              </w:rPr>
            </w:pPr>
            <w:r w:rsidRPr="00C63860">
              <w:rPr>
                <w:rFonts w:cstheme="minorHAnsi"/>
                <w:b/>
                <w:bCs/>
              </w:rPr>
              <w:t>Hernia</w:t>
            </w:r>
          </w:p>
        </w:tc>
        <w:tc>
          <w:tcPr>
            <w:tcW w:w="0" w:type="auto"/>
            <w:shd w:val="clear" w:color="auto" w:fill="auto"/>
            <w:noWrap/>
            <w:vAlign w:val="bottom"/>
          </w:tcPr>
          <w:p w14:paraId="7174435E" w14:textId="77777777" w:rsidR="009B6230" w:rsidRPr="00C63860" w:rsidRDefault="009B6230" w:rsidP="009B6230">
            <w:pPr>
              <w:jc w:val="right"/>
              <w:rPr>
                <w:rFonts w:cstheme="minorHAnsi"/>
                <w:b/>
                <w:bCs/>
              </w:rPr>
            </w:pPr>
          </w:p>
        </w:tc>
        <w:tc>
          <w:tcPr>
            <w:tcW w:w="0" w:type="auto"/>
            <w:shd w:val="clear" w:color="auto" w:fill="auto"/>
            <w:noWrap/>
            <w:vAlign w:val="bottom"/>
          </w:tcPr>
          <w:p w14:paraId="14494E42" w14:textId="77777777" w:rsidR="009B6230" w:rsidRPr="00C63860" w:rsidRDefault="009B6230" w:rsidP="009B6230">
            <w:pPr>
              <w:ind w:right="456"/>
              <w:jc w:val="right"/>
              <w:rPr>
                <w:rFonts w:cstheme="minorHAnsi"/>
              </w:rPr>
            </w:pPr>
          </w:p>
        </w:tc>
        <w:tc>
          <w:tcPr>
            <w:tcW w:w="0" w:type="auto"/>
            <w:shd w:val="clear" w:color="auto" w:fill="auto"/>
          </w:tcPr>
          <w:p w14:paraId="5B4BFD09" w14:textId="77777777" w:rsidR="009B6230" w:rsidRPr="00C63860" w:rsidRDefault="009B6230" w:rsidP="009B6230">
            <w:pPr>
              <w:ind w:right="248"/>
              <w:jc w:val="right"/>
              <w:rPr>
                <w:rFonts w:cstheme="minorHAnsi"/>
              </w:rPr>
            </w:pPr>
          </w:p>
        </w:tc>
      </w:tr>
      <w:tr w:rsidR="009B6230" w:rsidRPr="00C63860" w14:paraId="154B98B4" w14:textId="77777777" w:rsidTr="00C63860">
        <w:trPr>
          <w:cantSplit/>
        </w:trPr>
        <w:tc>
          <w:tcPr>
            <w:tcW w:w="0" w:type="auto"/>
            <w:shd w:val="clear" w:color="auto" w:fill="auto"/>
            <w:noWrap/>
            <w:vAlign w:val="center"/>
            <w:hideMark/>
          </w:tcPr>
          <w:p w14:paraId="1982AA36" w14:textId="77777777" w:rsidR="009B6230" w:rsidRPr="00C63860" w:rsidRDefault="009B6230" w:rsidP="009B6230">
            <w:pPr>
              <w:rPr>
                <w:rFonts w:cstheme="minorHAnsi"/>
                <w:color w:val="000000"/>
              </w:rPr>
            </w:pPr>
            <w:r w:rsidRPr="00C63860">
              <w:rPr>
                <w:rFonts w:cstheme="minorHAnsi"/>
              </w:rPr>
              <w:t>DAOH within 90 days (mean)</w:t>
            </w:r>
          </w:p>
        </w:tc>
        <w:tc>
          <w:tcPr>
            <w:tcW w:w="0" w:type="auto"/>
            <w:shd w:val="clear" w:color="auto" w:fill="auto"/>
            <w:noWrap/>
            <w:vAlign w:val="center"/>
            <w:hideMark/>
          </w:tcPr>
          <w:p w14:paraId="44C8A90B" w14:textId="4AD89FEF" w:rsidR="009B6230" w:rsidRPr="00C63860" w:rsidRDefault="00C63860" w:rsidP="009B6230">
            <w:pPr>
              <w:jc w:val="right"/>
              <w:rPr>
                <w:rFonts w:cstheme="minorHAnsi"/>
                <w:color w:val="000000"/>
              </w:rPr>
            </w:pPr>
            <w:r w:rsidRPr="00C63860">
              <w:rPr>
                <w:rFonts w:cstheme="minorHAnsi"/>
                <w:color w:val="00B0F0"/>
              </w:rPr>
              <w:t>–0</w:t>
            </w:r>
            <w:r w:rsidR="009B6230" w:rsidRPr="00C63860">
              <w:rPr>
                <w:rFonts w:cstheme="minorHAnsi"/>
              </w:rPr>
              <w:t>.07</w:t>
            </w:r>
          </w:p>
        </w:tc>
        <w:tc>
          <w:tcPr>
            <w:tcW w:w="0" w:type="auto"/>
            <w:shd w:val="clear" w:color="auto" w:fill="auto"/>
            <w:noWrap/>
            <w:vAlign w:val="center"/>
            <w:hideMark/>
          </w:tcPr>
          <w:p w14:paraId="6109D326" w14:textId="257748A8"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–2</w:t>
            </w:r>
            <w:r w:rsidRPr="00C63860">
              <w:rPr>
                <w:rFonts w:cstheme="minorHAnsi"/>
              </w:rPr>
              <w:t>.40, 2.25)</w:t>
            </w:r>
          </w:p>
        </w:tc>
        <w:tc>
          <w:tcPr>
            <w:tcW w:w="0" w:type="auto"/>
            <w:shd w:val="clear" w:color="auto" w:fill="auto"/>
            <w:hideMark/>
          </w:tcPr>
          <w:p w14:paraId="50F655EF" w14:textId="77777777" w:rsidR="009B6230" w:rsidRPr="00C63860" w:rsidRDefault="009B6230" w:rsidP="009B6230">
            <w:pPr>
              <w:ind w:right="248"/>
              <w:jc w:val="right"/>
              <w:rPr>
                <w:rFonts w:cstheme="minorHAnsi"/>
              </w:rPr>
            </w:pPr>
            <w:r w:rsidRPr="00C63860">
              <w:rPr>
                <w:rFonts w:cstheme="minorHAnsi"/>
              </w:rPr>
              <w:t>0.95</w:t>
            </w:r>
          </w:p>
        </w:tc>
      </w:tr>
      <w:tr w:rsidR="009B6230" w:rsidRPr="00C63860" w14:paraId="5BEA931B" w14:textId="77777777" w:rsidTr="00C63860">
        <w:trPr>
          <w:cantSplit/>
        </w:trPr>
        <w:tc>
          <w:tcPr>
            <w:tcW w:w="0" w:type="auto"/>
            <w:shd w:val="clear" w:color="auto" w:fill="auto"/>
            <w:noWrap/>
            <w:vAlign w:val="center"/>
            <w:hideMark/>
          </w:tcPr>
          <w:p w14:paraId="102DF3EE" w14:textId="77777777" w:rsidR="009B6230" w:rsidRPr="00C63860" w:rsidRDefault="009B6230" w:rsidP="009B6230">
            <w:pPr>
              <w:rPr>
                <w:rFonts w:cstheme="minorHAnsi"/>
                <w:color w:val="000000"/>
              </w:rPr>
            </w:pPr>
            <w:r w:rsidRPr="00C63860">
              <w:rPr>
                <w:rFonts w:cstheme="minorHAnsi"/>
              </w:rPr>
              <w:t>Mortality within 90 days (%)</w:t>
            </w:r>
          </w:p>
        </w:tc>
        <w:tc>
          <w:tcPr>
            <w:tcW w:w="0" w:type="auto"/>
            <w:shd w:val="clear" w:color="auto" w:fill="auto"/>
            <w:noWrap/>
            <w:vAlign w:val="center"/>
            <w:hideMark/>
          </w:tcPr>
          <w:p w14:paraId="4DF3B053" w14:textId="199A63CC" w:rsidR="009B6230" w:rsidRPr="00C63860" w:rsidRDefault="00C63860" w:rsidP="009B6230">
            <w:pPr>
              <w:jc w:val="right"/>
              <w:rPr>
                <w:rFonts w:cstheme="minorHAnsi"/>
                <w:color w:val="000000"/>
              </w:rPr>
            </w:pPr>
            <w:r w:rsidRPr="00C63860">
              <w:rPr>
                <w:rFonts w:cstheme="minorHAnsi"/>
                <w:color w:val="00B0F0"/>
              </w:rPr>
              <w:t>–4</w:t>
            </w:r>
            <w:r w:rsidR="009B6230" w:rsidRPr="00C63860">
              <w:rPr>
                <w:rFonts w:cstheme="minorHAnsi"/>
              </w:rPr>
              <w:t>.99</w:t>
            </w:r>
          </w:p>
        </w:tc>
        <w:tc>
          <w:tcPr>
            <w:tcW w:w="0" w:type="auto"/>
            <w:shd w:val="clear" w:color="auto" w:fill="auto"/>
            <w:noWrap/>
            <w:vAlign w:val="center"/>
            <w:hideMark/>
          </w:tcPr>
          <w:p w14:paraId="18C04934" w14:textId="474DFF4E"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–9</w:t>
            </w:r>
            <w:r w:rsidRPr="00C63860">
              <w:rPr>
                <w:rFonts w:cstheme="minorHAnsi"/>
              </w:rPr>
              <w:t>.9</w:t>
            </w:r>
            <w:r w:rsidR="00C63860" w:rsidRPr="00C63860">
              <w:rPr>
                <w:rFonts w:cstheme="minorHAnsi"/>
                <w:color w:val="00B0F0"/>
              </w:rPr>
              <w:t>2, -0</w:t>
            </w:r>
            <w:r w:rsidRPr="00C63860">
              <w:rPr>
                <w:rFonts w:cstheme="minorHAnsi"/>
              </w:rPr>
              <w:t>.07)</w:t>
            </w:r>
          </w:p>
        </w:tc>
        <w:tc>
          <w:tcPr>
            <w:tcW w:w="0" w:type="auto"/>
            <w:shd w:val="clear" w:color="auto" w:fill="auto"/>
            <w:hideMark/>
          </w:tcPr>
          <w:p w14:paraId="23C51CB2" w14:textId="77777777" w:rsidR="009B6230" w:rsidRPr="00C63860" w:rsidRDefault="009B6230" w:rsidP="009B6230">
            <w:pPr>
              <w:ind w:right="248"/>
              <w:jc w:val="right"/>
              <w:rPr>
                <w:rFonts w:cstheme="minorHAnsi"/>
              </w:rPr>
            </w:pPr>
            <w:r w:rsidRPr="00C63860">
              <w:rPr>
                <w:rFonts w:cstheme="minorHAnsi"/>
              </w:rPr>
              <w:t>0.047</w:t>
            </w:r>
          </w:p>
        </w:tc>
      </w:tr>
      <w:tr w:rsidR="009B6230" w:rsidRPr="00C63860" w14:paraId="660B5080" w14:textId="77777777" w:rsidTr="00C63860">
        <w:trPr>
          <w:cantSplit/>
        </w:trPr>
        <w:tc>
          <w:tcPr>
            <w:tcW w:w="0" w:type="auto"/>
            <w:shd w:val="clear" w:color="auto" w:fill="auto"/>
            <w:noWrap/>
            <w:vAlign w:val="center"/>
            <w:hideMark/>
          </w:tcPr>
          <w:p w14:paraId="511A66B9" w14:textId="77777777" w:rsidR="009B6230" w:rsidRPr="00C63860" w:rsidRDefault="009B6230" w:rsidP="009B6230">
            <w:pPr>
              <w:rPr>
                <w:rFonts w:cstheme="minorHAnsi"/>
                <w:color w:val="000000"/>
              </w:rPr>
            </w:pPr>
            <w:r w:rsidRPr="00C63860">
              <w:rPr>
                <w:rFonts w:cstheme="minorHAnsi"/>
              </w:rPr>
              <w:t>LOS within 90 days (mean)</w:t>
            </w:r>
          </w:p>
        </w:tc>
        <w:tc>
          <w:tcPr>
            <w:tcW w:w="0" w:type="auto"/>
            <w:shd w:val="clear" w:color="auto" w:fill="auto"/>
            <w:noWrap/>
            <w:vAlign w:val="center"/>
            <w:hideMark/>
          </w:tcPr>
          <w:p w14:paraId="7CE3A0F8" w14:textId="77777777" w:rsidR="009B6230" w:rsidRPr="00C63860" w:rsidRDefault="009B6230" w:rsidP="009B6230">
            <w:pPr>
              <w:jc w:val="right"/>
              <w:rPr>
                <w:rFonts w:cstheme="minorHAnsi"/>
                <w:color w:val="000000"/>
              </w:rPr>
            </w:pPr>
            <w:r w:rsidRPr="00C63860">
              <w:rPr>
                <w:rFonts w:cstheme="minorHAnsi"/>
              </w:rPr>
              <w:t>2.35</w:t>
            </w:r>
          </w:p>
        </w:tc>
        <w:tc>
          <w:tcPr>
            <w:tcW w:w="0" w:type="auto"/>
            <w:shd w:val="clear" w:color="auto" w:fill="auto"/>
            <w:noWrap/>
            <w:vAlign w:val="center"/>
            <w:hideMark/>
          </w:tcPr>
          <w:p w14:paraId="43A33B29" w14:textId="77777777" w:rsidR="009B6230" w:rsidRPr="00C63860" w:rsidRDefault="009B6230" w:rsidP="009B6230">
            <w:pPr>
              <w:ind w:right="456"/>
              <w:jc w:val="right"/>
              <w:rPr>
                <w:rFonts w:cstheme="minorHAnsi"/>
                <w:color w:val="000000"/>
              </w:rPr>
            </w:pPr>
            <w:r w:rsidRPr="00C63860">
              <w:rPr>
                <w:rFonts w:cstheme="minorHAnsi"/>
              </w:rPr>
              <w:t>(1.54, 3.15)</w:t>
            </w:r>
          </w:p>
        </w:tc>
        <w:tc>
          <w:tcPr>
            <w:tcW w:w="0" w:type="auto"/>
            <w:shd w:val="clear" w:color="auto" w:fill="auto"/>
            <w:hideMark/>
          </w:tcPr>
          <w:p w14:paraId="6821717A" w14:textId="3208C9AF" w:rsidR="009B6230" w:rsidRPr="00C63860" w:rsidRDefault="00C63860" w:rsidP="009B6230">
            <w:pPr>
              <w:ind w:right="248"/>
              <w:jc w:val="right"/>
              <w:rPr>
                <w:rFonts w:cstheme="minorHAnsi"/>
              </w:rPr>
            </w:pPr>
            <w:r w:rsidRPr="00C63860">
              <w:rPr>
                <w:rFonts w:cstheme="minorHAnsi"/>
                <w:color w:val="00B0F0"/>
              </w:rPr>
              <w:t>&lt; 0</w:t>
            </w:r>
            <w:r w:rsidR="009B6230" w:rsidRPr="00C63860">
              <w:rPr>
                <w:rFonts w:cstheme="minorHAnsi"/>
              </w:rPr>
              <w:t>.001</w:t>
            </w:r>
          </w:p>
        </w:tc>
      </w:tr>
      <w:tr w:rsidR="009B6230" w:rsidRPr="00C63860" w14:paraId="5CF90754" w14:textId="77777777" w:rsidTr="00C63860">
        <w:trPr>
          <w:cantSplit/>
        </w:trPr>
        <w:tc>
          <w:tcPr>
            <w:tcW w:w="0" w:type="auto"/>
            <w:shd w:val="clear" w:color="auto" w:fill="auto"/>
            <w:noWrap/>
            <w:vAlign w:val="center"/>
            <w:hideMark/>
          </w:tcPr>
          <w:p w14:paraId="5B1C3004" w14:textId="77777777" w:rsidR="009B6230" w:rsidRPr="00C63860" w:rsidRDefault="009B6230" w:rsidP="009B6230">
            <w:pPr>
              <w:rPr>
                <w:rFonts w:cstheme="minorHAnsi"/>
                <w:color w:val="000000"/>
              </w:rPr>
            </w:pPr>
            <w:r w:rsidRPr="00C63860">
              <w:rPr>
                <w:rFonts w:cstheme="minorHAnsi"/>
              </w:rPr>
              <w:t>Emergency Readmissions within 30 days (%)</w:t>
            </w:r>
          </w:p>
        </w:tc>
        <w:tc>
          <w:tcPr>
            <w:tcW w:w="0" w:type="auto"/>
            <w:shd w:val="clear" w:color="auto" w:fill="auto"/>
            <w:noWrap/>
            <w:vAlign w:val="center"/>
            <w:hideMark/>
          </w:tcPr>
          <w:p w14:paraId="636AEA69" w14:textId="7689B8E5" w:rsidR="009B6230" w:rsidRPr="00C63860" w:rsidRDefault="00C63860" w:rsidP="009B6230">
            <w:pPr>
              <w:jc w:val="right"/>
              <w:rPr>
                <w:rFonts w:cstheme="minorHAnsi"/>
                <w:color w:val="000000"/>
              </w:rPr>
            </w:pPr>
            <w:r w:rsidRPr="00C63860">
              <w:rPr>
                <w:rFonts w:cstheme="minorHAnsi"/>
                <w:color w:val="00B0F0"/>
              </w:rPr>
              <w:t>–4</w:t>
            </w:r>
            <w:r w:rsidR="009B6230" w:rsidRPr="00C63860">
              <w:rPr>
                <w:rFonts w:cstheme="minorHAnsi"/>
              </w:rPr>
              <w:t>.05</w:t>
            </w:r>
          </w:p>
        </w:tc>
        <w:tc>
          <w:tcPr>
            <w:tcW w:w="0" w:type="auto"/>
            <w:shd w:val="clear" w:color="auto" w:fill="auto"/>
            <w:noWrap/>
            <w:vAlign w:val="center"/>
            <w:hideMark/>
          </w:tcPr>
          <w:p w14:paraId="17AF99A2" w14:textId="4978C2D1"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–7</w:t>
            </w:r>
            <w:r w:rsidRPr="00C63860">
              <w:rPr>
                <w:rFonts w:cstheme="minorHAnsi"/>
              </w:rPr>
              <w:t>.7</w:t>
            </w:r>
            <w:r w:rsidR="00C63860" w:rsidRPr="00C63860">
              <w:rPr>
                <w:rFonts w:cstheme="minorHAnsi"/>
                <w:color w:val="00B0F0"/>
              </w:rPr>
              <w:t>7, -0</w:t>
            </w:r>
            <w:r w:rsidRPr="00C63860">
              <w:rPr>
                <w:rFonts w:cstheme="minorHAnsi"/>
              </w:rPr>
              <w:t>.33)</w:t>
            </w:r>
          </w:p>
        </w:tc>
        <w:tc>
          <w:tcPr>
            <w:tcW w:w="0" w:type="auto"/>
            <w:shd w:val="clear" w:color="auto" w:fill="auto"/>
            <w:hideMark/>
          </w:tcPr>
          <w:p w14:paraId="46A5AD60" w14:textId="77777777" w:rsidR="009B6230" w:rsidRPr="00C63860" w:rsidRDefault="009B6230" w:rsidP="009B6230">
            <w:pPr>
              <w:ind w:right="248"/>
              <w:jc w:val="right"/>
              <w:rPr>
                <w:rFonts w:cstheme="minorHAnsi"/>
              </w:rPr>
            </w:pPr>
            <w:r w:rsidRPr="00C63860">
              <w:rPr>
                <w:rFonts w:cstheme="minorHAnsi"/>
              </w:rPr>
              <w:t>0.033</w:t>
            </w:r>
          </w:p>
        </w:tc>
      </w:tr>
      <w:tr w:rsidR="009B6230" w:rsidRPr="00C63860" w14:paraId="48974563" w14:textId="77777777" w:rsidTr="00C63860">
        <w:trPr>
          <w:cantSplit/>
        </w:trPr>
        <w:tc>
          <w:tcPr>
            <w:tcW w:w="0" w:type="auto"/>
            <w:shd w:val="clear" w:color="auto" w:fill="auto"/>
            <w:noWrap/>
            <w:vAlign w:val="center"/>
          </w:tcPr>
          <w:p w14:paraId="589AF7FB" w14:textId="77777777" w:rsidR="009B6230" w:rsidRPr="00C63860" w:rsidRDefault="009B6230" w:rsidP="009B6230">
            <w:pPr>
              <w:rPr>
                <w:rFonts w:cstheme="minorHAnsi"/>
                <w:color w:val="000000"/>
              </w:rPr>
            </w:pPr>
          </w:p>
        </w:tc>
        <w:tc>
          <w:tcPr>
            <w:tcW w:w="0" w:type="auto"/>
            <w:shd w:val="clear" w:color="auto" w:fill="auto"/>
            <w:noWrap/>
            <w:vAlign w:val="center"/>
          </w:tcPr>
          <w:p w14:paraId="4C28498D" w14:textId="77777777" w:rsidR="009B6230" w:rsidRPr="00C63860" w:rsidRDefault="009B6230" w:rsidP="009B6230">
            <w:pPr>
              <w:jc w:val="right"/>
              <w:rPr>
                <w:rFonts w:cstheme="minorHAnsi"/>
                <w:color w:val="000000"/>
              </w:rPr>
            </w:pPr>
          </w:p>
        </w:tc>
        <w:tc>
          <w:tcPr>
            <w:tcW w:w="0" w:type="auto"/>
            <w:shd w:val="clear" w:color="auto" w:fill="auto"/>
            <w:noWrap/>
            <w:vAlign w:val="center"/>
          </w:tcPr>
          <w:p w14:paraId="409A793E" w14:textId="77777777" w:rsidR="009B6230" w:rsidRPr="00C63860" w:rsidRDefault="009B6230" w:rsidP="009B6230">
            <w:pPr>
              <w:ind w:right="456"/>
              <w:jc w:val="right"/>
              <w:rPr>
                <w:rFonts w:cstheme="minorHAnsi"/>
                <w:color w:val="000000"/>
              </w:rPr>
            </w:pPr>
          </w:p>
        </w:tc>
        <w:tc>
          <w:tcPr>
            <w:tcW w:w="0" w:type="auto"/>
            <w:shd w:val="clear" w:color="auto" w:fill="auto"/>
          </w:tcPr>
          <w:p w14:paraId="012A2342" w14:textId="77777777" w:rsidR="009B6230" w:rsidRPr="00C63860" w:rsidRDefault="009B6230" w:rsidP="009B6230">
            <w:pPr>
              <w:ind w:right="248"/>
              <w:jc w:val="right"/>
              <w:rPr>
                <w:rFonts w:cstheme="minorHAnsi"/>
              </w:rPr>
            </w:pPr>
          </w:p>
        </w:tc>
      </w:tr>
      <w:tr w:rsidR="009B6230" w:rsidRPr="00C63860" w14:paraId="24717FA2" w14:textId="77777777" w:rsidTr="00C63860">
        <w:trPr>
          <w:cantSplit/>
        </w:trPr>
        <w:tc>
          <w:tcPr>
            <w:tcW w:w="0" w:type="auto"/>
            <w:shd w:val="clear" w:color="auto" w:fill="auto"/>
            <w:noWrap/>
            <w:vAlign w:val="center"/>
            <w:hideMark/>
          </w:tcPr>
          <w:p w14:paraId="6E4DB976" w14:textId="5D78403B" w:rsidR="009B6230" w:rsidRPr="00C63860" w:rsidRDefault="009B6230" w:rsidP="009B6230">
            <w:pPr>
              <w:rPr>
                <w:rFonts w:cstheme="minorHAnsi"/>
                <w:b/>
                <w:bCs/>
                <w:color w:val="000000"/>
              </w:rPr>
            </w:pPr>
            <w:r w:rsidRPr="00C63860">
              <w:rPr>
                <w:rFonts w:cstheme="minorHAnsi"/>
                <w:b/>
                <w:bCs/>
              </w:rPr>
              <w:t>Intestinal obstruction</w:t>
            </w:r>
            <w:r w:rsidR="00C63860" w:rsidRPr="00C63860">
              <w:rPr>
                <w:rFonts w:cstheme="minorHAnsi"/>
                <w:b/>
                <w:bCs/>
              </w:rPr>
              <w:t xml:space="preserve"> </w:t>
            </w:r>
          </w:p>
        </w:tc>
        <w:tc>
          <w:tcPr>
            <w:tcW w:w="0" w:type="auto"/>
            <w:shd w:val="clear" w:color="auto" w:fill="auto"/>
            <w:noWrap/>
            <w:vAlign w:val="bottom"/>
          </w:tcPr>
          <w:p w14:paraId="36D0C8A6" w14:textId="77777777" w:rsidR="009B6230" w:rsidRPr="00C63860" w:rsidRDefault="009B6230" w:rsidP="009B6230">
            <w:pPr>
              <w:jc w:val="right"/>
              <w:rPr>
                <w:rFonts w:cstheme="minorHAnsi"/>
                <w:b/>
                <w:bCs/>
              </w:rPr>
            </w:pPr>
          </w:p>
        </w:tc>
        <w:tc>
          <w:tcPr>
            <w:tcW w:w="0" w:type="auto"/>
            <w:shd w:val="clear" w:color="auto" w:fill="auto"/>
            <w:noWrap/>
            <w:vAlign w:val="bottom"/>
          </w:tcPr>
          <w:p w14:paraId="02AE47A0" w14:textId="77777777" w:rsidR="009B6230" w:rsidRPr="00C63860" w:rsidRDefault="009B6230" w:rsidP="009B6230">
            <w:pPr>
              <w:ind w:right="456"/>
              <w:jc w:val="right"/>
              <w:rPr>
                <w:rFonts w:cstheme="minorHAnsi"/>
              </w:rPr>
            </w:pPr>
          </w:p>
        </w:tc>
        <w:tc>
          <w:tcPr>
            <w:tcW w:w="0" w:type="auto"/>
            <w:shd w:val="clear" w:color="auto" w:fill="auto"/>
          </w:tcPr>
          <w:p w14:paraId="72FE64E4" w14:textId="77777777" w:rsidR="009B6230" w:rsidRPr="00C63860" w:rsidRDefault="009B6230" w:rsidP="009B6230">
            <w:pPr>
              <w:ind w:right="248"/>
              <w:jc w:val="right"/>
              <w:rPr>
                <w:rFonts w:cstheme="minorHAnsi"/>
              </w:rPr>
            </w:pPr>
          </w:p>
        </w:tc>
      </w:tr>
      <w:tr w:rsidR="009B6230" w:rsidRPr="00C63860" w14:paraId="093CCCF3" w14:textId="77777777" w:rsidTr="00C63860">
        <w:trPr>
          <w:cantSplit/>
        </w:trPr>
        <w:tc>
          <w:tcPr>
            <w:tcW w:w="0" w:type="auto"/>
            <w:shd w:val="clear" w:color="auto" w:fill="auto"/>
            <w:noWrap/>
            <w:vAlign w:val="center"/>
            <w:hideMark/>
          </w:tcPr>
          <w:p w14:paraId="313A3D8C" w14:textId="77777777" w:rsidR="009B6230" w:rsidRPr="00C63860" w:rsidRDefault="009B6230" w:rsidP="009B6230">
            <w:pPr>
              <w:rPr>
                <w:rFonts w:cstheme="minorHAnsi"/>
                <w:color w:val="000000"/>
              </w:rPr>
            </w:pPr>
            <w:r w:rsidRPr="00C63860">
              <w:rPr>
                <w:rFonts w:cstheme="minorHAnsi"/>
              </w:rPr>
              <w:t>DAOH within 90 days (mean)</w:t>
            </w:r>
          </w:p>
        </w:tc>
        <w:tc>
          <w:tcPr>
            <w:tcW w:w="0" w:type="auto"/>
            <w:shd w:val="clear" w:color="auto" w:fill="auto"/>
            <w:noWrap/>
            <w:vAlign w:val="center"/>
            <w:hideMark/>
          </w:tcPr>
          <w:p w14:paraId="2257F994" w14:textId="77777777" w:rsidR="009B6230" w:rsidRPr="00C63860" w:rsidRDefault="009B6230" w:rsidP="009B6230">
            <w:pPr>
              <w:jc w:val="right"/>
              <w:rPr>
                <w:rFonts w:cstheme="minorHAnsi"/>
                <w:color w:val="000000"/>
              </w:rPr>
            </w:pPr>
            <w:r w:rsidRPr="00C63860">
              <w:rPr>
                <w:rFonts w:cstheme="minorHAnsi"/>
              </w:rPr>
              <w:t>3.32</w:t>
            </w:r>
          </w:p>
        </w:tc>
        <w:tc>
          <w:tcPr>
            <w:tcW w:w="0" w:type="auto"/>
            <w:shd w:val="clear" w:color="auto" w:fill="auto"/>
            <w:noWrap/>
            <w:vAlign w:val="center"/>
            <w:hideMark/>
          </w:tcPr>
          <w:p w14:paraId="240E74D0" w14:textId="760C296B"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–3</w:t>
            </w:r>
            <w:r w:rsidRPr="00C63860">
              <w:rPr>
                <w:rFonts w:cstheme="minorHAnsi"/>
              </w:rPr>
              <w:t>.13, 9.76)</w:t>
            </w:r>
          </w:p>
        </w:tc>
        <w:tc>
          <w:tcPr>
            <w:tcW w:w="0" w:type="auto"/>
            <w:shd w:val="clear" w:color="auto" w:fill="auto"/>
            <w:hideMark/>
          </w:tcPr>
          <w:p w14:paraId="59A4256E" w14:textId="77777777" w:rsidR="009B6230" w:rsidRPr="00C63860" w:rsidRDefault="009B6230" w:rsidP="009B6230">
            <w:pPr>
              <w:ind w:right="248"/>
              <w:jc w:val="right"/>
              <w:rPr>
                <w:rFonts w:cstheme="minorHAnsi"/>
              </w:rPr>
            </w:pPr>
            <w:r w:rsidRPr="00C63860">
              <w:rPr>
                <w:rFonts w:cstheme="minorHAnsi"/>
              </w:rPr>
              <w:t>0.31</w:t>
            </w:r>
          </w:p>
        </w:tc>
      </w:tr>
      <w:tr w:rsidR="009B6230" w:rsidRPr="00C63860" w14:paraId="57FC6502" w14:textId="77777777" w:rsidTr="00C63860">
        <w:trPr>
          <w:cantSplit/>
        </w:trPr>
        <w:tc>
          <w:tcPr>
            <w:tcW w:w="0" w:type="auto"/>
            <w:shd w:val="clear" w:color="auto" w:fill="auto"/>
            <w:noWrap/>
            <w:vAlign w:val="center"/>
            <w:hideMark/>
          </w:tcPr>
          <w:p w14:paraId="7C8F2D89" w14:textId="77777777" w:rsidR="009B6230" w:rsidRPr="00C63860" w:rsidRDefault="009B6230" w:rsidP="009B6230">
            <w:pPr>
              <w:rPr>
                <w:rFonts w:cstheme="minorHAnsi"/>
                <w:color w:val="000000"/>
              </w:rPr>
            </w:pPr>
            <w:r w:rsidRPr="00C63860">
              <w:rPr>
                <w:rFonts w:cstheme="minorHAnsi"/>
              </w:rPr>
              <w:t>Mortality within 90 days (%)</w:t>
            </w:r>
          </w:p>
        </w:tc>
        <w:tc>
          <w:tcPr>
            <w:tcW w:w="0" w:type="auto"/>
            <w:shd w:val="clear" w:color="auto" w:fill="auto"/>
            <w:noWrap/>
            <w:vAlign w:val="center"/>
            <w:hideMark/>
          </w:tcPr>
          <w:p w14:paraId="1BD2E7DE" w14:textId="77777777" w:rsidR="009B6230" w:rsidRPr="00C63860" w:rsidRDefault="009B6230" w:rsidP="009B6230">
            <w:pPr>
              <w:jc w:val="right"/>
              <w:rPr>
                <w:rFonts w:cstheme="minorHAnsi"/>
                <w:color w:val="000000"/>
              </w:rPr>
            </w:pPr>
            <w:r w:rsidRPr="00C63860">
              <w:rPr>
                <w:rFonts w:cstheme="minorHAnsi"/>
              </w:rPr>
              <w:t>1.73</w:t>
            </w:r>
          </w:p>
        </w:tc>
        <w:tc>
          <w:tcPr>
            <w:tcW w:w="0" w:type="auto"/>
            <w:shd w:val="clear" w:color="auto" w:fill="auto"/>
            <w:noWrap/>
            <w:vAlign w:val="center"/>
            <w:hideMark/>
          </w:tcPr>
          <w:p w14:paraId="0515F64F" w14:textId="6ABA07AD"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–4</w:t>
            </w:r>
            <w:r w:rsidRPr="00C63860">
              <w:rPr>
                <w:rFonts w:cstheme="minorHAnsi"/>
              </w:rPr>
              <w:t>.93, 8.38)</w:t>
            </w:r>
          </w:p>
        </w:tc>
        <w:tc>
          <w:tcPr>
            <w:tcW w:w="0" w:type="auto"/>
            <w:shd w:val="clear" w:color="auto" w:fill="auto"/>
            <w:hideMark/>
          </w:tcPr>
          <w:p w14:paraId="3696F331" w14:textId="77777777" w:rsidR="009B6230" w:rsidRPr="00C63860" w:rsidRDefault="009B6230" w:rsidP="009B6230">
            <w:pPr>
              <w:ind w:right="248"/>
              <w:jc w:val="right"/>
              <w:rPr>
                <w:rFonts w:cstheme="minorHAnsi"/>
              </w:rPr>
            </w:pPr>
            <w:r w:rsidRPr="00C63860">
              <w:rPr>
                <w:rFonts w:cstheme="minorHAnsi"/>
              </w:rPr>
              <w:t>0.61</w:t>
            </w:r>
          </w:p>
        </w:tc>
      </w:tr>
      <w:tr w:rsidR="009B6230" w:rsidRPr="00C63860" w14:paraId="457F9B58" w14:textId="77777777" w:rsidTr="00C63860">
        <w:trPr>
          <w:cantSplit/>
        </w:trPr>
        <w:tc>
          <w:tcPr>
            <w:tcW w:w="0" w:type="auto"/>
            <w:shd w:val="clear" w:color="auto" w:fill="auto"/>
            <w:noWrap/>
            <w:vAlign w:val="center"/>
            <w:hideMark/>
          </w:tcPr>
          <w:p w14:paraId="08BBDF23" w14:textId="77777777" w:rsidR="009B6230" w:rsidRPr="00C63860" w:rsidRDefault="009B6230" w:rsidP="009B6230">
            <w:pPr>
              <w:rPr>
                <w:rFonts w:cstheme="minorHAnsi"/>
                <w:color w:val="000000"/>
              </w:rPr>
            </w:pPr>
            <w:r w:rsidRPr="00C63860">
              <w:rPr>
                <w:rFonts w:cstheme="minorHAnsi"/>
              </w:rPr>
              <w:t>LOS within 90 days (mean)</w:t>
            </w:r>
          </w:p>
        </w:tc>
        <w:tc>
          <w:tcPr>
            <w:tcW w:w="0" w:type="auto"/>
            <w:shd w:val="clear" w:color="auto" w:fill="auto"/>
            <w:noWrap/>
            <w:vAlign w:val="center"/>
            <w:hideMark/>
          </w:tcPr>
          <w:p w14:paraId="2A6BFA4A" w14:textId="62349CAB" w:rsidR="009B6230" w:rsidRPr="00C63860" w:rsidRDefault="00C63860" w:rsidP="009B6230">
            <w:pPr>
              <w:jc w:val="right"/>
              <w:rPr>
                <w:rFonts w:cstheme="minorHAnsi"/>
                <w:color w:val="000000"/>
              </w:rPr>
            </w:pPr>
            <w:r w:rsidRPr="00C63860">
              <w:rPr>
                <w:rFonts w:cstheme="minorHAnsi"/>
                <w:color w:val="00B0F0"/>
              </w:rPr>
              <w:t>–4</w:t>
            </w:r>
            <w:r w:rsidR="009B6230" w:rsidRPr="00C63860">
              <w:rPr>
                <w:rFonts w:cstheme="minorHAnsi"/>
              </w:rPr>
              <w:t>.25</w:t>
            </w:r>
          </w:p>
        </w:tc>
        <w:tc>
          <w:tcPr>
            <w:tcW w:w="0" w:type="auto"/>
            <w:shd w:val="clear" w:color="auto" w:fill="auto"/>
            <w:noWrap/>
            <w:vAlign w:val="center"/>
            <w:hideMark/>
          </w:tcPr>
          <w:p w14:paraId="0B6DA1AF" w14:textId="747A465A"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–7</w:t>
            </w:r>
            <w:r w:rsidRPr="00C63860">
              <w:rPr>
                <w:rFonts w:cstheme="minorHAnsi"/>
              </w:rPr>
              <w:t>.5</w:t>
            </w:r>
            <w:r w:rsidR="00C63860" w:rsidRPr="00C63860">
              <w:rPr>
                <w:rFonts w:cstheme="minorHAnsi"/>
                <w:color w:val="00B0F0"/>
              </w:rPr>
              <w:t>0, -1</w:t>
            </w:r>
            <w:r w:rsidRPr="00C63860">
              <w:rPr>
                <w:rFonts w:cstheme="minorHAnsi"/>
              </w:rPr>
              <w:t>.00)</w:t>
            </w:r>
          </w:p>
        </w:tc>
        <w:tc>
          <w:tcPr>
            <w:tcW w:w="0" w:type="auto"/>
            <w:shd w:val="clear" w:color="auto" w:fill="auto"/>
            <w:hideMark/>
          </w:tcPr>
          <w:p w14:paraId="07E05DEA" w14:textId="77777777" w:rsidR="009B6230" w:rsidRPr="00C63860" w:rsidRDefault="009B6230" w:rsidP="009B6230">
            <w:pPr>
              <w:ind w:right="248"/>
              <w:jc w:val="right"/>
              <w:rPr>
                <w:rFonts w:cstheme="minorHAnsi"/>
              </w:rPr>
            </w:pPr>
            <w:r w:rsidRPr="00C63860">
              <w:rPr>
                <w:rFonts w:cstheme="minorHAnsi"/>
              </w:rPr>
              <w:t>0.01</w:t>
            </w:r>
          </w:p>
        </w:tc>
      </w:tr>
      <w:tr w:rsidR="009B6230" w:rsidRPr="00C63860" w14:paraId="58875A7E" w14:textId="77777777" w:rsidTr="00C63860">
        <w:trPr>
          <w:cantSplit/>
        </w:trPr>
        <w:tc>
          <w:tcPr>
            <w:tcW w:w="0" w:type="auto"/>
            <w:shd w:val="clear" w:color="auto" w:fill="auto"/>
            <w:noWrap/>
            <w:vAlign w:val="center"/>
            <w:hideMark/>
          </w:tcPr>
          <w:p w14:paraId="4B7767CB" w14:textId="77777777" w:rsidR="009B6230" w:rsidRPr="00C63860" w:rsidRDefault="009B6230" w:rsidP="009B6230">
            <w:pPr>
              <w:rPr>
                <w:rFonts w:cstheme="minorHAnsi"/>
                <w:color w:val="000000"/>
              </w:rPr>
            </w:pPr>
            <w:r w:rsidRPr="00C63860">
              <w:rPr>
                <w:rFonts w:cstheme="minorHAnsi"/>
              </w:rPr>
              <w:t>Emergency Readmissions within 30 days (%)</w:t>
            </w:r>
          </w:p>
        </w:tc>
        <w:tc>
          <w:tcPr>
            <w:tcW w:w="0" w:type="auto"/>
            <w:shd w:val="clear" w:color="auto" w:fill="auto"/>
            <w:noWrap/>
            <w:vAlign w:val="center"/>
            <w:hideMark/>
          </w:tcPr>
          <w:p w14:paraId="3ED5B502" w14:textId="2ED21F64" w:rsidR="009B6230" w:rsidRPr="00C63860" w:rsidRDefault="00C63860" w:rsidP="009B6230">
            <w:pPr>
              <w:jc w:val="right"/>
              <w:rPr>
                <w:rFonts w:cstheme="minorHAnsi"/>
                <w:color w:val="000000"/>
              </w:rPr>
            </w:pPr>
            <w:r w:rsidRPr="00C63860">
              <w:rPr>
                <w:rFonts w:cstheme="minorHAnsi"/>
                <w:color w:val="00B0F0"/>
              </w:rPr>
              <w:t>–8</w:t>
            </w:r>
            <w:r w:rsidR="009B6230" w:rsidRPr="00C63860">
              <w:rPr>
                <w:rFonts w:cstheme="minorHAnsi"/>
              </w:rPr>
              <w:t>.62</w:t>
            </w:r>
          </w:p>
        </w:tc>
        <w:tc>
          <w:tcPr>
            <w:tcW w:w="0" w:type="auto"/>
            <w:shd w:val="clear" w:color="auto" w:fill="auto"/>
            <w:noWrap/>
            <w:vAlign w:val="center"/>
            <w:hideMark/>
          </w:tcPr>
          <w:p w14:paraId="278DD489" w14:textId="1E350B24" w:rsidR="009B6230" w:rsidRPr="00C63860" w:rsidRDefault="009B6230" w:rsidP="009B6230">
            <w:pPr>
              <w:ind w:right="456"/>
              <w:jc w:val="right"/>
              <w:rPr>
                <w:rFonts w:cstheme="minorHAnsi"/>
                <w:color w:val="000000"/>
              </w:rPr>
            </w:pPr>
            <w:r w:rsidRPr="00C63860">
              <w:rPr>
                <w:rFonts w:cstheme="minorHAnsi"/>
              </w:rPr>
              <w:t>(</w:t>
            </w:r>
            <w:r w:rsidR="00C63860" w:rsidRPr="00C63860">
              <w:rPr>
                <w:rFonts w:cstheme="minorHAnsi"/>
                <w:color w:val="00B0F0"/>
              </w:rPr>
              <w:t>–1</w:t>
            </w:r>
            <w:r w:rsidRPr="00C63860">
              <w:rPr>
                <w:rFonts w:cstheme="minorHAnsi"/>
              </w:rPr>
              <w:t>8.1, 0.88)</w:t>
            </w:r>
          </w:p>
        </w:tc>
        <w:tc>
          <w:tcPr>
            <w:tcW w:w="0" w:type="auto"/>
            <w:shd w:val="clear" w:color="auto" w:fill="auto"/>
            <w:hideMark/>
          </w:tcPr>
          <w:p w14:paraId="071F5833" w14:textId="77777777" w:rsidR="009B6230" w:rsidRPr="00C63860" w:rsidRDefault="009B6230" w:rsidP="009B6230">
            <w:pPr>
              <w:ind w:right="248"/>
              <w:jc w:val="right"/>
              <w:rPr>
                <w:rFonts w:cstheme="minorHAnsi"/>
              </w:rPr>
            </w:pPr>
            <w:r w:rsidRPr="00C63860">
              <w:rPr>
                <w:rFonts w:cstheme="minorHAnsi"/>
              </w:rPr>
              <w:t>0.075</w:t>
            </w:r>
          </w:p>
        </w:tc>
      </w:tr>
    </w:tbl>
    <w:p w14:paraId="77A3E5F9" w14:textId="77777777" w:rsidR="00C63860" w:rsidRPr="00C63860" w:rsidRDefault="00C63860"/>
    <w:p w14:paraId="11E17003" w14:textId="54C0995F" w:rsidR="009B6230" w:rsidRPr="00C63860" w:rsidRDefault="009B6230" w:rsidP="00F23137">
      <w:pPr>
        <w:spacing w:before="240" w:after="240" w:line="276" w:lineRule="auto"/>
        <w:rPr>
          <w:b/>
          <w:bCs/>
        </w:rPr>
      </w:pPr>
      <w:r w:rsidRPr="00C63860">
        <w:rPr>
          <w:b/>
          <w:bCs/>
        </w:rPr>
        <w:t>3.3.</w:t>
      </w:r>
      <w:r w:rsidR="007C747D" w:rsidRPr="00C63860">
        <w:rPr>
          <w:b/>
          <w:bCs/>
        </w:rPr>
        <w:t>5</w:t>
      </w:r>
      <w:r w:rsidRPr="00C63860">
        <w:rPr>
          <w:b/>
          <w:bCs/>
        </w:rPr>
        <w:t xml:space="preserve"> Subgroup results</w:t>
      </w:r>
    </w:p>
    <w:p w14:paraId="3F1BB943" w14:textId="1807C983" w:rsidR="00C63860" w:rsidRPr="00C63860" w:rsidRDefault="009B6230" w:rsidP="00F23137">
      <w:pPr>
        <w:spacing w:before="240" w:after="240" w:line="276" w:lineRule="auto"/>
      </w:pPr>
      <w:r w:rsidRPr="00C63860">
        <w:t xml:space="preserve">Subgroup results for the relative effectiveness of ES versus NES treatment strategies </w:t>
      </w:r>
      <w:r w:rsidRPr="00C63860" w:rsidDel="00076921">
        <w:t>in</w:t>
      </w:r>
      <w:r w:rsidRPr="00C63860">
        <w:t xml:space="preserve"> the five conditions are reported for DAOH and its two components (90-day mortality and LOS) in </w:t>
      </w:r>
      <w:r w:rsidR="00C63860" w:rsidRPr="00C63860">
        <w:rPr>
          <w:i/>
          <w:color w:val="FF0000"/>
        </w:rPr>
        <w:t>Figures 2</w:t>
      </w:r>
      <w:r w:rsidRPr="00C63860">
        <w:t>. Outcomes are reported according to age, sex, level of frailty, number of co-morbidities, sub-diagnosis and year of admission.</w:t>
      </w:r>
    </w:p>
    <w:p w14:paraId="65815544" w14:textId="79A31FC0" w:rsidR="00C63860" w:rsidRPr="00C63860" w:rsidRDefault="009B6230" w:rsidP="00F23137">
      <w:pPr>
        <w:spacing w:before="240" w:after="240" w:line="276" w:lineRule="auto"/>
      </w:pPr>
      <w:r w:rsidRPr="00C63860">
        <w:t>The relative effectiveness of ES versus NES strategies was modified by age group, with ES less effective for some subgroups of older patients. For patients aged 80</w:t>
      </w:r>
      <w:r w:rsidR="00C63860" w:rsidRPr="00C63860">
        <w:rPr>
          <w:color w:val="00B0F0"/>
        </w:rPr>
        <w:t>–8</w:t>
      </w:r>
      <w:r w:rsidRPr="00C63860">
        <w:t xml:space="preserve">4, and 85 or over, the difference in the mean DAOH following ES versus NES were: appendicitis </w:t>
      </w:r>
      <w:r w:rsidR="00C63860" w:rsidRPr="00C63860">
        <w:rPr>
          <w:color w:val="00B0F0"/>
        </w:rPr>
        <w:t>–1</w:t>
      </w:r>
      <w:r w:rsidRPr="00C63860">
        <w:t>1.81</w:t>
      </w:r>
      <w:r w:rsidR="006C56D2" w:rsidRPr="00C63860">
        <w:t xml:space="preserve"> </w:t>
      </w:r>
      <w:r w:rsidR="008F2396" w:rsidRPr="00C63860">
        <w:t>(</w:t>
      </w:r>
      <w:r w:rsidR="00C63860" w:rsidRPr="00C63860">
        <w:rPr>
          <w:color w:val="00B0F0"/>
        </w:rPr>
        <w:t>–1</w:t>
      </w:r>
      <w:r w:rsidR="008F2396" w:rsidRPr="00C63860">
        <w:t>6.5</w:t>
      </w:r>
      <w:r w:rsidR="00C63860" w:rsidRPr="00C63860">
        <w:rPr>
          <w:color w:val="00B0F0"/>
        </w:rPr>
        <w:t>0, -7</w:t>
      </w:r>
      <w:r w:rsidR="006C56D2" w:rsidRPr="00C63860">
        <w:t>.12)</w:t>
      </w:r>
      <w:r w:rsidRPr="00C63860">
        <w:t xml:space="preserve"> and </w:t>
      </w:r>
      <w:r w:rsidR="00C63860" w:rsidRPr="00C63860">
        <w:rPr>
          <w:color w:val="00B0F0"/>
        </w:rPr>
        <w:t>–0</w:t>
      </w:r>
      <w:r w:rsidRPr="00C63860">
        <w:t>.58</w:t>
      </w:r>
      <w:r w:rsidR="006C56D2" w:rsidRPr="00C63860">
        <w:t xml:space="preserve"> </w:t>
      </w:r>
      <w:r w:rsidR="009B26B0" w:rsidRPr="00C63860">
        <w:t>(</w:t>
      </w:r>
      <w:r w:rsidR="00C63860" w:rsidRPr="00C63860">
        <w:rPr>
          <w:color w:val="00B0F0"/>
        </w:rPr>
        <w:t>–9</w:t>
      </w:r>
      <w:r w:rsidR="009B26B0" w:rsidRPr="00C63860">
        <w:t>.12,7.95)</w:t>
      </w:r>
      <w:r w:rsidRPr="00C63860">
        <w:t xml:space="preserve"> (</w:t>
      </w:r>
      <w:r w:rsidR="00C63860" w:rsidRPr="00C63860">
        <w:rPr>
          <w:i/>
          <w:color w:val="FF0000"/>
        </w:rPr>
        <w:t>Figure 2</w:t>
      </w:r>
      <w:r w:rsidRPr="00C63860">
        <w:t>), cholelithiasis 0.76</w:t>
      </w:r>
      <w:r w:rsidR="009B26B0" w:rsidRPr="00C63860">
        <w:t xml:space="preserve"> (</w:t>
      </w:r>
      <w:r w:rsidR="00C63860" w:rsidRPr="00C63860">
        <w:rPr>
          <w:color w:val="00B0F0"/>
        </w:rPr>
        <w:t>–2</w:t>
      </w:r>
      <w:r w:rsidR="00605B2B" w:rsidRPr="00C63860">
        <w:t>.04, 3.57)</w:t>
      </w:r>
      <w:r w:rsidRPr="00C63860">
        <w:t xml:space="preserve"> and </w:t>
      </w:r>
      <w:r w:rsidR="00C63860" w:rsidRPr="00C63860">
        <w:rPr>
          <w:color w:val="00B0F0"/>
        </w:rPr>
        <w:t>–4</w:t>
      </w:r>
      <w:r w:rsidRPr="00C63860">
        <w:t>.31</w:t>
      </w:r>
      <w:r w:rsidR="00605B2B" w:rsidRPr="00C63860">
        <w:t xml:space="preserve"> (</w:t>
      </w:r>
      <w:r w:rsidR="00C63860" w:rsidRPr="00C63860">
        <w:rPr>
          <w:color w:val="00B0F0"/>
        </w:rPr>
        <w:t>–9</w:t>
      </w:r>
      <w:r w:rsidR="00A8379D" w:rsidRPr="00C63860">
        <w:t>.76, 1.14)</w:t>
      </w:r>
      <w:r w:rsidRPr="00C63860">
        <w:t xml:space="preserve"> (</w:t>
      </w:r>
      <w:r w:rsidR="00C63860" w:rsidRPr="00C63860">
        <w:rPr>
          <w:i/>
          <w:color w:val="FF0000"/>
        </w:rPr>
        <w:t>Figure 5</w:t>
      </w:r>
      <w:r w:rsidRPr="00C63860">
        <w:t xml:space="preserve">), diverticular disease </w:t>
      </w:r>
      <w:r w:rsidR="00C63860" w:rsidRPr="00C63860">
        <w:rPr>
          <w:color w:val="00B0F0"/>
        </w:rPr>
        <w:t>–1</w:t>
      </w:r>
      <w:r w:rsidRPr="00C63860">
        <w:t>2.49</w:t>
      </w:r>
      <w:r w:rsidR="00A8379D" w:rsidRPr="00C63860">
        <w:t xml:space="preserve"> (</w:t>
      </w:r>
      <w:r w:rsidR="00C63860" w:rsidRPr="00C63860">
        <w:rPr>
          <w:color w:val="00B0F0"/>
        </w:rPr>
        <w:t>–3</w:t>
      </w:r>
      <w:r w:rsidR="00162F4A" w:rsidRPr="00C63860">
        <w:t>5</w:t>
      </w:r>
      <w:r w:rsidR="00057746" w:rsidRPr="00C63860">
        <w:t>.21, 10.23)</w:t>
      </w:r>
      <w:r w:rsidRPr="00C63860">
        <w:t xml:space="preserve"> and </w:t>
      </w:r>
      <w:r w:rsidR="00C63860" w:rsidRPr="00C63860">
        <w:rPr>
          <w:color w:val="00B0F0"/>
        </w:rPr>
        <w:t>–2</w:t>
      </w:r>
      <w:r w:rsidRPr="00C63860">
        <w:t>3.98</w:t>
      </w:r>
      <w:r w:rsidR="00057746" w:rsidRPr="00C63860">
        <w:t xml:space="preserve"> (</w:t>
      </w:r>
      <w:r w:rsidR="00C63860" w:rsidRPr="00C63860">
        <w:rPr>
          <w:color w:val="00B0F0"/>
        </w:rPr>
        <w:t>–5</w:t>
      </w:r>
      <w:r w:rsidR="00430505" w:rsidRPr="00C63860">
        <w:t>3.65, 5.68)</w:t>
      </w:r>
      <w:r w:rsidRPr="00C63860">
        <w:t xml:space="preserve"> (</w:t>
      </w:r>
      <w:r w:rsidR="00C63860" w:rsidRPr="00C63860">
        <w:rPr>
          <w:i/>
          <w:color w:val="FF0000"/>
        </w:rPr>
        <w:t>Figure 8</w:t>
      </w:r>
      <w:r w:rsidRPr="00C63860">
        <w:t xml:space="preserve">), hernia </w:t>
      </w:r>
      <w:r w:rsidR="00C63860" w:rsidRPr="00C63860">
        <w:rPr>
          <w:color w:val="00B0F0"/>
        </w:rPr>
        <w:t>–3</w:t>
      </w:r>
      <w:r w:rsidRPr="00C63860">
        <w:t>.34</w:t>
      </w:r>
      <w:r w:rsidR="00430505" w:rsidRPr="00C63860">
        <w:t xml:space="preserve"> (</w:t>
      </w:r>
      <w:r w:rsidR="00C63860" w:rsidRPr="00C63860">
        <w:rPr>
          <w:color w:val="00B0F0"/>
        </w:rPr>
        <w:t>–7</w:t>
      </w:r>
      <w:r w:rsidR="00552ACE" w:rsidRPr="00C63860">
        <w:t xml:space="preserve">.89, </w:t>
      </w:r>
      <w:r w:rsidR="0022549E" w:rsidRPr="00C63860">
        <w:t>1.21)</w:t>
      </w:r>
      <w:r w:rsidRPr="00C63860">
        <w:t xml:space="preserve"> and </w:t>
      </w:r>
      <w:r w:rsidR="00C63860" w:rsidRPr="00C63860">
        <w:rPr>
          <w:color w:val="00B0F0"/>
        </w:rPr>
        <w:t>–4</w:t>
      </w:r>
      <w:r w:rsidRPr="00C63860">
        <w:t>.78</w:t>
      </w:r>
      <w:r w:rsidR="0022549E" w:rsidRPr="00C63860">
        <w:t xml:space="preserve"> (</w:t>
      </w:r>
      <w:r w:rsidR="00C63860" w:rsidRPr="00C63860">
        <w:rPr>
          <w:color w:val="00B0F0"/>
        </w:rPr>
        <w:t>–9</w:t>
      </w:r>
      <w:r w:rsidR="00C23692" w:rsidRPr="00C63860">
        <w:t>.88, 0.31)</w:t>
      </w:r>
      <w:r w:rsidRPr="00C63860">
        <w:t xml:space="preserve"> (</w:t>
      </w:r>
      <w:r w:rsidR="00C63860" w:rsidRPr="00C63860">
        <w:rPr>
          <w:i/>
          <w:color w:val="FF0000"/>
        </w:rPr>
        <w:t>Figure 11</w:t>
      </w:r>
      <w:r w:rsidRPr="00C63860">
        <w:t xml:space="preserve">), and intestinal obstruction </w:t>
      </w:r>
      <w:r w:rsidR="00C63860" w:rsidRPr="00C63860">
        <w:rPr>
          <w:color w:val="00B0F0"/>
        </w:rPr>
        <w:t>–2</w:t>
      </w:r>
      <w:r w:rsidRPr="00C63860">
        <w:t>4.7</w:t>
      </w:r>
      <w:r w:rsidR="00FD3645" w:rsidRPr="00C63860">
        <w:t xml:space="preserve"> (</w:t>
      </w:r>
      <w:r w:rsidR="00C63860" w:rsidRPr="00C63860">
        <w:rPr>
          <w:color w:val="00B0F0"/>
        </w:rPr>
        <w:t>–3</w:t>
      </w:r>
      <w:r w:rsidR="00C81FC3" w:rsidRPr="00C63860">
        <w:t>9.8</w:t>
      </w:r>
      <w:r w:rsidR="00C63860" w:rsidRPr="00C63860">
        <w:rPr>
          <w:color w:val="00B0F0"/>
        </w:rPr>
        <w:t>2, -9</w:t>
      </w:r>
      <w:r w:rsidR="00503DA7" w:rsidRPr="00C63860">
        <w:t>.58)</w:t>
      </w:r>
      <w:r w:rsidRPr="00C63860">
        <w:t xml:space="preserve"> and </w:t>
      </w:r>
      <w:r w:rsidR="00C63860" w:rsidRPr="00C63860">
        <w:rPr>
          <w:color w:val="00B0F0"/>
        </w:rPr>
        <w:t>–8</w:t>
      </w:r>
      <w:r w:rsidRPr="00C63860">
        <w:t>.64</w:t>
      </w:r>
      <w:r w:rsidR="00503DA7" w:rsidRPr="00C63860">
        <w:t xml:space="preserve"> (</w:t>
      </w:r>
      <w:r w:rsidR="00C63860" w:rsidRPr="00C63860">
        <w:rPr>
          <w:color w:val="00B0F0"/>
        </w:rPr>
        <w:t>–1</w:t>
      </w:r>
      <w:r w:rsidR="00C12001" w:rsidRPr="00C63860">
        <w:t>9.35, 2.07)</w:t>
      </w:r>
      <w:r w:rsidRPr="00C63860">
        <w:t xml:space="preserve"> (</w:t>
      </w:r>
      <w:r w:rsidR="00C63860" w:rsidRPr="00C63860">
        <w:rPr>
          <w:i/>
          <w:color w:val="FF0000"/>
        </w:rPr>
        <w:t>Figure 14</w:t>
      </w:r>
      <w:r w:rsidRPr="00C63860">
        <w:t>). Conversely, ES was more effective than NES in some younger age groups for cholelithiasis, hernia and intestinal obstruction. In four conditions</w:t>
      </w:r>
      <w:r w:rsidR="00957008" w:rsidRPr="00C63860">
        <w:t>,</w:t>
      </w:r>
      <w:r w:rsidRPr="00C63860">
        <w:t xml:space="preserve"> the comparatively lower DAOH with ES strategies in those aged 85 years and over was, in part, </w:t>
      </w:r>
      <w:r w:rsidRPr="00C63860">
        <w:rPr>
          <w:highlight w:val="magenta"/>
        </w:rPr>
        <w:t>due to</w:t>
      </w:r>
      <w:r w:rsidRPr="00C63860">
        <w:t xml:space="preserve"> higher 90-day mortality. The exception was hernia, for which lower 90-day mortality with ES (</w:t>
      </w:r>
      <w:r w:rsidR="00C63860" w:rsidRPr="00C63860">
        <w:rPr>
          <w:i/>
          <w:color w:val="FF0000"/>
        </w:rPr>
        <w:t>Figure 12</w:t>
      </w:r>
      <w:r w:rsidRPr="00C63860">
        <w:t>) was offset by longer LOS (</w:t>
      </w:r>
      <w:r w:rsidR="00C63860" w:rsidRPr="00C63860">
        <w:rPr>
          <w:i/>
          <w:color w:val="FF0000"/>
        </w:rPr>
        <w:t>Figure 13</w:t>
      </w:r>
      <w:r w:rsidRPr="00C63860">
        <w:t>).</w:t>
      </w:r>
    </w:p>
    <w:p w14:paraId="08CE78B3" w14:textId="349E5869" w:rsidR="009B6230" w:rsidRPr="00C63860" w:rsidRDefault="009B6230" w:rsidP="00F23137">
      <w:pPr>
        <w:spacing w:before="240" w:after="240" w:line="276" w:lineRule="auto"/>
      </w:pPr>
      <w:r w:rsidRPr="00C63860">
        <w:t xml:space="preserve">There was some evidence that </w:t>
      </w:r>
      <w:r w:rsidR="00611B5C" w:rsidRPr="00C63860">
        <w:t xml:space="preserve">mean </w:t>
      </w:r>
      <w:r w:rsidRPr="00C63860">
        <w:t xml:space="preserve">DAOH were lower by </w:t>
      </w:r>
      <w:r w:rsidR="00C63860" w:rsidRPr="00C63860">
        <w:rPr>
          <w:color w:val="00B0F0"/>
        </w:rPr>
        <w:t>–1</w:t>
      </w:r>
      <w:r w:rsidRPr="00C63860">
        <w:t>.46</w:t>
      </w:r>
      <w:r w:rsidR="00611B5C" w:rsidRPr="00C63860">
        <w:t xml:space="preserve"> (</w:t>
      </w:r>
      <w:r w:rsidR="00C63860" w:rsidRPr="00C63860">
        <w:rPr>
          <w:color w:val="00B0F0"/>
        </w:rPr>
        <w:t>–2</w:t>
      </w:r>
      <w:r w:rsidR="00B217C7" w:rsidRPr="00C63860">
        <w:t>.7</w:t>
      </w:r>
      <w:r w:rsidR="00C63860" w:rsidRPr="00C63860">
        <w:rPr>
          <w:color w:val="00B0F0"/>
        </w:rPr>
        <w:t>6, -0</w:t>
      </w:r>
      <w:r w:rsidR="00B217C7" w:rsidRPr="00C63860">
        <w:t>.16)</w:t>
      </w:r>
      <w:r w:rsidRPr="00C63860">
        <w:t xml:space="preserve"> with ES </w:t>
      </w:r>
      <w:r w:rsidR="009C5AFE" w:rsidRPr="00C63860">
        <w:t xml:space="preserve">versus NES </w:t>
      </w:r>
      <w:r w:rsidRPr="00C63860">
        <w:t>strategies for females with appendicitis (</w:t>
      </w:r>
      <w:r w:rsidR="00C63860" w:rsidRPr="00C63860">
        <w:rPr>
          <w:i/>
          <w:color w:val="FF0000"/>
        </w:rPr>
        <w:t>Figure 2</w:t>
      </w:r>
      <w:r w:rsidRPr="00C63860">
        <w:t>)</w:t>
      </w:r>
      <w:r w:rsidR="009C5AFE" w:rsidRPr="00C63860">
        <w:t>,</w:t>
      </w:r>
      <w:r w:rsidRPr="00C63860">
        <w:t xml:space="preserve"> whereas DAOH were higher by 0.77</w:t>
      </w:r>
      <w:r w:rsidR="00B217C7" w:rsidRPr="00C63860">
        <w:t xml:space="preserve"> (</w:t>
      </w:r>
      <w:r w:rsidR="00DE361A" w:rsidRPr="00C63860">
        <w:t>0.11, 1.43)</w:t>
      </w:r>
      <w:r w:rsidRPr="00C63860">
        <w:t xml:space="preserve"> with ES in females with cholelithiasis (</w:t>
      </w:r>
      <w:r w:rsidR="00C63860" w:rsidRPr="00C63860">
        <w:rPr>
          <w:i/>
          <w:color w:val="FF0000"/>
        </w:rPr>
        <w:t>Figure 5</w:t>
      </w:r>
      <w:r w:rsidRPr="00C63860">
        <w:t>) and higher by 9.69</w:t>
      </w:r>
      <w:r w:rsidR="00DE361A" w:rsidRPr="00C63860">
        <w:t xml:space="preserve"> (</w:t>
      </w:r>
      <w:r w:rsidR="002A465F" w:rsidRPr="00C63860">
        <w:t>4.19, 15.20)</w:t>
      </w:r>
      <w:r w:rsidRPr="00C63860">
        <w:t xml:space="preserve"> with ES in females with intestinal obstruction</w:t>
      </w:r>
      <w:r w:rsidR="00957008" w:rsidRPr="00C63860">
        <w:t xml:space="preserve"> </w:t>
      </w:r>
      <w:r w:rsidRPr="00C63860">
        <w:t>(</w:t>
      </w:r>
      <w:r w:rsidR="00C63860" w:rsidRPr="00C63860">
        <w:rPr>
          <w:i/>
          <w:color w:val="FF0000"/>
        </w:rPr>
        <w:t>Figure 14</w:t>
      </w:r>
      <w:r w:rsidRPr="00C63860">
        <w:t>)</w:t>
      </w:r>
      <w:r w:rsidR="00957008" w:rsidRPr="00C63860">
        <w:t>.</w:t>
      </w:r>
      <w:r w:rsidRPr="00C63860">
        <w:t xml:space="preserve"> Similar differences were not observed in men with these conditions.</w:t>
      </w:r>
    </w:p>
    <w:p w14:paraId="7AD83C2B" w14:textId="5FAB2D64" w:rsidR="00C63860" w:rsidRPr="00C63860" w:rsidRDefault="009B6230" w:rsidP="00F23137">
      <w:pPr>
        <w:spacing w:before="240" w:after="240" w:line="276" w:lineRule="auto"/>
      </w:pPr>
      <w:r w:rsidRPr="00C63860">
        <w:t xml:space="preserve">The largest differences in DAOH were observed in patients categorised as being severely frail using to the SCARF index. In all five conditions DAOH at 90 days were lower following ES, with mean differences for appendicitis of </w:t>
      </w:r>
      <w:r w:rsidR="00C63860" w:rsidRPr="00C63860">
        <w:rPr>
          <w:color w:val="00B0F0"/>
        </w:rPr>
        <w:t>–2</w:t>
      </w:r>
      <w:r w:rsidRPr="00C63860">
        <w:t xml:space="preserve">1.0 (95% CI </w:t>
      </w:r>
      <w:r w:rsidR="00C63860" w:rsidRPr="00C63860">
        <w:rPr>
          <w:color w:val="00B0F0"/>
        </w:rPr>
        <w:t>–2</w:t>
      </w:r>
      <w:r w:rsidRPr="00C63860">
        <w:t xml:space="preserve">7.4 to </w:t>
      </w:r>
      <w:r w:rsidR="00C63860" w:rsidRPr="00C63860">
        <w:rPr>
          <w:color w:val="00B0F0"/>
        </w:rPr>
        <w:t>–1</w:t>
      </w:r>
      <w:r w:rsidRPr="00C63860">
        <w:t xml:space="preserve">4.6), cholelithiasis </w:t>
      </w:r>
      <w:r w:rsidR="00C63860" w:rsidRPr="00C63860">
        <w:rPr>
          <w:color w:val="00B0F0"/>
        </w:rPr>
        <w:t>–5</w:t>
      </w:r>
      <w:r w:rsidRPr="00C63860">
        <w:t>.72 (</w:t>
      </w:r>
      <w:r w:rsidR="00C63860" w:rsidRPr="00C63860">
        <w:rPr>
          <w:color w:val="00B0F0"/>
        </w:rPr>
        <w:t>–1</w:t>
      </w:r>
      <w:r w:rsidRPr="00C63860">
        <w:t xml:space="preserve">1.3 to </w:t>
      </w:r>
      <w:r w:rsidR="00C63860" w:rsidRPr="00C63860">
        <w:rPr>
          <w:color w:val="00B0F0"/>
        </w:rPr>
        <w:t>–0</w:t>
      </w:r>
      <w:r w:rsidRPr="00C63860">
        <w:t xml:space="preserve">.2), diverticular disease </w:t>
      </w:r>
      <w:r w:rsidR="00C63860" w:rsidRPr="00C63860">
        <w:rPr>
          <w:color w:val="00B0F0"/>
        </w:rPr>
        <w:t>–3</w:t>
      </w:r>
      <w:r w:rsidRPr="00C63860">
        <w:t>8.9 (</w:t>
      </w:r>
      <w:r w:rsidR="00C63860" w:rsidRPr="00C63860">
        <w:rPr>
          <w:color w:val="00B0F0"/>
        </w:rPr>
        <w:t>–6</w:t>
      </w:r>
      <w:r w:rsidRPr="00C63860">
        <w:t xml:space="preserve">3.3 to </w:t>
      </w:r>
      <w:r w:rsidR="00C63860" w:rsidRPr="00C63860">
        <w:rPr>
          <w:color w:val="00B0F0"/>
        </w:rPr>
        <w:t>–1</w:t>
      </w:r>
      <w:r w:rsidRPr="00C63860">
        <w:t xml:space="preserve">4.6), hernia </w:t>
      </w:r>
      <w:r w:rsidR="00C63860" w:rsidRPr="00C63860">
        <w:rPr>
          <w:color w:val="00B0F0"/>
        </w:rPr>
        <w:t>–1</w:t>
      </w:r>
      <w:r w:rsidRPr="00C63860">
        <w:t>9.5 (</w:t>
      </w:r>
      <w:r w:rsidR="00C63860" w:rsidRPr="00C63860">
        <w:rPr>
          <w:color w:val="00B0F0"/>
        </w:rPr>
        <w:t>–2</w:t>
      </w:r>
      <w:r w:rsidRPr="00C63860">
        <w:t xml:space="preserve">6.6 to </w:t>
      </w:r>
      <w:r w:rsidR="00C63860" w:rsidRPr="00C63860">
        <w:rPr>
          <w:color w:val="00B0F0"/>
        </w:rPr>
        <w:t>–1</w:t>
      </w:r>
      <w:r w:rsidRPr="00C63860">
        <w:t xml:space="preserve">2.3), and intestinal obstruction </w:t>
      </w:r>
      <w:r w:rsidR="00C63860" w:rsidRPr="00C63860">
        <w:rPr>
          <w:color w:val="00B0F0"/>
        </w:rPr>
        <w:t>–3</w:t>
      </w:r>
      <w:r w:rsidRPr="00C63860">
        <w:t>4.5 (</w:t>
      </w:r>
      <w:r w:rsidR="00C63860" w:rsidRPr="00C63860">
        <w:rPr>
          <w:color w:val="00B0F0"/>
        </w:rPr>
        <w:t>–4</w:t>
      </w:r>
      <w:r w:rsidRPr="00C63860">
        <w:t xml:space="preserve">6.7 to </w:t>
      </w:r>
      <w:r w:rsidR="00C63860" w:rsidRPr="00C63860">
        <w:rPr>
          <w:color w:val="00B0F0"/>
        </w:rPr>
        <w:t>–2</w:t>
      </w:r>
      <w:r w:rsidRPr="00C63860">
        <w:t>2.4). For four conditions this was attributable to both an increase in 90-day mortality following ES versus NES strategies and longer LOS. The exception was hernia where there was increased LOS but no difference in mortality.</w:t>
      </w:r>
    </w:p>
    <w:p w14:paraId="3AC4068F" w14:textId="49705F9B" w:rsidR="009B6230" w:rsidRPr="00C63860" w:rsidRDefault="009B6230" w:rsidP="00F23137">
      <w:pPr>
        <w:spacing w:before="240" w:after="240" w:line="276" w:lineRule="auto"/>
      </w:pPr>
      <w:r w:rsidRPr="00C63860">
        <w:t xml:space="preserve">Lower DAOH with ES treatment strategies was also found for patients categorised as having </w:t>
      </w:r>
      <w:r w:rsidR="00C63860" w:rsidRPr="00C63860">
        <w:rPr>
          <w:color w:val="00B0F0"/>
        </w:rPr>
        <w:t>‘</w:t>
      </w:r>
      <w:r w:rsidR="006F6056" w:rsidRPr="00C63860">
        <w:t>moderate frailty</w:t>
      </w:r>
      <w:r w:rsidR="00C63860" w:rsidRPr="00C63860">
        <w:rPr>
          <w:color w:val="00B0F0"/>
        </w:rPr>
        <w:t>’</w:t>
      </w:r>
      <w:r w:rsidRPr="00C63860">
        <w:t xml:space="preserve"> in appendicitis, hernia, and intestinal obstruction, and also in patients with </w:t>
      </w:r>
      <w:r w:rsidR="00C63860" w:rsidRPr="00C63860">
        <w:rPr>
          <w:color w:val="00B0F0"/>
        </w:rPr>
        <w:t>‘</w:t>
      </w:r>
      <w:r w:rsidR="006F6056" w:rsidRPr="00C63860">
        <w:t>mild frailty</w:t>
      </w:r>
      <w:r w:rsidR="00C63860" w:rsidRPr="00C63860">
        <w:rPr>
          <w:color w:val="00B0F0"/>
        </w:rPr>
        <w:t>’</w:t>
      </w:r>
      <w:r w:rsidRPr="00C63860">
        <w:t xml:space="preserve"> for appendicitis. For patients who were categorised as </w:t>
      </w:r>
      <w:r w:rsidR="00C63860" w:rsidRPr="00C63860">
        <w:rPr>
          <w:color w:val="00B0F0"/>
        </w:rPr>
        <w:t>‘</w:t>
      </w:r>
      <w:r w:rsidR="006F6056" w:rsidRPr="00C63860">
        <w:t>fit</w:t>
      </w:r>
      <w:r w:rsidR="00C63860" w:rsidRPr="00C63860">
        <w:rPr>
          <w:color w:val="00B0F0"/>
        </w:rPr>
        <w:t>’</w:t>
      </w:r>
      <w:r w:rsidRPr="00C63860">
        <w:t>, the mean difference in DAOH tended to favour ES for diverticular disease, 5.35 (</w:t>
      </w:r>
      <w:r w:rsidR="00C63860" w:rsidRPr="00C63860">
        <w:rPr>
          <w:color w:val="00B0F0"/>
        </w:rPr>
        <w:t>–2</w:t>
      </w:r>
      <w:r w:rsidRPr="00C63860">
        <w:t xml:space="preserve">.56 to 13.28), hernia 2.26 (0.37 to 4.15) and intestinal obstruction, 18.2 (14.8 to 22.47), and was similar or smaller for appendicitis </w:t>
      </w:r>
      <w:r w:rsidR="00C63860" w:rsidRPr="00C63860">
        <w:rPr>
          <w:color w:val="00B0F0"/>
        </w:rPr>
        <w:t>–0</w:t>
      </w:r>
      <w:r w:rsidRPr="00C63860">
        <w:t>.18 (</w:t>
      </w:r>
      <w:r w:rsidR="00C63860" w:rsidRPr="00C63860">
        <w:rPr>
          <w:color w:val="00B0F0"/>
        </w:rPr>
        <w:t>–1</w:t>
      </w:r>
      <w:r w:rsidRPr="00C63860">
        <w:t>.56 to 1.20) and cholelithiasis 0.93 (0.48 to 1.39).</w:t>
      </w:r>
    </w:p>
    <w:p w14:paraId="2FB6BDBE" w14:textId="0D6811D3" w:rsidR="00C63860" w:rsidRPr="00C63860" w:rsidRDefault="009B6230" w:rsidP="00F23137">
      <w:pPr>
        <w:spacing w:before="240" w:after="240" w:line="276" w:lineRule="auto"/>
      </w:pPr>
      <w:r w:rsidRPr="00C63860">
        <w:t xml:space="preserve">The relationship between comorbidity and differences in DAOH following ES or NES strategies did not follow the same pattern as observed for frailty. For patients with three or more co-morbidities, ES strategies led to reduced DAOH at 90 days for patients with acute appendicitis (mean difference </w:t>
      </w:r>
      <w:r w:rsidR="00C63860" w:rsidRPr="00C63860">
        <w:rPr>
          <w:color w:val="00B0F0"/>
        </w:rPr>
        <w:t>–1</w:t>
      </w:r>
      <w:r w:rsidRPr="00C63860">
        <w:t xml:space="preserve">2.55 days, </w:t>
      </w:r>
      <w:r w:rsidR="00C63860" w:rsidRPr="00C63860">
        <w:rPr>
          <w:color w:val="00B0F0"/>
        </w:rPr>
        <w:t>–2</w:t>
      </w:r>
      <w:r w:rsidRPr="00C63860">
        <w:t xml:space="preserve">3.61 to </w:t>
      </w:r>
      <w:r w:rsidR="00C63860" w:rsidRPr="00C63860">
        <w:rPr>
          <w:color w:val="00B0F0"/>
        </w:rPr>
        <w:t>–1</w:t>
      </w:r>
      <w:r w:rsidRPr="00C63860">
        <w:t>.49), increased DAOH for patients with intestinal obstruction (26.37 days, 8.71 to 44.02), and similar average DAOH between the comparison groups for the other three conditions.</w:t>
      </w:r>
    </w:p>
    <w:p w14:paraId="3AFF50E7" w14:textId="41E442A5" w:rsidR="00C63860" w:rsidRPr="00C63860" w:rsidRDefault="009B6230" w:rsidP="00F23137">
      <w:pPr>
        <w:spacing w:before="240" w:after="240" w:line="276" w:lineRule="auto"/>
      </w:pPr>
      <w:r w:rsidRPr="00C63860">
        <w:t xml:space="preserve">Diagnostic sub-group of patients where ES strategies indicated lower DAOH were diverticular disease patients with perforation and abscess </w:t>
      </w:r>
      <w:r w:rsidR="00C63860" w:rsidRPr="00C63860">
        <w:rPr>
          <w:color w:val="00B0F0"/>
        </w:rPr>
        <w:t>–1</w:t>
      </w:r>
      <w:r w:rsidRPr="00C63860">
        <w:t>1.55 (</w:t>
      </w:r>
      <w:r w:rsidR="00C63860" w:rsidRPr="00C63860">
        <w:rPr>
          <w:color w:val="00B0F0"/>
        </w:rPr>
        <w:t>–1</w:t>
      </w:r>
      <w:r w:rsidRPr="00C63860">
        <w:t xml:space="preserve">9.03 to </w:t>
      </w:r>
      <w:r w:rsidR="00C63860" w:rsidRPr="00C63860">
        <w:rPr>
          <w:color w:val="00B0F0"/>
        </w:rPr>
        <w:t>–4</w:t>
      </w:r>
      <w:r w:rsidRPr="00C63860">
        <w:t xml:space="preserve">.06), and intestinal obstruction patients with a diagnosis of gallstone ileus </w:t>
      </w:r>
      <w:r w:rsidR="00C63860" w:rsidRPr="00C63860">
        <w:rPr>
          <w:color w:val="00B0F0"/>
        </w:rPr>
        <w:t>–1</w:t>
      </w:r>
      <w:r w:rsidRPr="00C63860">
        <w:t>4.15 (</w:t>
      </w:r>
      <w:r w:rsidR="00C63860" w:rsidRPr="00C63860">
        <w:rPr>
          <w:color w:val="00B0F0"/>
        </w:rPr>
        <w:t>–1</w:t>
      </w:r>
      <w:r w:rsidRPr="00C63860">
        <w:t xml:space="preserve">9.08 to </w:t>
      </w:r>
      <w:r w:rsidR="00C63860" w:rsidRPr="00C63860">
        <w:rPr>
          <w:color w:val="00B0F0"/>
        </w:rPr>
        <w:t>–9</w:t>
      </w:r>
      <w:r w:rsidRPr="00C63860">
        <w:t>.22). Conversely, patients with a colorectal cancer diagnosis were found to have higher DAOH following ES (</w:t>
      </w:r>
      <w:r w:rsidR="00C63860" w:rsidRPr="00C63860">
        <w:rPr>
          <w:i/>
          <w:color w:val="FF0000"/>
        </w:rPr>
        <w:t>Figure 14</w:t>
      </w:r>
      <w:r w:rsidRPr="00C63860">
        <w:t xml:space="preserve">). For </w:t>
      </w:r>
      <w:r w:rsidR="00716ECA" w:rsidRPr="00C63860">
        <w:t>four out of the five</w:t>
      </w:r>
      <w:r w:rsidRPr="00C63860">
        <w:t xml:space="preserve"> condition</w:t>
      </w:r>
      <w:r w:rsidR="00716ECA" w:rsidRPr="00C63860">
        <w:t>s</w:t>
      </w:r>
      <w:r w:rsidRPr="00C63860">
        <w:t>, the estimates of the effectiveness of ES versus NES, for each year of admission were consistent with the overall estimates</w:t>
      </w:r>
      <w:r w:rsidR="007C0960" w:rsidRPr="00C63860">
        <w:t>, the exception was for appendic</w:t>
      </w:r>
      <w:r w:rsidR="00F73F35" w:rsidRPr="00C63860">
        <w:t>itis (</w:t>
      </w:r>
      <w:r w:rsidR="00C63860" w:rsidRPr="00C63860">
        <w:rPr>
          <w:i/>
          <w:iCs/>
          <w:color w:val="FF0000"/>
        </w:rPr>
        <w:t>Figure 2</w:t>
      </w:r>
      <w:r w:rsidR="00F73F35" w:rsidRPr="00C63860">
        <w:t>),</w:t>
      </w:r>
      <w:r w:rsidR="00C63860" w:rsidRPr="00C63860">
        <w:t xml:space="preserve"> </w:t>
      </w:r>
      <w:r w:rsidR="00F73F35" w:rsidRPr="00C63860">
        <w:t xml:space="preserve">for which </w:t>
      </w:r>
      <w:r w:rsidR="000B0181" w:rsidRPr="00C63860">
        <w:t xml:space="preserve">the </w:t>
      </w:r>
      <w:r w:rsidR="004B078C" w:rsidRPr="00C63860">
        <w:t xml:space="preserve">mean DAOH were higher for the </w:t>
      </w:r>
      <w:r w:rsidR="000B0181" w:rsidRPr="00C63860">
        <w:t>NES strategies</w:t>
      </w:r>
      <w:r w:rsidR="004B078C" w:rsidRPr="00C63860">
        <w:t xml:space="preserve"> for the last year years of admission (see discussion).</w:t>
      </w:r>
    </w:p>
    <w:p w14:paraId="0858867D" w14:textId="7696EA18" w:rsidR="00C63860" w:rsidRPr="00C63860" w:rsidRDefault="00C63860" w:rsidP="00C00B0D">
      <w:pPr>
        <w:pStyle w:val="Caption"/>
        <w:rPr>
          <w:b/>
          <w:bCs/>
          <w:iCs w:val="0"/>
          <w:color w:val="auto"/>
          <w:sz w:val="22"/>
          <w:szCs w:val="22"/>
        </w:rPr>
      </w:pPr>
      <w:bookmarkStart w:id="54" w:name="_Hlk85472110"/>
      <w:bookmarkStart w:id="55" w:name="_Toc86670842"/>
      <w:bookmarkStart w:id="56" w:name="_Hlk85548309"/>
      <w:r w:rsidRPr="00C63860">
        <w:rPr>
          <w:b/>
          <w:bCs/>
          <w:color w:val="FF0000"/>
          <w:sz w:val="22"/>
          <w:szCs w:val="22"/>
        </w:rPr>
        <w:t xml:space="preserve">Figure </w:t>
      </w:r>
      <w:r w:rsidRPr="00C63860">
        <w:rPr>
          <w:b/>
          <w:bCs/>
          <w:noProof/>
          <w:color w:val="FF0000"/>
          <w:sz w:val="22"/>
          <w:szCs w:val="22"/>
        </w:rPr>
        <w:t>2</w:t>
      </w:r>
      <w:r w:rsidR="00C00B0D" w:rsidRPr="00C63860">
        <w:rPr>
          <w:b/>
          <w:bCs/>
          <w:color w:val="auto"/>
          <w:sz w:val="22"/>
          <w:szCs w:val="22"/>
        </w:rPr>
        <w:t>: Mean differences in days alive and out of hospital (DAOH) between emergency surgery (ES) and non-emergency surgery (NES) treatment strategies for appendicitis subgroups</w:t>
      </w:r>
      <w:bookmarkEnd w:id="54"/>
      <w:bookmarkEnd w:id="55"/>
    </w:p>
    <w:p w14:paraId="012C4FD9" w14:textId="13DB3CAE" w:rsidR="00C63860" w:rsidRPr="00C63860" w:rsidRDefault="00C63860" w:rsidP="00C00B0D">
      <w:pPr>
        <w:pStyle w:val="Caption"/>
        <w:rPr>
          <w:b/>
          <w:bCs/>
          <w:iCs w:val="0"/>
          <w:color w:val="auto"/>
          <w:sz w:val="22"/>
          <w:szCs w:val="22"/>
        </w:rPr>
      </w:pPr>
      <w:bookmarkStart w:id="57" w:name="_Toc86670843"/>
      <w:r w:rsidRPr="00C63860">
        <w:rPr>
          <w:b/>
          <w:bCs/>
          <w:color w:val="FF0000"/>
          <w:sz w:val="22"/>
          <w:szCs w:val="22"/>
        </w:rPr>
        <w:t xml:space="preserve">Figure </w:t>
      </w:r>
      <w:r w:rsidRPr="00C63860">
        <w:rPr>
          <w:b/>
          <w:bCs/>
          <w:noProof/>
          <w:color w:val="FF0000"/>
          <w:sz w:val="22"/>
          <w:szCs w:val="22"/>
        </w:rPr>
        <w:t>3</w:t>
      </w:r>
      <w:r w:rsidR="00C00B0D" w:rsidRPr="00C63860">
        <w:rPr>
          <w:b/>
          <w:bCs/>
          <w:color w:val="auto"/>
          <w:sz w:val="22"/>
          <w:szCs w:val="22"/>
        </w:rPr>
        <w:t>: Mean differences in 90-day mortality between emergency surgery (ES) and non-emergency surgery (NES) treatment strategies for appendicitis subgroups</w:t>
      </w:r>
      <w:bookmarkEnd w:id="57"/>
    </w:p>
    <w:p w14:paraId="461AEE8B" w14:textId="0A6C7896" w:rsidR="00C63860" w:rsidRPr="00C63860" w:rsidRDefault="00C63860" w:rsidP="007D1A87">
      <w:pPr>
        <w:pStyle w:val="Caption"/>
        <w:rPr>
          <w:b/>
          <w:bCs/>
          <w:iCs w:val="0"/>
          <w:color w:val="auto"/>
          <w:sz w:val="22"/>
          <w:szCs w:val="22"/>
        </w:rPr>
      </w:pPr>
      <w:bookmarkStart w:id="58" w:name="_Toc86670844"/>
      <w:r w:rsidRPr="00C63860">
        <w:rPr>
          <w:b/>
          <w:bCs/>
          <w:color w:val="FF0000"/>
          <w:sz w:val="22"/>
          <w:szCs w:val="22"/>
        </w:rPr>
        <w:t xml:space="preserve">Figure </w:t>
      </w:r>
      <w:r w:rsidRPr="00C63860">
        <w:rPr>
          <w:b/>
          <w:bCs/>
          <w:noProof/>
          <w:color w:val="FF0000"/>
          <w:sz w:val="22"/>
          <w:szCs w:val="22"/>
        </w:rPr>
        <w:t>4</w:t>
      </w:r>
      <w:r w:rsidR="007D1A87" w:rsidRPr="00C63860">
        <w:rPr>
          <w:b/>
          <w:bCs/>
          <w:color w:val="auto"/>
          <w:sz w:val="22"/>
          <w:szCs w:val="22"/>
        </w:rPr>
        <w:t>: Mean differences in days in hospital in the first 90 days between emergency surgery (ES) and non-emergency surgery (NES) treatment strategies for appendicitis subgroups</w:t>
      </w:r>
      <w:bookmarkEnd w:id="58"/>
    </w:p>
    <w:p w14:paraId="7314EF42" w14:textId="080E6E6B" w:rsidR="00C63860" w:rsidRPr="00C63860" w:rsidRDefault="00C63860" w:rsidP="00AE3B8A">
      <w:pPr>
        <w:pStyle w:val="Caption"/>
        <w:rPr>
          <w:b/>
          <w:bCs/>
          <w:iCs w:val="0"/>
          <w:color w:val="auto"/>
          <w:sz w:val="22"/>
          <w:szCs w:val="22"/>
        </w:rPr>
      </w:pPr>
      <w:bookmarkStart w:id="59" w:name="_Toc86670845"/>
      <w:r w:rsidRPr="00C63860">
        <w:rPr>
          <w:b/>
          <w:bCs/>
          <w:color w:val="FF0000"/>
          <w:sz w:val="22"/>
          <w:szCs w:val="22"/>
        </w:rPr>
        <w:t xml:space="preserve">Figure </w:t>
      </w:r>
      <w:r w:rsidRPr="00C63860">
        <w:rPr>
          <w:b/>
          <w:bCs/>
          <w:noProof/>
          <w:color w:val="FF0000"/>
          <w:sz w:val="22"/>
          <w:szCs w:val="22"/>
        </w:rPr>
        <w:t>5</w:t>
      </w:r>
      <w:r w:rsidR="00AE3B8A" w:rsidRPr="00C63860">
        <w:rPr>
          <w:b/>
          <w:bCs/>
          <w:color w:val="auto"/>
          <w:sz w:val="22"/>
          <w:szCs w:val="22"/>
        </w:rPr>
        <w:t>: Mean differences in days alive and out of hospital (DAOH) between emergency surgery (ES) and non-emergency surgery (NES) treatment strategies for cholelithiasis subgroups</w:t>
      </w:r>
      <w:bookmarkEnd w:id="59"/>
    </w:p>
    <w:p w14:paraId="76E04B52" w14:textId="09AC3C85" w:rsidR="00C63860" w:rsidRPr="00C63860" w:rsidRDefault="00C63860" w:rsidP="00AE3B8A">
      <w:pPr>
        <w:pStyle w:val="Caption"/>
        <w:rPr>
          <w:b/>
          <w:bCs/>
          <w:iCs w:val="0"/>
          <w:color w:val="auto"/>
          <w:sz w:val="22"/>
          <w:szCs w:val="22"/>
        </w:rPr>
      </w:pPr>
      <w:bookmarkStart w:id="60" w:name="_Toc86670846"/>
      <w:r w:rsidRPr="00C63860">
        <w:rPr>
          <w:b/>
          <w:bCs/>
          <w:color w:val="FF0000"/>
          <w:sz w:val="22"/>
          <w:szCs w:val="22"/>
        </w:rPr>
        <w:t xml:space="preserve">Figure </w:t>
      </w:r>
      <w:r w:rsidRPr="00C63860">
        <w:rPr>
          <w:b/>
          <w:bCs/>
          <w:noProof/>
          <w:color w:val="FF0000"/>
          <w:sz w:val="22"/>
          <w:szCs w:val="22"/>
        </w:rPr>
        <w:t>6</w:t>
      </w:r>
      <w:r w:rsidR="00AE3B8A" w:rsidRPr="00C63860">
        <w:rPr>
          <w:b/>
          <w:bCs/>
          <w:color w:val="auto"/>
          <w:sz w:val="22"/>
          <w:szCs w:val="22"/>
        </w:rPr>
        <w:t>: Mean differences in 90-day mortality between emergency surgery (ES) and non-emergency surgery (NES) treatment strategies for cholelithiasis subgroups</w:t>
      </w:r>
      <w:bookmarkEnd w:id="60"/>
    </w:p>
    <w:p w14:paraId="14B580FD" w14:textId="7A9E99FF" w:rsidR="00C63860" w:rsidRPr="00C63860" w:rsidRDefault="00C63860" w:rsidP="007F5FB8">
      <w:pPr>
        <w:pStyle w:val="Caption"/>
        <w:rPr>
          <w:b/>
          <w:bCs/>
          <w:iCs w:val="0"/>
          <w:color w:val="auto"/>
          <w:sz w:val="22"/>
          <w:szCs w:val="22"/>
        </w:rPr>
      </w:pPr>
      <w:bookmarkStart w:id="61" w:name="_Toc86670847"/>
      <w:r w:rsidRPr="00C63860">
        <w:rPr>
          <w:b/>
          <w:bCs/>
          <w:color w:val="FF0000"/>
          <w:sz w:val="22"/>
          <w:szCs w:val="22"/>
        </w:rPr>
        <w:t xml:space="preserve">Figure </w:t>
      </w:r>
      <w:r w:rsidRPr="00C63860">
        <w:rPr>
          <w:b/>
          <w:bCs/>
          <w:noProof/>
          <w:color w:val="FF0000"/>
          <w:sz w:val="22"/>
          <w:szCs w:val="22"/>
        </w:rPr>
        <w:t>7</w:t>
      </w:r>
      <w:r w:rsidR="007F5FB8" w:rsidRPr="00C63860">
        <w:rPr>
          <w:b/>
          <w:bCs/>
          <w:color w:val="auto"/>
          <w:sz w:val="22"/>
          <w:szCs w:val="22"/>
        </w:rPr>
        <w:t>: Mean differences in days in hospital in the first 90 days between emergency surgery (ES) and non-emergency surgery (NES) treatment strategies for cholelithiasis subgroups</w:t>
      </w:r>
      <w:bookmarkEnd w:id="61"/>
    </w:p>
    <w:p w14:paraId="43E7B874" w14:textId="01E3AE9D" w:rsidR="00C63860" w:rsidRPr="00C63860" w:rsidRDefault="00C63860" w:rsidP="007F5FB8">
      <w:pPr>
        <w:pStyle w:val="Caption"/>
        <w:rPr>
          <w:b/>
          <w:bCs/>
          <w:iCs w:val="0"/>
          <w:color w:val="auto"/>
          <w:sz w:val="22"/>
          <w:szCs w:val="22"/>
        </w:rPr>
      </w:pPr>
      <w:bookmarkStart w:id="62" w:name="_Toc86670848"/>
      <w:r w:rsidRPr="00C63860">
        <w:rPr>
          <w:b/>
          <w:bCs/>
          <w:color w:val="FF0000"/>
          <w:sz w:val="22"/>
          <w:szCs w:val="22"/>
        </w:rPr>
        <w:t xml:space="preserve">Figure </w:t>
      </w:r>
      <w:r w:rsidRPr="00C63860">
        <w:rPr>
          <w:b/>
          <w:bCs/>
          <w:noProof/>
          <w:color w:val="FF0000"/>
          <w:sz w:val="22"/>
          <w:szCs w:val="22"/>
        </w:rPr>
        <w:t>8</w:t>
      </w:r>
      <w:r w:rsidR="007F5FB8" w:rsidRPr="00C63860">
        <w:rPr>
          <w:b/>
          <w:bCs/>
          <w:color w:val="auto"/>
          <w:sz w:val="22"/>
          <w:szCs w:val="22"/>
        </w:rPr>
        <w:t>: Mean differences in days alive and out of hospital (DAOH) between emergency surgery (ES) and non-emergency surgery (NES) treatment strategies for diverticular disease subgroups</w:t>
      </w:r>
      <w:bookmarkEnd w:id="62"/>
    </w:p>
    <w:p w14:paraId="1D24BC74" w14:textId="712AA605" w:rsidR="00C63860" w:rsidRPr="00C63860" w:rsidRDefault="00C63860" w:rsidP="007F5FB8">
      <w:pPr>
        <w:pStyle w:val="Caption"/>
        <w:rPr>
          <w:b/>
          <w:bCs/>
          <w:iCs w:val="0"/>
          <w:color w:val="auto"/>
          <w:sz w:val="22"/>
          <w:szCs w:val="22"/>
        </w:rPr>
      </w:pPr>
      <w:bookmarkStart w:id="63" w:name="_Toc86670849"/>
      <w:r w:rsidRPr="00C63860">
        <w:rPr>
          <w:b/>
          <w:bCs/>
          <w:color w:val="FF0000"/>
          <w:sz w:val="22"/>
          <w:szCs w:val="22"/>
        </w:rPr>
        <w:t xml:space="preserve">Figure </w:t>
      </w:r>
      <w:r w:rsidRPr="00C63860">
        <w:rPr>
          <w:b/>
          <w:bCs/>
          <w:noProof/>
          <w:color w:val="FF0000"/>
          <w:sz w:val="22"/>
          <w:szCs w:val="22"/>
        </w:rPr>
        <w:t>9</w:t>
      </w:r>
      <w:r w:rsidR="007F5FB8" w:rsidRPr="00C63860">
        <w:rPr>
          <w:b/>
          <w:bCs/>
          <w:color w:val="auto"/>
          <w:sz w:val="22"/>
          <w:szCs w:val="22"/>
        </w:rPr>
        <w:t>: Mean differences in 90-day mortality between emergency surgery (ES) and non-emergency surgery (NES) treatment strategies for diverticular disease subgroups</w:t>
      </w:r>
      <w:bookmarkEnd w:id="63"/>
    </w:p>
    <w:p w14:paraId="3382BD2A" w14:textId="64C47EA0" w:rsidR="00C63860" w:rsidRPr="00C63860" w:rsidRDefault="00C63860" w:rsidP="007F5FB8">
      <w:pPr>
        <w:pStyle w:val="Caption"/>
        <w:rPr>
          <w:b/>
          <w:bCs/>
          <w:iCs w:val="0"/>
          <w:color w:val="auto"/>
          <w:sz w:val="22"/>
          <w:szCs w:val="22"/>
        </w:rPr>
      </w:pPr>
      <w:bookmarkStart w:id="64" w:name="_Toc86670850"/>
      <w:r w:rsidRPr="00C63860">
        <w:rPr>
          <w:b/>
          <w:bCs/>
          <w:color w:val="FF0000"/>
          <w:sz w:val="22"/>
          <w:szCs w:val="22"/>
        </w:rPr>
        <w:t xml:space="preserve">Figure </w:t>
      </w:r>
      <w:r w:rsidRPr="00C63860">
        <w:rPr>
          <w:b/>
          <w:bCs/>
          <w:noProof/>
          <w:color w:val="FF0000"/>
          <w:sz w:val="22"/>
          <w:szCs w:val="22"/>
        </w:rPr>
        <w:t>10</w:t>
      </w:r>
      <w:r w:rsidR="007F5FB8" w:rsidRPr="00C63860">
        <w:rPr>
          <w:b/>
          <w:bCs/>
          <w:color w:val="auto"/>
          <w:sz w:val="22"/>
          <w:szCs w:val="22"/>
        </w:rPr>
        <w:t>: Mean differences in days in hospital in the first 90 days between emergency surgery (ES) and non-emergency surgery (NES) treatment strategies for diverticular disease subgroups</w:t>
      </w:r>
      <w:bookmarkEnd w:id="64"/>
    </w:p>
    <w:p w14:paraId="3EC17426" w14:textId="2ABA875A" w:rsidR="00C63860" w:rsidRPr="00C63860" w:rsidRDefault="00C63860" w:rsidP="007F5FB8">
      <w:pPr>
        <w:pStyle w:val="Caption"/>
        <w:rPr>
          <w:b/>
          <w:bCs/>
          <w:iCs w:val="0"/>
          <w:color w:val="auto"/>
          <w:sz w:val="22"/>
          <w:szCs w:val="22"/>
        </w:rPr>
      </w:pPr>
      <w:bookmarkStart w:id="65" w:name="_Toc86670851"/>
      <w:r w:rsidRPr="00C63860">
        <w:rPr>
          <w:b/>
          <w:bCs/>
          <w:color w:val="FF0000"/>
          <w:sz w:val="22"/>
          <w:szCs w:val="22"/>
        </w:rPr>
        <w:t xml:space="preserve">Figure </w:t>
      </w:r>
      <w:r w:rsidRPr="00C63860">
        <w:rPr>
          <w:b/>
          <w:bCs/>
          <w:noProof/>
          <w:color w:val="FF0000"/>
          <w:sz w:val="22"/>
          <w:szCs w:val="22"/>
        </w:rPr>
        <w:t>11</w:t>
      </w:r>
      <w:r w:rsidR="007F5FB8" w:rsidRPr="00C63860">
        <w:rPr>
          <w:b/>
          <w:bCs/>
          <w:color w:val="auto"/>
          <w:sz w:val="22"/>
          <w:szCs w:val="22"/>
        </w:rPr>
        <w:t>: Mean differences in days alive and out of hospital (DAOH) between emergency surgery (ES) and non-emergency surgery (NES) treatment strategies for hernia subgroups</w:t>
      </w:r>
      <w:bookmarkEnd w:id="65"/>
    </w:p>
    <w:p w14:paraId="5448D2EB" w14:textId="0D8980AB" w:rsidR="00C63860" w:rsidRPr="00C63860" w:rsidRDefault="00C63860" w:rsidP="007F5FB8">
      <w:pPr>
        <w:pStyle w:val="Caption"/>
        <w:rPr>
          <w:b/>
          <w:bCs/>
          <w:iCs w:val="0"/>
          <w:color w:val="auto"/>
          <w:sz w:val="22"/>
          <w:szCs w:val="22"/>
        </w:rPr>
      </w:pPr>
      <w:bookmarkStart w:id="66" w:name="_Toc86670852"/>
      <w:r w:rsidRPr="00C63860">
        <w:rPr>
          <w:b/>
          <w:bCs/>
          <w:color w:val="FF0000"/>
          <w:sz w:val="22"/>
          <w:szCs w:val="22"/>
        </w:rPr>
        <w:t xml:space="preserve">Figure </w:t>
      </w:r>
      <w:r w:rsidRPr="00C63860">
        <w:rPr>
          <w:b/>
          <w:bCs/>
          <w:noProof/>
          <w:color w:val="FF0000"/>
          <w:sz w:val="22"/>
          <w:szCs w:val="22"/>
        </w:rPr>
        <w:t>12</w:t>
      </w:r>
      <w:r w:rsidR="007F5FB8" w:rsidRPr="00C63860">
        <w:rPr>
          <w:b/>
          <w:bCs/>
          <w:color w:val="auto"/>
          <w:sz w:val="22"/>
          <w:szCs w:val="22"/>
        </w:rPr>
        <w:t>: Mean differences in 90-day mortality between emergency surgery (ES) and non-emergency surgery (NES) treatment strategies for hernia subgroups</w:t>
      </w:r>
      <w:bookmarkEnd w:id="66"/>
    </w:p>
    <w:p w14:paraId="3B7061FD" w14:textId="56215BE6" w:rsidR="00C63860" w:rsidRPr="00C63860" w:rsidRDefault="00C63860" w:rsidP="007F5FB8">
      <w:pPr>
        <w:pStyle w:val="Caption"/>
        <w:rPr>
          <w:b/>
          <w:bCs/>
          <w:iCs w:val="0"/>
          <w:color w:val="auto"/>
          <w:sz w:val="22"/>
          <w:szCs w:val="22"/>
        </w:rPr>
      </w:pPr>
      <w:bookmarkStart w:id="67" w:name="_Toc86670853"/>
      <w:r w:rsidRPr="00C63860">
        <w:rPr>
          <w:b/>
          <w:bCs/>
          <w:color w:val="FF0000"/>
          <w:sz w:val="22"/>
          <w:szCs w:val="22"/>
        </w:rPr>
        <w:t xml:space="preserve">Figure </w:t>
      </w:r>
      <w:r w:rsidRPr="00C63860">
        <w:rPr>
          <w:b/>
          <w:bCs/>
          <w:noProof/>
          <w:color w:val="FF0000"/>
          <w:sz w:val="22"/>
          <w:szCs w:val="22"/>
        </w:rPr>
        <w:t>13</w:t>
      </w:r>
      <w:r w:rsidR="007F5FB8" w:rsidRPr="00C63860">
        <w:rPr>
          <w:b/>
          <w:bCs/>
          <w:color w:val="auto"/>
          <w:sz w:val="22"/>
          <w:szCs w:val="22"/>
        </w:rPr>
        <w:t>: Mean differences in days in hospital in the first 90 days between emergency surgery (ES) and non-emergency surgery (NES) treatment strategies for hernia subgroups</w:t>
      </w:r>
      <w:bookmarkEnd w:id="67"/>
    </w:p>
    <w:p w14:paraId="07A7B473" w14:textId="227697BD" w:rsidR="00C63860" w:rsidRPr="00C63860" w:rsidRDefault="00C63860" w:rsidP="001C32E5">
      <w:pPr>
        <w:pStyle w:val="Caption"/>
        <w:rPr>
          <w:b/>
          <w:bCs/>
          <w:iCs w:val="0"/>
          <w:color w:val="auto"/>
          <w:sz w:val="22"/>
          <w:szCs w:val="22"/>
        </w:rPr>
      </w:pPr>
      <w:bookmarkStart w:id="68" w:name="_Toc86670854"/>
      <w:r w:rsidRPr="00C63860">
        <w:rPr>
          <w:b/>
          <w:bCs/>
          <w:color w:val="FF0000"/>
          <w:sz w:val="22"/>
          <w:szCs w:val="22"/>
        </w:rPr>
        <w:t xml:space="preserve">Figure </w:t>
      </w:r>
      <w:r w:rsidRPr="00C63860">
        <w:rPr>
          <w:b/>
          <w:bCs/>
          <w:noProof/>
          <w:color w:val="FF0000"/>
          <w:sz w:val="22"/>
          <w:szCs w:val="22"/>
        </w:rPr>
        <w:t>14</w:t>
      </w:r>
      <w:r w:rsidR="001C32E5" w:rsidRPr="00C63860">
        <w:rPr>
          <w:b/>
          <w:bCs/>
          <w:color w:val="auto"/>
          <w:sz w:val="22"/>
          <w:szCs w:val="22"/>
        </w:rPr>
        <w:t>: Mean differences in days alive and out of hospital (DAOH) between emergency surgery (ES) and non-emergency surgery (NES) treatment strategies for intestinal obstruction subgroups</w:t>
      </w:r>
      <w:bookmarkEnd w:id="68"/>
    </w:p>
    <w:p w14:paraId="07FA7404" w14:textId="28B6C3A9" w:rsidR="00C63860" w:rsidRPr="00C63860" w:rsidRDefault="00C63860" w:rsidP="001C32E5">
      <w:pPr>
        <w:pStyle w:val="Caption"/>
        <w:rPr>
          <w:b/>
          <w:bCs/>
          <w:iCs w:val="0"/>
          <w:color w:val="auto"/>
          <w:sz w:val="22"/>
          <w:szCs w:val="22"/>
        </w:rPr>
      </w:pPr>
      <w:bookmarkStart w:id="69" w:name="_Toc86670855"/>
      <w:r w:rsidRPr="00C63860">
        <w:rPr>
          <w:b/>
          <w:bCs/>
          <w:color w:val="FF0000"/>
          <w:sz w:val="22"/>
          <w:szCs w:val="22"/>
        </w:rPr>
        <w:t xml:space="preserve">Figure </w:t>
      </w:r>
      <w:r w:rsidRPr="00C63860">
        <w:rPr>
          <w:b/>
          <w:bCs/>
          <w:noProof/>
          <w:color w:val="FF0000"/>
          <w:sz w:val="22"/>
          <w:szCs w:val="22"/>
        </w:rPr>
        <w:t>15</w:t>
      </w:r>
      <w:r w:rsidR="001C32E5" w:rsidRPr="00C63860">
        <w:rPr>
          <w:b/>
          <w:bCs/>
          <w:color w:val="auto"/>
          <w:sz w:val="22"/>
          <w:szCs w:val="22"/>
        </w:rPr>
        <w:t>: Mean differences in 90-day mortality between emergency surgery (ES) and non-emergency surgery (NES) treatment strategies for intestinal obstruction subgroups</w:t>
      </w:r>
      <w:bookmarkEnd w:id="69"/>
    </w:p>
    <w:p w14:paraId="714C115C" w14:textId="7D6281FD" w:rsidR="00C63860" w:rsidRPr="00C63860" w:rsidRDefault="00C63860" w:rsidP="00B660E0">
      <w:pPr>
        <w:pStyle w:val="Caption"/>
        <w:rPr>
          <w:b/>
          <w:bCs/>
          <w:iCs w:val="0"/>
          <w:color w:val="auto"/>
          <w:sz w:val="22"/>
          <w:szCs w:val="22"/>
        </w:rPr>
      </w:pPr>
      <w:bookmarkStart w:id="70" w:name="_Toc86670856"/>
      <w:r w:rsidRPr="00C63860">
        <w:rPr>
          <w:b/>
          <w:bCs/>
          <w:color w:val="FF0000"/>
          <w:sz w:val="22"/>
          <w:szCs w:val="22"/>
        </w:rPr>
        <w:t xml:space="preserve">Figure </w:t>
      </w:r>
      <w:r w:rsidRPr="00C63860">
        <w:rPr>
          <w:b/>
          <w:bCs/>
          <w:noProof/>
          <w:color w:val="FF0000"/>
          <w:sz w:val="22"/>
          <w:szCs w:val="22"/>
        </w:rPr>
        <w:t>16</w:t>
      </w:r>
      <w:r w:rsidR="00B660E0" w:rsidRPr="00C63860">
        <w:rPr>
          <w:b/>
          <w:bCs/>
          <w:color w:val="auto"/>
          <w:sz w:val="22"/>
          <w:szCs w:val="22"/>
        </w:rPr>
        <w:t>: Mean differences in days in hospital in the first 90 days between emergency surgery (ES) and non-emergency surgery (NES) treatment strategies for intestinal obstruction subgroups</w:t>
      </w:r>
      <w:bookmarkEnd w:id="56"/>
      <w:bookmarkEnd w:id="70"/>
    </w:p>
    <w:p w14:paraId="1BA37F44" w14:textId="06B1E287" w:rsidR="009B6230" w:rsidRPr="00C63860" w:rsidRDefault="009B6230" w:rsidP="00F23137">
      <w:pPr>
        <w:spacing w:before="240" w:after="240" w:line="276" w:lineRule="auto"/>
        <w:rPr>
          <w:b/>
          <w:bCs/>
        </w:rPr>
      </w:pPr>
      <w:r w:rsidRPr="00C63860">
        <w:rPr>
          <w:b/>
          <w:bCs/>
        </w:rPr>
        <w:t>3.3.7 Sensitivity analyses</w:t>
      </w:r>
    </w:p>
    <w:p w14:paraId="35813D66" w14:textId="7EC7F6F6" w:rsidR="00C63860" w:rsidRPr="00C63860" w:rsidRDefault="009B6230" w:rsidP="00F23137">
      <w:pPr>
        <w:spacing w:before="240" w:after="240" w:line="276" w:lineRule="auto"/>
      </w:pPr>
      <w:r w:rsidRPr="00C63860">
        <w:t>The overall effects of the ES versus NES strategies were similar when alternative standpoints were taken to the analysis (</w:t>
      </w:r>
      <w:r w:rsidR="00C63860" w:rsidRPr="00C63860">
        <w:rPr>
          <w:i/>
          <w:color w:val="FF0000"/>
        </w:rPr>
        <w:t>Figure 17</w:t>
      </w:r>
      <w:r w:rsidRPr="00C63860">
        <w:t xml:space="preserve">). Specifically, when alternative, more stringent criteria for the definitions of ES were used, the mean differences in DAOH remained below four days for each of the conditions. The overall results were also robust to the use of alternative definitions of DAOH, and of the </w:t>
      </w:r>
      <w:r w:rsidR="00C63860" w:rsidRPr="00C63860">
        <w:rPr>
          <w:color w:val="00B0F0"/>
        </w:rPr>
        <w:t>‘</w:t>
      </w:r>
      <w:r w:rsidR="006F6056" w:rsidRPr="00C63860">
        <w:t>quality</w:t>
      </w:r>
      <w:r w:rsidR="00C63860" w:rsidRPr="00C63860">
        <w:rPr>
          <w:color w:val="00B0F0"/>
        </w:rPr>
        <w:t>’</w:t>
      </w:r>
      <w:r w:rsidRPr="00C63860">
        <w:t xml:space="preserve"> of acute care, and the exclusion of observations from hospitals with lower volumes of emergency admissions. The regression analysis found that ES was associated with an average reduction in DAOH for patients with diverticular disease, but did not take account of unobserved confounding.</w:t>
      </w:r>
    </w:p>
    <w:p w14:paraId="0B14B5B8" w14:textId="5363DF52" w:rsidR="00C63860" w:rsidRPr="00C63860" w:rsidRDefault="00C63860" w:rsidP="00B660E0">
      <w:pPr>
        <w:pStyle w:val="Caption"/>
        <w:rPr>
          <w:b/>
          <w:bCs/>
          <w:color w:val="auto"/>
          <w:sz w:val="22"/>
          <w:szCs w:val="22"/>
        </w:rPr>
      </w:pPr>
      <w:bookmarkStart w:id="71" w:name="_Toc86670857"/>
      <w:r w:rsidRPr="00C63860">
        <w:rPr>
          <w:b/>
          <w:bCs/>
          <w:color w:val="FF0000"/>
          <w:sz w:val="22"/>
          <w:szCs w:val="22"/>
        </w:rPr>
        <w:t xml:space="preserve">Figure </w:t>
      </w:r>
      <w:r w:rsidRPr="00C63860">
        <w:rPr>
          <w:b/>
          <w:bCs/>
          <w:noProof/>
          <w:color w:val="FF0000"/>
          <w:sz w:val="22"/>
          <w:szCs w:val="22"/>
        </w:rPr>
        <w:t>17</w:t>
      </w:r>
      <w:r w:rsidR="00B660E0" w:rsidRPr="00C63860">
        <w:rPr>
          <w:b/>
          <w:bCs/>
          <w:color w:val="auto"/>
          <w:sz w:val="22"/>
          <w:szCs w:val="22"/>
        </w:rPr>
        <w:t>: Sensitivity analysis for days alive and out of hospital (DAOH)</w:t>
      </w:r>
      <w:bookmarkEnd w:id="71"/>
      <w:r w:rsidR="00AA6ED2" w:rsidRPr="00C63860">
        <w:rPr>
          <w:b/>
          <w:bCs/>
          <w:color w:val="auto"/>
          <w:sz w:val="22"/>
          <w:szCs w:val="22"/>
        </w:rPr>
        <w:t>. (a) Appendictis; (b) cholelithiasis; (c) diverticular disease; (d) hernia; and (e) intestinal obstruction.</w:t>
      </w:r>
    </w:p>
    <w:p w14:paraId="1F20DB5B" w14:textId="221B4437" w:rsidR="009B6230" w:rsidRPr="00C63860" w:rsidRDefault="009B6230" w:rsidP="00F23137">
      <w:pPr>
        <w:spacing w:before="240" w:after="160" w:line="276" w:lineRule="auto"/>
        <w:rPr>
          <w:b/>
          <w:bCs/>
          <w:sz w:val="28"/>
          <w:szCs w:val="28"/>
        </w:rPr>
      </w:pPr>
      <w:r w:rsidRPr="00C63860">
        <w:rPr>
          <w:b/>
          <w:bCs/>
          <w:sz w:val="28"/>
          <w:szCs w:val="28"/>
        </w:rPr>
        <w:t>3.4</w:t>
      </w:r>
      <w:r w:rsidRPr="00C63860">
        <w:rPr>
          <w:b/>
          <w:bCs/>
          <w:sz w:val="28"/>
          <w:szCs w:val="28"/>
        </w:rPr>
        <w:tab/>
        <w:t>Discussion</w:t>
      </w:r>
    </w:p>
    <w:p w14:paraId="4A8BF319" w14:textId="6EFE1505" w:rsidR="009B6230" w:rsidRPr="00C63860" w:rsidRDefault="009B6230" w:rsidP="00F23137">
      <w:pPr>
        <w:spacing w:before="240" w:after="100" w:afterAutospacing="1" w:line="276" w:lineRule="auto"/>
      </w:pPr>
      <w:r w:rsidRPr="00C63860">
        <w:t xml:space="preserve">For patients presenting as emergency admissions to hospital with acute appendicitis, cholelithiasis, diverticular disease, abdominal wall hernia or intestinal obstruction, the analysis of </w:t>
      </w:r>
      <w:r w:rsidR="00AD7676" w:rsidRPr="00C63860">
        <w:t xml:space="preserve">clinical </w:t>
      </w:r>
      <w:r w:rsidRPr="00C63860">
        <w:t>effectiveness found that overall the average number of DAOH at 90 days was similar following ES and NES strategies. There were differences in the relative effectiveness of ES versus NES strategies, according to patients</w:t>
      </w:r>
      <w:r w:rsidR="00C63860" w:rsidRPr="00C63860">
        <w:rPr>
          <w:color w:val="00B0F0"/>
        </w:rPr>
        <w:t>’</w:t>
      </w:r>
      <w:r w:rsidRPr="00C63860">
        <w:t xml:space="preserve"> levels of frailty, age and number of comorbidities. For patients with severe frailty according to the SCARF index, average DAOH were lower following ES versus NES strategies for all five conditions. These findings have implications for clinical </w:t>
      </w:r>
      <w:r w:rsidRPr="00C63860">
        <w:rPr>
          <w:highlight w:val="magenta"/>
        </w:rPr>
        <w:t>practice</w:t>
      </w:r>
      <w:r w:rsidRPr="00C63860">
        <w:t xml:space="preserve"> given the importance of providing ES and NES strategies that will benefit the individual patient.</w:t>
      </w:r>
    </w:p>
    <w:p w14:paraId="17FF5D12" w14:textId="00B96C64" w:rsidR="00C63860" w:rsidRPr="00C63860" w:rsidRDefault="009B6230" w:rsidP="00F23137">
      <w:pPr>
        <w:spacing w:before="240" w:after="100" w:afterAutospacing="1" w:line="276" w:lineRule="auto"/>
      </w:pPr>
      <w:r w:rsidRPr="00C63860">
        <w:t>This analysis adds to the previously limited evidence on the effectiveness of ES versus NES strategies such as delayed surgery, interventional radiology, or medical management. Recent trial evidence has reported equivocal results for selected patients with uncomplicated acute appendicitis, with a high proportion of patients in the NES group, requiring subsequent surgery.</w:t>
      </w:r>
      <w:r w:rsidR="00A36AFF" w:rsidRPr="00C63860">
        <w:rPr>
          <w:noProof/>
          <w:vertAlign w:val="superscript"/>
        </w:rPr>
        <w:t>7, 8, 13</w:t>
      </w:r>
      <w:r w:rsidRPr="00C63860">
        <w:t xml:space="preserve"> The COVID-Harem study exploited the increased rates of </w:t>
      </w:r>
      <w:r w:rsidR="002C7727" w:rsidRPr="00C63860">
        <w:t>NES</w:t>
      </w:r>
      <w:r w:rsidRPr="00C63860">
        <w:t xml:space="preserve"> strategies following the first </w:t>
      </w:r>
      <w:r w:rsidRPr="00C63860">
        <w:rPr>
          <w:highlight w:val="magenta"/>
        </w:rPr>
        <w:t>wave</w:t>
      </w:r>
      <w:r w:rsidRPr="00C63860">
        <w:t xml:space="preserve"> of COVI</w:t>
      </w:r>
      <w:r w:rsidR="00C63860" w:rsidRPr="00C63860">
        <w:rPr>
          <w:color w:val="00B0F0"/>
        </w:rPr>
        <w:t>D-1</w:t>
      </w:r>
      <w:r w:rsidRPr="00C63860">
        <w:t xml:space="preserve">9 infections, and reported that </w:t>
      </w:r>
      <w:r w:rsidR="002C7727" w:rsidRPr="00C63860">
        <w:t>NES</w:t>
      </w:r>
      <w:r w:rsidRPr="00C63860">
        <w:t xml:space="preserve"> strategies led to short-term cost savings.</w:t>
      </w:r>
      <w:r w:rsidR="00A36AFF" w:rsidRPr="00C63860">
        <w:rPr>
          <w:noProof/>
          <w:vertAlign w:val="superscript"/>
        </w:rPr>
        <w:t>21</w:t>
      </w:r>
      <w:r w:rsidRPr="00C63860">
        <w:t xml:space="preserve"> </w:t>
      </w:r>
      <w:r w:rsidR="005E64B0" w:rsidRPr="00C63860">
        <w:t xml:space="preserve">Each of these </w:t>
      </w:r>
      <w:r w:rsidR="002C3AD8" w:rsidRPr="00C63860">
        <w:t xml:space="preserve">previous </w:t>
      </w:r>
      <w:r w:rsidR="005E64B0" w:rsidRPr="00C63860">
        <w:t>studies</w:t>
      </w:r>
      <w:r w:rsidR="002C3AD8" w:rsidRPr="00C63860">
        <w:t xml:space="preserve"> has helped developed clinical protocols for</w:t>
      </w:r>
      <w:r w:rsidR="00E159CB" w:rsidRPr="00C63860">
        <w:t xml:space="preserve"> NES for</w:t>
      </w:r>
      <w:r w:rsidR="002C3AD8" w:rsidRPr="00C63860">
        <w:t xml:space="preserve"> patients presenting </w:t>
      </w:r>
      <w:r w:rsidR="00680CC9" w:rsidRPr="00C63860">
        <w:t>as emergency admissions with acute appendicitis</w:t>
      </w:r>
      <w:r w:rsidR="00E159CB" w:rsidRPr="00C63860">
        <w:t xml:space="preserve">. The </w:t>
      </w:r>
      <w:r w:rsidR="008B3EB2" w:rsidRPr="00C63860">
        <w:t xml:space="preserve">general </w:t>
      </w:r>
      <w:r w:rsidR="00E159CB" w:rsidRPr="00C63860">
        <w:t xml:space="preserve">roll-out of these protocols may be one reason, why the ESORT study observed a relative improvement in the </w:t>
      </w:r>
      <w:r w:rsidR="00C829EE" w:rsidRPr="00C63860">
        <w:t>mean DAOH for NES versus E</w:t>
      </w:r>
      <w:r w:rsidR="002A1F1E" w:rsidRPr="00C63860">
        <w:t xml:space="preserve">S for </w:t>
      </w:r>
      <w:r w:rsidR="00920416" w:rsidRPr="00C63860">
        <w:t>the last three years of emergency admissions (</w:t>
      </w:r>
      <w:r w:rsidR="008B3EB2" w:rsidRPr="00C63860">
        <w:t>2017</w:t>
      </w:r>
      <w:r w:rsidR="00BC1ADB" w:rsidRPr="00C63860">
        <w:t>/18, 2018/19,</w:t>
      </w:r>
      <w:r w:rsidR="0043625F" w:rsidRPr="00C63860">
        <w:t xml:space="preserve"> </w:t>
      </w:r>
      <w:r w:rsidR="00BC1ADB" w:rsidRPr="00C63860">
        <w:t>2019/20).</w:t>
      </w:r>
      <w:r w:rsidR="005E64B0" w:rsidRPr="00C63860">
        <w:t xml:space="preserve"> </w:t>
      </w:r>
      <w:r w:rsidRPr="00C63860">
        <w:t>For patients presenting with acute cholelithiasis,</w:t>
      </w:r>
      <w:r w:rsidR="00A36AFF" w:rsidRPr="00C63860">
        <w:rPr>
          <w:noProof/>
          <w:vertAlign w:val="superscript"/>
        </w:rPr>
        <w:t>38</w:t>
      </w:r>
      <w:r w:rsidRPr="00C63860">
        <w:t xml:space="preserve"> NICE guidelines, informed by meta-analyses,</w:t>
      </w:r>
      <w:r w:rsidR="00A36AFF" w:rsidRPr="00C63860">
        <w:rPr>
          <w:noProof/>
          <w:vertAlign w:val="superscript"/>
        </w:rPr>
        <w:t>39</w:t>
      </w:r>
      <w:r w:rsidRPr="00C63860">
        <w:t xml:space="preserve"> recommend laparoscopic cholecystectomy within seven days of diagnosis, but ES rates vary across NHS hospitals.</w:t>
      </w:r>
      <w:r w:rsidR="00A36AFF" w:rsidRPr="00C63860">
        <w:rPr>
          <w:noProof/>
          <w:vertAlign w:val="superscript"/>
        </w:rPr>
        <w:t>36, 37</w:t>
      </w:r>
      <w:r w:rsidRPr="00C63860">
        <w:t xml:space="preserve"> For patients with acute diverticular disease, published RCTs have not recruited sufficient patients to evaluate ES versus NES strategies.</w:t>
      </w:r>
      <w:r w:rsidR="00A36AFF" w:rsidRPr="00C63860">
        <w:rPr>
          <w:noProof/>
          <w:vertAlign w:val="superscript"/>
        </w:rPr>
        <w:t>14, 15</w:t>
      </w:r>
      <w:r w:rsidRPr="00C63860">
        <w:t xml:space="preserve"> For patients with abdominal wall hernia or intestinal obstruction presenting as emergency admissions, there are no published RCTs comparing ES and NES strategies. Hence, the finding that across unselected patients routinely presenting as emergency admissions, ES and NES strategies led to similar average DAOH at 90 days, adds to limited knowledge for common acute </w:t>
      </w:r>
      <w:r w:rsidR="00AD7676" w:rsidRPr="00C63860">
        <w:t xml:space="preserve">gastrointestinal </w:t>
      </w:r>
      <w:r w:rsidRPr="00C63860">
        <w:t>conditions.</w:t>
      </w:r>
    </w:p>
    <w:p w14:paraId="79E72A26" w14:textId="5EB248E3" w:rsidR="00C63860" w:rsidRPr="00C63860" w:rsidRDefault="009B6230" w:rsidP="00F23137">
      <w:pPr>
        <w:spacing w:before="240" w:after="100" w:afterAutospacing="1" w:line="276" w:lineRule="auto"/>
      </w:pPr>
      <w:r w:rsidRPr="00C63860">
        <w:t>National guidelines have discouraged rationing ES by age alone, and recommended further research on the relative effectiveness of ES for subgroups according to frailty and comorbidities.</w:t>
      </w:r>
      <w:r w:rsidR="00A36AFF" w:rsidRPr="00C63860">
        <w:rPr>
          <w:noProof/>
          <w:vertAlign w:val="superscript"/>
        </w:rPr>
        <w:t>28, 29</w:t>
      </w:r>
      <w:r w:rsidRPr="00C63860">
        <w:t xml:space="preserve"> In </w:t>
      </w:r>
      <w:r w:rsidR="009C5AFE" w:rsidRPr="00C63860">
        <w:t>the ESORT study cohorts for whom up to 6.5% of</w:t>
      </w:r>
      <w:r w:rsidRPr="00C63860">
        <w:t xml:space="preserve"> patients receiving ES were classified as severely frail, we found that ES was less effective than NES strategies for these patients. These reductions in mean DAOH following ES were partly driven by increased all-cause mortality at 90 days (except for hernia), and partly driven by the increased LOS.</w:t>
      </w:r>
      <w:r w:rsidR="00C63860" w:rsidRPr="00C63860">
        <w:t xml:space="preserve"> </w:t>
      </w:r>
      <w:r w:rsidRPr="00C63860">
        <w:t>RCTs of ES strategies have either excluded frail patients, or not considered whether frailty modifies the relative effectiveness of ES versus NES.</w:t>
      </w:r>
      <w:r w:rsidR="00A36AFF" w:rsidRPr="00C63860">
        <w:rPr>
          <w:noProof/>
          <w:vertAlign w:val="superscript"/>
        </w:rPr>
        <w:t>7, 9, 13</w:t>
      </w:r>
      <w:r w:rsidR="00C63860" w:rsidRPr="00C63860">
        <w:rPr>
          <w:noProof/>
          <w:color w:val="00B0F0"/>
          <w:vertAlign w:val="superscript"/>
        </w:rPr>
        <w:t>–1</w:t>
      </w:r>
      <w:r w:rsidR="00A36AFF" w:rsidRPr="00C63860">
        <w:rPr>
          <w:noProof/>
          <w:vertAlign w:val="superscript"/>
        </w:rPr>
        <w:t>5, 49</w:t>
      </w:r>
      <w:r w:rsidRPr="00C63860">
        <w:t xml:space="preserve"> The current study emphasises the importance of considering frailty alongside other factors, such as age, number of comorbidities, and diagnosis for patients, when deciding whether or not an individual patient should have ES.</w:t>
      </w:r>
    </w:p>
    <w:p w14:paraId="6DA623D2" w14:textId="77777777" w:rsidR="00C63860" w:rsidRPr="00C63860" w:rsidRDefault="009B6230" w:rsidP="00F23137">
      <w:pPr>
        <w:spacing w:before="240" w:after="100" w:afterAutospacing="1" w:line="276" w:lineRule="auto"/>
      </w:pPr>
      <w:r w:rsidRPr="00C63860">
        <w:t xml:space="preserve">This analysis has several strengths and limitations. The study included a sufficient number and range of patients with these common acute conditions to provide precise estimates of the </w:t>
      </w:r>
      <w:r w:rsidR="0052773B" w:rsidRPr="00C63860">
        <w:t>clinical</w:t>
      </w:r>
      <w:r w:rsidRPr="00C63860">
        <w:t xml:space="preserve"> effectiveness of ES versus NES strategies as provided in routine </w:t>
      </w:r>
      <w:r w:rsidRPr="00C63860">
        <w:rPr>
          <w:highlight w:val="magenta"/>
        </w:rPr>
        <w:t>practice</w:t>
      </w:r>
      <w:r w:rsidRPr="00C63860">
        <w:t xml:space="preserve">. The study used a previously developed </w:t>
      </w:r>
      <w:r w:rsidR="0052773B" w:rsidRPr="00C63860">
        <w:t>IV</w:t>
      </w:r>
      <w:r w:rsidRPr="00C63860">
        <w:t xml:space="preserve"> method to address confounding, and provide comparative effectiveness estimates that apply to the overall populations, and subpopulations of interest. The limitations of this paper are that detailed information from imaging or diagnostic procedures was unavailable, and so the definitions of subgroups were broad. The categorisation of ES versus NES strategies assumes accurate coding of OPCS procedures and episode dates. While it is conceivable that there were coding differences across NHS trusts or over time, it is unlikely that this led to substantive differences in the estimates of relative effectiveness. The primary outcome measure, DAOH, did not consider dimensions of health, such as health-related quality of life (HRQoL), which were not available within the HES </w:t>
      </w:r>
      <w:r w:rsidRPr="00C63860">
        <w:rPr>
          <w:highlight w:val="magenta"/>
        </w:rPr>
        <w:t>data</w:t>
      </w:r>
      <w:r w:rsidRPr="00C63860">
        <w:t xml:space="preserve">. The definition of NES strategies was limited to OPCS procedure codes, and could not capture other aspects of clinical management, for example the type and duration of antibiotic therapy. The ability of the </w:t>
      </w:r>
      <w:r w:rsidR="0052773B" w:rsidRPr="00C63860">
        <w:t>IV</w:t>
      </w:r>
      <w:r w:rsidRPr="00C63860">
        <w:t xml:space="preserve"> approach to deal with unmeasured confounding may be undermined if the requisite assumptions do not hold. The finding that the </w:t>
      </w:r>
      <w:r w:rsidR="0052773B" w:rsidRPr="00C63860">
        <w:t>IV</w:t>
      </w:r>
      <w:r w:rsidRPr="00C63860">
        <w:t xml:space="preserve"> balanced important case</w:t>
      </w:r>
      <w:r w:rsidR="005A1E71" w:rsidRPr="00C63860">
        <w:t xml:space="preserve"> </w:t>
      </w:r>
      <w:r w:rsidRPr="00C63860">
        <w:t xml:space="preserve">mix measures such as frailty and comorbidity, provides assurance that it would also ensure that indicators of disease severity that are not available in HES </w:t>
      </w:r>
      <w:r w:rsidRPr="00C63860">
        <w:rPr>
          <w:highlight w:val="magenta"/>
        </w:rPr>
        <w:t>data</w:t>
      </w:r>
      <w:r w:rsidRPr="00C63860">
        <w:t xml:space="preserve"> were also similarly balanced between the ES and NES groups.</w:t>
      </w:r>
    </w:p>
    <w:p w14:paraId="7C2C9902" w14:textId="77777777" w:rsidR="00C63860" w:rsidRPr="00C63860" w:rsidRDefault="009B6230" w:rsidP="00F23137">
      <w:pPr>
        <w:spacing w:before="240" w:after="100" w:afterAutospacing="1" w:line="276" w:lineRule="auto"/>
      </w:pPr>
      <w:r w:rsidRPr="00C63860">
        <w:t>In summary, this analysis found that for patients presenting as emergency hospital admissions with common acute conditions, ES and NES strategies led to similar average DAOH at 90 days. For patients with severe levels of frailty, ES strategies led to worse outcomes than NES strategies for each of the five acute conditions.</w:t>
      </w:r>
    </w:p>
    <w:p w14:paraId="3048E3C8" w14:textId="348C0F1D" w:rsidR="00470AE4" w:rsidRPr="00C63860" w:rsidRDefault="00470AE4" w:rsidP="00F23137">
      <w:pPr>
        <w:pStyle w:val="Heading1"/>
        <w:spacing w:before="240"/>
      </w:pPr>
      <w:bookmarkStart w:id="72" w:name="_Toc86673000"/>
      <w:r w:rsidRPr="00C63860">
        <w:t>Chapter 4: Cost-effectiveness</w:t>
      </w:r>
      <w:bookmarkEnd w:id="72"/>
    </w:p>
    <w:p w14:paraId="6B9A1D8E" w14:textId="77777777" w:rsidR="00C63860" w:rsidRPr="00C63860" w:rsidRDefault="00470AE4" w:rsidP="00F23137">
      <w:pPr>
        <w:spacing w:before="240" w:after="240" w:line="276" w:lineRule="auto"/>
        <w:rPr>
          <w:b/>
          <w:bCs/>
          <w:sz w:val="28"/>
          <w:szCs w:val="28"/>
        </w:rPr>
      </w:pPr>
      <w:r w:rsidRPr="00C63860">
        <w:rPr>
          <w:b/>
          <w:bCs/>
          <w:sz w:val="28"/>
          <w:szCs w:val="28"/>
        </w:rPr>
        <w:t>4.1 Introduction</w:t>
      </w:r>
    </w:p>
    <w:p w14:paraId="739B46D0" w14:textId="77777777" w:rsidR="00C63860" w:rsidRPr="00C63860" w:rsidRDefault="00470AE4" w:rsidP="00F23137">
      <w:pPr>
        <w:spacing w:before="240" w:after="240" w:line="276" w:lineRule="auto"/>
      </w:pPr>
      <w:r w:rsidRPr="00C63860">
        <w:t xml:space="preserve">The second and third objectives of the ESORT study required assessment of the cost-effectiveness of ES versus NES strategies for patients with common acute gastrointestinal conditions presenting as emergency hospital admissions. These objectives emphasised the importance of providing evidence on relative costs and cost-effectiveness of ES, recognising the opportunity costs of providing ES, and that for some patients NES strategies may prove more cost-effective. While </w:t>
      </w:r>
      <w:r w:rsidR="00BE0854" w:rsidRPr="00C63860">
        <w:t>CEA</w:t>
      </w:r>
      <w:r w:rsidRPr="00C63860">
        <w:t xml:space="preserve"> methods are relatively well-established for evaluating health technologies, the evaluation of health service interventions in general, and ES in particular, raise particular challenges for recommended CEA approaches.</w:t>
      </w:r>
      <w:r w:rsidRPr="00C63860">
        <w:rPr>
          <w:noProof/>
          <w:vertAlign w:val="superscript"/>
        </w:rPr>
        <w:t>63, 64</w:t>
      </w:r>
    </w:p>
    <w:p w14:paraId="22A6B6E2" w14:textId="3F75B692" w:rsidR="00470AE4" w:rsidRPr="00C63860" w:rsidRDefault="00470AE4" w:rsidP="00F23137">
      <w:pPr>
        <w:spacing w:before="240" w:after="240" w:line="276" w:lineRule="auto"/>
      </w:pPr>
      <w:r w:rsidRPr="00C63860">
        <w:t>The ESORT study, in common with previous CEAs of ES for cholelithiasis or appendicitis,</w:t>
      </w:r>
      <w:r w:rsidRPr="00C63860">
        <w:rPr>
          <w:noProof/>
          <w:vertAlign w:val="superscript"/>
        </w:rPr>
        <w:t>24, 25</w:t>
      </w:r>
      <w:r w:rsidRPr="00C63860">
        <w:t xml:space="preserve"> did not have suitable evidence from RCTs to inform the assessment of relative effectiveness within the CEA. For patients with acute appendicitis, the published RCT evidence,</w:t>
      </w:r>
      <w:r w:rsidRPr="00C63860">
        <w:rPr>
          <w:noProof/>
          <w:vertAlign w:val="superscript"/>
        </w:rPr>
        <w:t>7, 8, 65</w:t>
      </w:r>
      <w:r w:rsidR="00C63860" w:rsidRPr="00C63860">
        <w:rPr>
          <w:noProof/>
          <w:color w:val="00B0F0"/>
          <w:vertAlign w:val="superscript"/>
        </w:rPr>
        <w:t>–6</w:t>
      </w:r>
      <w:r w:rsidRPr="00C63860">
        <w:rPr>
          <w:noProof/>
          <w:vertAlign w:val="superscript"/>
        </w:rPr>
        <w:t>7</w:t>
      </w:r>
      <w:r w:rsidRPr="00C63860">
        <w:t xml:space="preserve"> did not include the full range of patients presenting as routine hospital admissions, nor recruit from hospitals in England, and so it was unclear whether the results would apply to the NHS. For the other four acute conditions, there were no RCT evidence contrasting the ES and NES strategies of interest, for patients presenting as emergency hospital admissions. The CEA for the ESORT study therefore used the same </w:t>
      </w:r>
      <w:r w:rsidR="009C5AFE" w:rsidRPr="00C63860">
        <w:t>IV</w:t>
      </w:r>
      <w:r w:rsidRPr="00C63860">
        <w:t xml:space="preserve"> design as for the evaluation of clinical effectiveness (chapter 3)</w:t>
      </w:r>
      <w:r w:rsidR="009C5AFE" w:rsidRPr="00C63860">
        <w:t xml:space="preserve"> to address concerns about confounding when evaluating the cost-effectiveness of ES versus NES strategies</w:t>
      </w:r>
      <w:r w:rsidRPr="00C63860">
        <w:t>.</w:t>
      </w:r>
      <w:r w:rsidRPr="00C63860">
        <w:rPr>
          <w:noProof/>
          <w:vertAlign w:val="superscript"/>
        </w:rPr>
        <w:t>68</w:t>
      </w:r>
      <w:r w:rsidR="00C63860" w:rsidRPr="00C63860">
        <w:rPr>
          <w:noProof/>
          <w:color w:val="00B0F0"/>
          <w:vertAlign w:val="superscript"/>
        </w:rPr>
        <w:t>–7</w:t>
      </w:r>
      <w:r w:rsidRPr="00C63860">
        <w:rPr>
          <w:noProof/>
          <w:vertAlign w:val="superscript"/>
        </w:rPr>
        <w:t>0</w:t>
      </w:r>
      <w:r w:rsidR="009C5AFE" w:rsidRPr="00C63860">
        <w:t xml:space="preserve"> </w:t>
      </w:r>
      <w:r w:rsidRPr="00C63860">
        <w:rPr>
          <w:noProof/>
          <w:vertAlign w:val="superscript"/>
        </w:rPr>
        <w:t>55</w:t>
      </w:r>
      <w:r w:rsidRPr="00C63860">
        <w:t xml:space="preserve"> Th</w:t>
      </w:r>
      <w:r w:rsidR="009C5AFE" w:rsidRPr="00C63860">
        <w:t>e local instrumental variable (</w:t>
      </w:r>
      <w:r w:rsidRPr="00C63860">
        <w:t>LIV</w:t>
      </w:r>
      <w:r w:rsidR="009C5AFE" w:rsidRPr="00C63860">
        <w:t>)</w:t>
      </w:r>
      <w:r w:rsidRPr="00C63860">
        <w:t xml:space="preserve"> approach </w:t>
      </w:r>
      <w:r w:rsidR="009C5AFE" w:rsidRPr="00C63860">
        <w:t xml:space="preserve">taken </w:t>
      </w:r>
      <w:r w:rsidRPr="00C63860">
        <w:t>also allowed the study to meet objective 3 in reporting cost-effectiveness results according to patient subgroup.</w:t>
      </w:r>
      <w:r w:rsidRPr="00C63860">
        <w:rPr>
          <w:noProof/>
          <w:vertAlign w:val="superscript"/>
        </w:rPr>
        <w:t>55, 71</w:t>
      </w:r>
    </w:p>
    <w:p w14:paraId="47F3EC9E" w14:textId="77777777" w:rsidR="00C63860" w:rsidRPr="00C63860" w:rsidRDefault="00470AE4" w:rsidP="00F23137">
      <w:pPr>
        <w:spacing w:before="240" w:after="240" w:line="276" w:lineRule="auto"/>
        <w:rPr>
          <w:b/>
          <w:bCs/>
          <w:sz w:val="28"/>
          <w:szCs w:val="28"/>
        </w:rPr>
      </w:pPr>
      <w:r w:rsidRPr="00C63860">
        <w:t xml:space="preserve">A further challenge that arose in assessing the relative cost-effectiveness of ES from routine (HES) </w:t>
      </w:r>
      <w:r w:rsidRPr="00C63860">
        <w:rPr>
          <w:highlight w:val="magenta"/>
        </w:rPr>
        <w:t>data</w:t>
      </w:r>
      <w:r w:rsidRPr="00C63860">
        <w:t xml:space="preserve">, was that requisite information about HRQoL was not available. While previous CEAs of alternative forms of surgery in the elective (planned) setting have used HRQoL measures linked to HES </w:t>
      </w:r>
      <w:r w:rsidRPr="00C63860">
        <w:rPr>
          <w:highlight w:val="magenta"/>
        </w:rPr>
        <w:t>data</w:t>
      </w:r>
      <w:r w:rsidRPr="00C63860">
        <w:t>,</w:t>
      </w:r>
      <w:r w:rsidRPr="00C63860">
        <w:rPr>
          <w:noProof/>
          <w:vertAlign w:val="superscript"/>
        </w:rPr>
        <w:t>72</w:t>
      </w:r>
      <w:r w:rsidRPr="00C63860">
        <w:t xml:space="preserve"> such linked </w:t>
      </w:r>
      <w:r w:rsidRPr="00C63860">
        <w:rPr>
          <w:highlight w:val="magenta"/>
        </w:rPr>
        <w:t>data</w:t>
      </w:r>
      <w:r w:rsidRPr="00C63860">
        <w:t xml:space="preserve"> were not available in the emergency setting. Hence, literature reviews were undertaken for each of the five conditions, to identify the most appropriate HRQoL estimates, acknowledging the challenges of HRQoL assessment for patients presenting as emergency hospital admissions.</w:t>
      </w:r>
      <w:r w:rsidRPr="00C63860">
        <w:rPr>
          <w:noProof/>
          <w:vertAlign w:val="superscript"/>
        </w:rPr>
        <w:t>73</w:t>
      </w:r>
      <w:r w:rsidRPr="00C63860">
        <w:t xml:space="preserve"> We now describe the CEA methods, used in the ESORT study together with references to the appropriate tables and sections of the appendices for further details.</w:t>
      </w:r>
    </w:p>
    <w:p w14:paraId="77A2D4C3" w14:textId="2FAE2CA8" w:rsidR="00470AE4" w:rsidRPr="00C63860" w:rsidRDefault="00470AE4" w:rsidP="00F23137">
      <w:pPr>
        <w:spacing w:before="240" w:after="240" w:line="276" w:lineRule="auto"/>
        <w:rPr>
          <w:b/>
          <w:bCs/>
          <w:sz w:val="28"/>
          <w:szCs w:val="28"/>
        </w:rPr>
      </w:pPr>
      <w:r w:rsidRPr="00C63860">
        <w:rPr>
          <w:b/>
          <w:bCs/>
          <w:sz w:val="28"/>
          <w:szCs w:val="28"/>
        </w:rPr>
        <w:t>4.2 Methods</w:t>
      </w:r>
    </w:p>
    <w:p w14:paraId="3CC93A0C" w14:textId="77777777" w:rsidR="00470AE4" w:rsidRPr="00C63860" w:rsidRDefault="00470AE4" w:rsidP="00F23137">
      <w:pPr>
        <w:spacing w:before="240" w:after="240" w:line="276" w:lineRule="auto"/>
        <w:jc w:val="both"/>
        <w:rPr>
          <w:rFonts w:cs="Arial"/>
          <w:b/>
          <w:bCs/>
          <w:iCs/>
        </w:rPr>
      </w:pPr>
      <w:r w:rsidRPr="00C63860">
        <w:rPr>
          <w:rFonts w:cs="Arial"/>
          <w:b/>
          <w:bCs/>
          <w:iCs/>
        </w:rPr>
        <w:t>4.2.1 Overview</w:t>
      </w:r>
    </w:p>
    <w:p w14:paraId="7BECEFDD" w14:textId="671E8A71" w:rsidR="00C63860" w:rsidRPr="00C63860" w:rsidRDefault="00470AE4" w:rsidP="00F23137">
      <w:pPr>
        <w:spacing w:before="240" w:after="240" w:line="276" w:lineRule="auto"/>
        <w:rPr>
          <w:rFonts w:cs="Arial"/>
        </w:rPr>
      </w:pPr>
      <w:r w:rsidRPr="00C63860">
        <w:rPr>
          <w:rFonts w:cs="Arial"/>
        </w:rPr>
        <w:t xml:space="preserve">The economic evaluation took the form of a CEA, with outcomes reported as </w:t>
      </w:r>
      <w:r w:rsidR="00C63860" w:rsidRPr="00C63860">
        <w:rPr>
          <w:rFonts w:cs="Arial"/>
          <w:color w:val="00B0F0"/>
        </w:rPr>
        <w:t>life-year</w:t>
      </w:r>
      <w:r w:rsidRPr="00C63860">
        <w:rPr>
          <w:rFonts w:cs="Arial"/>
        </w:rPr>
        <w:t xml:space="preserve">s (LYs) and </w:t>
      </w:r>
      <w:r w:rsidR="009C5AFE" w:rsidRPr="00C63860">
        <w:rPr>
          <w:rFonts w:cs="Arial"/>
        </w:rPr>
        <w:t>Q</w:t>
      </w:r>
      <w:r w:rsidRPr="00C63860">
        <w:rPr>
          <w:rFonts w:cs="Arial"/>
        </w:rPr>
        <w:t>uality-</w:t>
      </w:r>
      <w:r w:rsidR="009C5AFE" w:rsidRPr="00C63860">
        <w:rPr>
          <w:rFonts w:cs="Arial"/>
        </w:rPr>
        <w:t>A</w:t>
      </w:r>
      <w:r w:rsidRPr="00C63860">
        <w:rPr>
          <w:rFonts w:cs="Arial"/>
        </w:rPr>
        <w:t xml:space="preserve">djusted </w:t>
      </w:r>
      <w:r w:rsidR="00C63860" w:rsidRPr="00C63860">
        <w:rPr>
          <w:rFonts w:cs="Arial"/>
          <w:color w:val="00B0F0"/>
        </w:rPr>
        <w:t>Life-year</w:t>
      </w:r>
      <w:r w:rsidRPr="00C63860">
        <w:rPr>
          <w:rFonts w:cs="Arial"/>
        </w:rPr>
        <w:t>s (QALYs). The CEA took the perspective of the NHS acute hospital trust, and included the costs of inpatient hospital stays. The rationale for excluding the costs of outpatient and personal health services,</w:t>
      </w:r>
      <w:r w:rsidRPr="00C63860">
        <w:rPr>
          <w:rFonts w:cs="Arial"/>
          <w:noProof/>
          <w:vertAlign w:val="superscript"/>
        </w:rPr>
        <w:t>63</w:t>
      </w:r>
      <w:r w:rsidRPr="00C63860">
        <w:rPr>
          <w:rFonts w:cs="Arial"/>
        </w:rPr>
        <w:t xml:space="preserve"> is that the required </w:t>
      </w:r>
      <w:r w:rsidRPr="00C63860">
        <w:rPr>
          <w:rFonts w:cs="Arial"/>
          <w:highlight w:val="magenta"/>
        </w:rPr>
        <w:t>data</w:t>
      </w:r>
      <w:r w:rsidRPr="00C63860">
        <w:rPr>
          <w:rFonts w:cs="Arial"/>
        </w:rPr>
        <w:t xml:space="preserve"> items were not available from HES, that it was infeasible to survey a sufficiently large patient sample within the study timeframe, and that previous studies reported that the majority of the incremental costs were those incurred by inpatient hospital stays.</w:t>
      </w:r>
      <w:r w:rsidRPr="00C63860">
        <w:rPr>
          <w:rFonts w:cs="Arial"/>
          <w:noProof/>
          <w:vertAlign w:val="superscript"/>
        </w:rPr>
        <w:t>21</w:t>
      </w:r>
      <w:r w:rsidR="00C63860" w:rsidRPr="00C63860">
        <w:rPr>
          <w:rFonts w:cs="Arial"/>
        </w:rPr>
        <w:t xml:space="preserve"> </w:t>
      </w:r>
      <w:r w:rsidRPr="00C63860">
        <w:rPr>
          <w:rFonts w:cs="Arial"/>
        </w:rPr>
        <w:t xml:space="preserve">The study populations were the same as those described in the evaluation of clinical effectiveness (Chapter 3). In the base case, the study reported results over a one-year time horizon </w:t>
      </w:r>
      <w:r w:rsidR="00A865BE" w:rsidRPr="00C63860">
        <w:rPr>
          <w:rFonts w:cs="Arial"/>
        </w:rPr>
        <w:t xml:space="preserve">and so were undiscounted, </w:t>
      </w:r>
      <w:r w:rsidRPr="00C63860">
        <w:rPr>
          <w:rFonts w:cs="Arial"/>
        </w:rPr>
        <w:t xml:space="preserve">and incorporated patient-level resource use (HES), and linked all-cause mortality </w:t>
      </w:r>
      <w:r w:rsidRPr="00C63860">
        <w:rPr>
          <w:rFonts w:cs="Arial"/>
          <w:highlight w:val="magenta"/>
        </w:rPr>
        <w:t>data</w:t>
      </w:r>
      <w:r w:rsidRPr="00C63860">
        <w:rPr>
          <w:rFonts w:cs="Arial"/>
        </w:rPr>
        <w:t xml:space="preserve"> (ONS). Previous studies have reported that the majority of costs following either ES or NES strategies are incurred within one-year.</w:t>
      </w:r>
      <w:r w:rsidRPr="00C63860">
        <w:rPr>
          <w:rFonts w:cs="Arial"/>
          <w:noProof/>
          <w:vertAlign w:val="superscript"/>
        </w:rPr>
        <w:t>74</w:t>
      </w:r>
      <w:r w:rsidRPr="00C63860">
        <w:rPr>
          <w:rFonts w:cs="Arial"/>
        </w:rPr>
        <w:t xml:space="preserve"> A recent study using </w:t>
      </w:r>
      <w:r w:rsidRPr="00C63860">
        <w:rPr>
          <w:rFonts w:cs="Arial"/>
          <w:highlight w:val="magenta"/>
        </w:rPr>
        <w:t>data</w:t>
      </w:r>
      <w:r w:rsidRPr="00C63860">
        <w:rPr>
          <w:rFonts w:cs="Arial"/>
        </w:rPr>
        <w:t xml:space="preserve"> from NELA showed that most of the gains in HRQoL after ES occurred within the first three to six months.</w:t>
      </w:r>
      <w:r w:rsidRPr="00C63860">
        <w:rPr>
          <w:rFonts w:cs="Arial"/>
          <w:noProof/>
          <w:vertAlign w:val="superscript"/>
        </w:rPr>
        <w:t>75</w:t>
      </w:r>
      <w:r w:rsidRPr="00C63860">
        <w:rPr>
          <w:rFonts w:cs="Arial"/>
        </w:rPr>
        <w:t xml:space="preserve"> We also undertook sensitivity analyses to assess whether the base case results were robust to extending this time horizon to five years</w:t>
      </w:r>
      <w:r w:rsidR="00A865BE" w:rsidRPr="00C63860">
        <w:rPr>
          <w:rFonts w:cs="Arial"/>
        </w:rPr>
        <w:t xml:space="preserve">, </w:t>
      </w:r>
      <w:r w:rsidR="009C5AFE" w:rsidRPr="00C63860">
        <w:rPr>
          <w:rFonts w:cs="Arial"/>
        </w:rPr>
        <w:t>with costs and QALYs in years two to</w:t>
      </w:r>
      <w:r w:rsidR="00A865BE" w:rsidRPr="00C63860">
        <w:rPr>
          <w:rFonts w:cs="Arial"/>
        </w:rPr>
        <w:t xml:space="preserve"> five discounted at NICE-recommended rate</w:t>
      </w:r>
      <w:r w:rsidR="009C5AFE" w:rsidRPr="00C63860">
        <w:rPr>
          <w:rFonts w:cs="Arial"/>
        </w:rPr>
        <w:t>s</w:t>
      </w:r>
      <w:r w:rsidR="00A865BE" w:rsidRPr="00C63860">
        <w:rPr>
          <w:rFonts w:cs="Arial"/>
        </w:rPr>
        <w:t xml:space="preserve"> of 3.5%.</w:t>
      </w:r>
    </w:p>
    <w:p w14:paraId="5BACF2BA" w14:textId="77777777" w:rsidR="00C63860" w:rsidRPr="00C63860" w:rsidRDefault="00470AE4" w:rsidP="00F23137">
      <w:pPr>
        <w:spacing w:before="240" w:after="240" w:line="276" w:lineRule="auto"/>
        <w:rPr>
          <w:b/>
          <w:bCs/>
        </w:rPr>
      </w:pPr>
      <w:r w:rsidRPr="00C63860">
        <w:rPr>
          <w:rFonts w:cs="Arial"/>
          <w:b/>
          <w:bCs/>
          <w:iCs/>
        </w:rPr>
        <w:t xml:space="preserve">4.2.2 </w:t>
      </w:r>
      <w:r w:rsidRPr="00C63860">
        <w:rPr>
          <w:b/>
          <w:bCs/>
        </w:rPr>
        <w:t>Definition of ES and NES strategy groups</w:t>
      </w:r>
    </w:p>
    <w:p w14:paraId="3F277E68" w14:textId="14B1C4F6" w:rsidR="00C63860" w:rsidRPr="00C63860" w:rsidRDefault="00470AE4" w:rsidP="00F23137">
      <w:pPr>
        <w:spacing w:before="240" w:after="240" w:line="276" w:lineRule="auto"/>
      </w:pPr>
      <w:r w:rsidRPr="00C63860">
        <w:t>The definition of the comparison groups was identical to that for the assessment of relative effectiveness, with ES defined from OPC</w:t>
      </w:r>
      <w:r w:rsidR="00C63860" w:rsidRPr="00C63860">
        <w:rPr>
          <w:color w:val="00B0F0"/>
        </w:rPr>
        <w:t>S-4</w:t>
      </w:r>
      <w:r w:rsidRPr="00C63860">
        <w:t xml:space="preserve"> procedure codes, and within the maximum specified time windows of within three days (hernia), seven days (appendicitis, cholelithiasis, intestinal obstruction), or any time within the emergency admission (diverticular disease). The NES strategies were the counterfactuals to the ES strategies and included: non-operative care, such as antibiotic therapy, and those operative procedures that did not </w:t>
      </w:r>
      <w:r w:rsidRPr="00C63860">
        <w:rPr>
          <w:highlight w:val="magenta"/>
        </w:rPr>
        <w:t>constitute</w:t>
      </w:r>
      <w:r w:rsidRPr="00C63860">
        <w:t xml:space="preserve"> ES, either because they were not considered a qualifying ES procedure, or were undertaken after the maximum time window for ES (or both). The CEA recognised that the ES group could have similar aspects of clinical management to the NES group, in addition to the ES strategies.</w:t>
      </w:r>
    </w:p>
    <w:p w14:paraId="6D7680DF" w14:textId="77777777" w:rsidR="00C63860" w:rsidRPr="00C63860" w:rsidRDefault="00470AE4" w:rsidP="00F23137">
      <w:pPr>
        <w:spacing w:before="240" w:after="240" w:line="276" w:lineRule="auto"/>
        <w:rPr>
          <w:b/>
          <w:bCs/>
        </w:rPr>
      </w:pPr>
      <w:r w:rsidRPr="00C63860">
        <w:rPr>
          <w:b/>
          <w:bCs/>
        </w:rPr>
        <w:t>4.2.3 Resource use measurement</w:t>
      </w:r>
    </w:p>
    <w:p w14:paraId="49BDF86D" w14:textId="77777777" w:rsidR="00C63860" w:rsidRPr="00C63860" w:rsidRDefault="00470AE4" w:rsidP="00F23137">
      <w:pPr>
        <w:spacing w:before="240" w:after="240" w:line="276" w:lineRule="auto"/>
        <w:rPr>
          <w:rFonts w:cstheme="minorHAnsi"/>
        </w:rPr>
      </w:pPr>
      <w:r w:rsidRPr="00C63860">
        <w:rPr>
          <w:rFonts w:cstheme="minorHAnsi"/>
        </w:rPr>
        <w:t xml:space="preserve">Resource use and cost measurement was undertaken from the date the patient was judged eligible for the study, i.e. the date they were first seen by the surgical team following the index emergency admission. The study extracted those resource use items from the HES </w:t>
      </w:r>
      <w:r w:rsidRPr="00C63860">
        <w:rPr>
          <w:rFonts w:cstheme="minorHAnsi"/>
          <w:highlight w:val="magenta"/>
        </w:rPr>
        <w:t>data</w:t>
      </w:r>
      <w:r w:rsidRPr="00C63860">
        <w:rPr>
          <w:rFonts w:cstheme="minorHAnsi"/>
        </w:rPr>
        <w:t xml:space="preserve"> that were judged to be the major drivers of incremental cost and cost-effectiveness of ES versus the NES strategies for patients with the five acute conditions.</w:t>
      </w:r>
      <w:r w:rsidRPr="00C63860">
        <w:rPr>
          <w:rFonts w:cstheme="minorHAnsi"/>
          <w:noProof/>
          <w:vertAlign w:val="superscript"/>
        </w:rPr>
        <w:t>76, 77</w:t>
      </w:r>
      <w:r w:rsidRPr="00C63860">
        <w:rPr>
          <w:rFonts w:cstheme="minorHAnsi"/>
        </w:rPr>
        <w:t xml:space="preserve"> These resource use categories were: the use of operative procedures including those that constituted ES, the use of non-operative procedures including interventional radiology, the use of imaging and other radiological investigation, the duration of hospital stay for the index admission, including transfers to critical care, and subsequent readmissions up to one year.</w:t>
      </w:r>
    </w:p>
    <w:p w14:paraId="76257A0C" w14:textId="65D05050" w:rsidR="00C63860" w:rsidRPr="00C63860" w:rsidRDefault="00470AE4" w:rsidP="00F23137">
      <w:pPr>
        <w:spacing w:before="240" w:after="240" w:line="276" w:lineRule="auto"/>
        <w:rPr>
          <w:rFonts w:cstheme="minorHAnsi"/>
        </w:rPr>
      </w:pPr>
      <w:bookmarkStart w:id="73" w:name="_Hlk86155095"/>
      <w:r w:rsidRPr="00C63860">
        <w:rPr>
          <w:rFonts w:cstheme="minorHAnsi"/>
        </w:rPr>
        <w:t xml:space="preserve">For each admission we collated </w:t>
      </w:r>
      <w:r w:rsidRPr="00C63860">
        <w:rPr>
          <w:rFonts w:cstheme="minorHAnsi"/>
          <w:highlight w:val="magenta"/>
        </w:rPr>
        <w:t>data</w:t>
      </w:r>
      <w:r w:rsidRPr="00C63860">
        <w:rPr>
          <w:rFonts w:cstheme="minorHAnsi"/>
        </w:rPr>
        <w:t xml:space="preserve"> on the procedures received according to OPCS procedure codes, including combinations of multiple OPCS codes where appropriate. For each index emergency hospital admission, we defined </w:t>
      </w:r>
      <w:r w:rsidR="00C63860" w:rsidRPr="00C63860">
        <w:rPr>
          <w:rFonts w:cstheme="minorHAnsi"/>
          <w:color w:val="00B0F0"/>
        </w:rPr>
        <w:t>‘</w:t>
      </w:r>
      <w:r w:rsidR="006F6056" w:rsidRPr="00C63860">
        <w:rPr>
          <w:rFonts w:cstheme="minorHAnsi"/>
        </w:rPr>
        <w:t>more common</w:t>
      </w:r>
      <w:r w:rsidR="00C63860" w:rsidRPr="00C63860">
        <w:rPr>
          <w:rFonts w:cstheme="minorHAnsi"/>
          <w:color w:val="00B0F0"/>
        </w:rPr>
        <w:t>’</w:t>
      </w:r>
      <w:r w:rsidRPr="00C63860">
        <w:rPr>
          <w:rFonts w:cstheme="minorHAnsi"/>
        </w:rPr>
        <w:t xml:space="preserve"> operative procedures as any operative procedure, with a prevalence of at least 1% within the index admission for each comparison group. This conservative definition of a </w:t>
      </w:r>
      <w:r w:rsidR="00C63860" w:rsidRPr="00C63860">
        <w:rPr>
          <w:rFonts w:cstheme="minorHAnsi"/>
          <w:color w:val="00B0F0"/>
        </w:rPr>
        <w:t>‘</w:t>
      </w:r>
      <w:r w:rsidR="006F6056" w:rsidRPr="00C63860">
        <w:rPr>
          <w:rFonts w:cstheme="minorHAnsi"/>
        </w:rPr>
        <w:t>more common</w:t>
      </w:r>
      <w:r w:rsidR="00C63860" w:rsidRPr="00C63860">
        <w:rPr>
          <w:rFonts w:cstheme="minorHAnsi"/>
          <w:color w:val="00B0F0"/>
        </w:rPr>
        <w:t>’</w:t>
      </w:r>
      <w:r w:rsidRPr="00C63860">
        <w:rPr>
          <w:rFonts w:cstheme="minorHAnsi"/>
        </w:rPr>
        <w:t xml:space="preserve"> procedure was taken to reduce the risk of excluding important cost differences between the comparison groups. The overall list of the </w:t>
      </w:r>
      <w:r w:rsidR="00C63860" w:rsidRPr="00C63860">
        <w:rPr>
          <w:rFonts w:cstheme="minorHAnsi"/>
          <w:color w:val="00B0F0"/>
        </w:rPr>
        <w:t>‘</w:t>
      </w:r>
      <w:r w:rsidR="006F6056" w:rsidRPr="00C63860">
        <w:rPr>
          <w:rFonts w:cstheme="minorHAnsi"/>
        </w:rPr>
        <w:t>more common</w:t>
      </w:r>
      <w:r w:rsidR="00C63860" w:rsidRPr="00C63860">
        <w:rPr>
          <w:rFonts w:cstheme="minorHAnsi"/>
          <w:color w:val="00B0F0"/>
        </w:rPr>
        <w:t>’</w:t>
      </w:r>
      <w:r w:rsidRPr="00C63860">
        <w:rPr>
          <w:rFonts w:cstheme="minorHAnsi"/>
        </w:rPr>
        <w:t xml:space="preserve"> procedures for the index emergency admissions across the comparison groups, was then applied to define the procedures that would be costed within each readmission, for both comparison groups. These </w:t>
      </w:r>
      <w:r w:rsidR="00C63860" w:rsidRPr="00C63860">
        <w:rPr>
          <w:rFonts w:cstheme="minorHAnsi"/>
          <w:color w:val="00B0F0"/>
        </w:rPr>
        <w:t>‘</w:t>
      </w:r>
      <w:r w:rsidR="006F6056" w:rsidRPr="00C63860">
        <w:rPr>
          <w:rFonts w:cstheme="minorHAnsi"/>
        </w:rPr>
        <w:t>common</w:t>
      </w:r>
      <w:r w:rsidR="00C63860" w:rsidRPr="00C63860">
        <w:rPr>
          <w:rFonts w:cstheme="minorHAnsi"/>
          <w:color w:val="00B0F0"/>
        </w:rPr>
        <w:t>’</w:t>
      </w:r>
      <w:r w:rsidRPr="00C63860">
        <w:rPr>
          <w:rFonts w:cstheme="minorHAnsi"/>
        </w:rPr>
        <w:t xml:space="preserve"> operative procedures within readmissions were costed using the same methods and assumptions used for </w:t>
      </w:r>
      <w:r w:rsidR="00365F31" w:rsidRPr="00C63860">
        <w:rPr>
          <w:rFonts w:cstheme="minorHAnsi"/>
        </w:rPr>
        <w:t>operative</w:t>
      </w:r>
      <w:r w:rsidRPr="00C63860">
        <w:rPr>
          <w:rFonts w:cstheme="minorHAnsi"/>
        </w:rPr>
        <w:t xml:space="preserve"> procedures within the index admission.</w:t>
      </w:r>
    </w:p>
    <w:p w14:paraId="174C006C" w14:textId="56086B5E" w:rsidR="00C63860" w:rsidRPr="00C63860" w:rsidRDefault="00470AE4" w:rsidP="00F23137">
      <w:pPr>
        <w:spacing w:before="240" w:after="240" w:line="276" w:lineRule="auto"/>
        <w:rPr>
          <w:rFonts w:cstheme="minorHAnsi"/>
        </w:rPr>
      </w:pPr>
      <w:r w:rsidRPr="00C63860">
        <w:rPr>
          <w:rFonts w:cstheme="minorHAnsi"/>
        </w:rPr>
        <w:t xml:space="preserve">For each of these </w:t>
      </w:r>
      <w:r w:rsidR="00C63860" w:rsidRPr="00C63860">
        <w:rPr>
          <w:rFonts w:cstheme="minorHAnsi"/>
          <w:color w:val="00B0F0"/>
        </w:rPr>
        <w:t>‘</w:t>
      </w:r>
      <w:r w:rsidR="006F6056" w:rsidRPr="00C63860">
        <w:rPr>
          <w:rFonts w:cstheme="minorHAnsi"/>
        </w:rPr>
        <w:t>more common</w:t>
      </w:r>
      <w:r w:rsidR="00C63860" w:rsidRPr="00C63860">
        <w:rPr>
          <w:rFonts w:cstheme="minorHAnsi"/>
          <w:color w:val="00B0F0"/>
        </w:rPr>
        <w:t>’</w:t>
      </w:r>
      <w:r w:rsidRPr="00C63860">
        <w:rPr>
          <w:rFonts w:cstheme="minorHAnsi"/>
        </w:rPr>
        <w:t xml:space="preserve"> procedures we assumed that the procedure costs were additional to those included within the unit costs per bed-day. If multiple operative procedures within the admission met the criteria for </w:t>
      </w:r>
      <w:r w:rsidR="00C63860" w:rsidRPr="00C63860">
        <w:rPr>
          <w:rFonts w:cstheme="minorHAnsi"/>
          <w:color w:val="00B0F0"/>
        </w:rPr>
        <w:t>‘</w:t>
      </w:r>
      <w:r w:rsidR="006F6056" w:rsidRPr="00C63860">
        <w:rPr>
          <w:rFonts w:cstheme="minorHAnsi"/>
        </w:rPr>
        <w:t>more common</w:t>
      </w:r>
      <w:r w:rsidR="00C63860" w:rsidRPr="00C63860">
        <w:rPr>
          <w:rFonts w:cstheme="minorHAnsi"/>
          <w:color w:val="00B0F0"/>
        </w:rPr>
        <w:t>’</w:t>
      </w:r>
      <w:r w:rsidRPr="00C63860">
        <w:rPr>
          <w:rFonts w:cstheme="minorHAnsi"/>
        </w:rPr>
        <w:t xml:space="preserve">, only one was costed, to minimise the risk of double-counting. In identifying </w:t>
      </w:r>
      <w:r w:rsidR="00C63860" w:rsidRPr="00C63860">
        <w:rPr>
          <w:rFonts w:cstheme="minorHAnsi"/>
          <w:color w:val="00B0F0"/>
        </w:rPr>
        <w:t>‘</w:t>
      </w:r>
      <w:r w:rsidR="006F6056" w:rsidRPr="00C63860">
        <w:rPr>
          <w:rFonts w:cstheme="minorHAnsi"/>
        </w:rPr>
        <w:t>more common</w:t>
      </w:r>
      <w:r w:rsidR="00C63860" w:rsidRPr="00C63860">
        <w:rPr>
          <w:rFonts w:cstheme="minorHAnsi"/>
          <w:color w:val="00B0F0"/>
        </w:rPr>
        <w:t>’</w:t>
      </w:r>
      <w:r w:rsidRPr="00C63860">
        <w:rPr>
          <w:rFonts w:cstheme="minorHAnsi"/>
        </w:rPr>
        <w:t xml:space="preserve"> procedures </w:t>
      </w:r>
      <w:r w:rsidRPr="00C63860">
        <w:t xml:space="preserve">within each index admission or readmission </w:t>
      </w:r>
      <w:r w:rsidRPr="00C63860">
        <w:rPr>
          <w:rFonts w:cstheme="minorHAnsi"/>
        </w:rPr>
        <w:t>we first considered ES procedures, then operative procedures that did not meet the ES criteria, including interventional radiology and finally non-operative procedures (e.g. catheterisation of bladder).</w:t>
      </w:r>
    </w:p>
    <w:p w14:paraId="0777F3B8" w14:textId="76364DC2" w:rsidR="00C63860" w:rsidRPr="00C63860" w:rsidRDefault="00470AE4" w:rsidP="00F23137">
      <w:pPr>
        <w:spacing w:before="240" w:after="240" w:line="276" w:lineRule="auto"/>
        <w:rPr>
          <w:rFonts w:cstheme="minorHAnsi"/>
        </w:rPr>
      </w:pPr>
      <w:r w:rsidRPr="00C63860">
        <w:rPr>
          <w:rFonts w:cstheme="minorHAnsi"/>
        </w:rPr>
        <w:t xml:space="preserve">For those admissions with procedures that did not meet the threshold for a common procedure because they were all </w:t>
      </w:r>
      <w:r w:rsidR="00C63860" w:rsidRPr="00C63860">
        <w:rPr>
          <w:rFonts w:cstheme="minorHAnsi"/>
          <w:color w:val="00B0F0"/>
        </w:rPr>
        <w:t>‘</w:t>
      </w:r>
      <w:r w:rsidR="006F6056" w:rsidRPr="00C63860">
        <w:rPr>
          <w:rFonts w:cstheme="minorHAnsi"/>
        </w:rPr>
        <w:t>low-volume</w:t>
      </w:r>
      <w:r w:rsidR="00C63860" w:rsidRPr="00C63860">
        <w:rPr>
          <w:rFonts w:cstheme="minorHAnsi"/>
          <w:color w:val="00B0F0"/>
        </w:rPr>
        <w:t>’</w:t>
      </w:r>
      <w:r w:rsidRPr="00C63860">
        <w:rPr>
          <w:rFonts w:cstheme="minorHAnsi"/>
        </w:rPr>
        <w:t xml:space="preserve"> (</w:t>
      </w:r>
      <w:r w:rsidR="00C63860" w:rsidRPr="00C63860">
        <w:rPr>
          <w:rFonts w:cstheme="minorHAnsi"/>
          <w:color w:val="00B0F0"/>
        </w:rPr>
        <w:t>&lt; 1</w:t>
      </w:r>
      <w:r w:rsidRPr="00C63860">
        <w:rPr>
          <w:rFonts w:cstheme="minorHAnsi"/>
        </w:rPr>
        <w:t xml:space="preserve">% for each comparison group), we assumed the cost was captured within the bed-day costs. We included additional costs of those diagnostic tests that were </w:t>
      </w:r>
      <w:r w:rsidR="00C63860" w:rsidRPr="00C63860">
        <w:rPr>
          <w:rFonts w:cstheme="minorHAnsi"/>
          <w:color w:val="00B0F0"/>
        </w:rPr>
        <w:t>‘</w:t>
      </w:r>
      <w:r w:rsidR="006F6056" w:rsidRPr="00C63860">
        <w:rPr>
          <w:rFonts w:cstheme="minorHAnsi"/>
        </w:rPr>
        <w:t>more common</w:t>
      </w:r>
      <w:r w:rsidR="00C63860" w:rsidRPr="00C63860">
        <w:rPr>
          <w:rFonts w:cstheme="minorHAnsi"/>
          <w:color w:val="00B0F0"/>
        </w:rPr>
        <w:t>’</w:t>
      </w:r>
      <w:r w:rsidRPr="00C63860">
        <w:rPr>
          <w:rFonts w:cstheme="minorHAnsi"/>
        </w:rPr>
        <w:t>, defined again as a prevalence within each group of at least 1%. The costs of other diagnostic tests were assumed to be covered by the general bed-day costs.</w:t>
      </w:r>
      <w:bookmarkEnd w:id="73"/>
    </w:p>
    <w:p w14:paraId="2B239AEE" w14:textId="164A2EC1" w:rsidR="00C63860" w:rsidRPr="00C63860" w:rsidRDefault="00470AE4" w:rsidP="00F23137">
      <w:pPr>
        <w:spacing w:before="240" w:after="240" w:line="276" w:lineRule="auto"/>
        <w:rPr>
          <w:rFonts w:cstheme="minorHAnsi"/>
        </w:rPr>
      </w:pPr>
      <w:r w:rsidRPr="00C63860">
        <w:rPr>
          <w:rFonts w:cstheme="minorHAnsi"/>
        </w:rPr>
        <w:t xml:space="preserve">We identified all readmissions to hospitals in England up to one year after the index admission (base case). We extracted resource use for all these hospital readmissions irrespective of the diagnoses accompanying the readmission. We extracted information for the OPCS codes within the readmission, and used this information to define whether within the readmission, the patient received one of the </w:t>
      </w:r>
      <w:r w:rsidR="00C63860" w:rsidRPr="00C63860">
        <w:rPr>
          <w:rFonts w:cstheme="minorHAnsi"/>
          <w:color w:val="00B0F0"/>
        </w:rPr>
        <w:t>‘</w:t>
      </w:r>
      <w:r w:rsidR="006F6056" w:rsidRPr="00C63860">
        <w:rPr>
          <w:rFonts w:cstheme="minorHAnsi"/>
        </w:rPr>
        <w:t>more common</w:t>
      </w:r>
      <w:r w:rsidR="00C63860" w:rsidRPr="00C63860">
        <w:rPr>
          <w:rFonts w:cstheme="minorHAnsi"/>
          <w:color w:val="00B0F0"/>
        </w:rPr>
        <w:t>’</w:t>
      </w:r>
      <w:r w:rsidRPr="00C63860">
        <w:rPr>
          <w:rFonts w:cstheme="minorHAnsi"/>
        </w:rPr>
        <w:t xml:space="preserve"> operative procedures either as delayed surgery (NES group), or as a re-intervention (either ES or NES group). We extracted information on the overall hospital LOS within each </w:t>
      </w:r>
      <w:r w:rsidR="00365F31" w:rsidRPr="00C63860">
        <w:rPr>
          <w:rFonts w:cstheme="minorHAnsi"/>
        </w:rPr>
        <w:t xml:space="preserve">index </w:t>
      </w:r>
      <w:r w:rsidRPr="00C63860">
        <w:rPr>
          <w:rFonts w:cstheme="minorHAnsi"/>
        </w:rPr>
        <w:t xml:space="preserve">admission and readmission, and summed these across all admissions to calculate the total days in hospital prior to one year. We accessed </w:t>
      </w:r>
      <w:r w:rsidRPr="00C63860">
        <w:rPr>
          <w:rFonts w:cstheme="minorHAnsi"/>
          <w:highlight w:val="magenta"/>
        </w:rPr>
        <w:t>data</w:t>
      </w:r>
      <w:r w:rsidRPr="00C63860">
        <w:rPr>
          <w:rFonts w:cstheme="minorHAnsi"/>
        </w:rPr>
        <w:t xml:space="preserve"> on the number of critical care bed-days, with the level of care defined by the number of organs supported, according to the Adult Critical Care </w:t>
      </w:r>
      <w:r w:rsidRPr="00C63860">
        <w:rPr>
          <w:rFonts w:cstheme="minorHAnsi"/>
          <w:highlight w:val="magenta"/>
        </w:rPr>
        <w:t>data</w:t>
      </w:r>
      <w:r w:rsidRPr="00C63860">
        <w:rPr>
          <w:rFonts w:cstheme="minorHAnsi"/>
        </w:rPr>
        <w:t xml:space="preserve"> linked to HES.</w:t>
      </w:r>
      <w:r w:rsidRPr="00C63860">
        <w:rPr>
          <w:rFonts w:cstheme="minorHAnsi"/>
          <w:noProof/>
          <w:vertAlign w:val="superscript"/>
        </w:rPr>
        <w:t>78</w:t>
      </w:r>
      <w:r w:rsidRPr="00C63860">
        <w:rPr>
          <w:rFonts w:cstheme="minorHAnsi"/>
        </w:rPr>
        <w:t xml:space="preserve"> We extracted </w:t>
      </w:r>
      <w:r w:rsidRPr="00C63860">
        <w:rPr>
          <w:rFonts w:cstheme="minorHAnsi"/>
          <w:highlight w:val="magenta"/>
        </w:rPr>
        <w:t>data</w:t>
      </w:r>
      <w:r w:rsidRPr="00C63860">
        <w:rPr>
          <w:rFonts w:cstheme="minorHAnsi"/>
        </w:rPr>
        <w:t xml:space="preserve"> on hospital transfers to recognise that patients may transfer to another hospital, for example for rehabilitation.</w:t>
      </w:r>
    </w:p>
    <w:p w14:paraId="761B09CC" w14:textId="1FCD8993" w:rsidR="00470AE4" w:rsidRPr="00C63860" w:rsidRDefault="00470AE4" w:rsidP="00F23137">
      <w:pPr>
        <w:spacing w:before="240" w:after="240" w:line="276" w:lineRule="auto"/>
        <w:jc w:val="both"/>
        <w:rPr>
          <w:rFonts w:cstheme="minorHAnsi"/>
          <w:b/>
          <w:bCs/>
        </w:rPr>
      </w:pPr>
      <w:r w:rsidRPr="00C63860">
        <w:rPr>
          <w:rFonts w:cstheme="minorHAnsi"/>
          <w:b/>
          <w:bCs/>
        </w:rPr>
        <w:t>4.2.4 Unit costs and total costs</w:t>
      </w:r>
    </w:p>
    <w:p w14:paraId="39476410" w14:textId="341BFCEC" w:rsidR="00C63860" w:rsidRPr="00C63860" w:rsidRDefault="00470AE4" w:rsidP="00F23137">
      <w:pPr>
        <w:spacing w:before="240" w:after="240" w:line="276" w:lineRule="auto"/>
        <w:rPr>
          <w:rFonts w:cstheme="minorHAnsi"/>
        </w:rPr>
      </w:pPr>
      <w:r w:rsidRPr="00C63860">
        <w:rPr>
          <w:rFonts w:cstheme="minorHAnsi"/>
        </w:rPr>
        <w:t xml:space="preserve">To calculate unit costs for each of the </w:t>
      </w:r>
      <w:r w:rsidR="00C63860" w:rsidRPr="00C63860">
        <w:rPr>
          <w:rFonts w:cstheme="minorHAnsi"/>
          <w:color w:val="00B0F0"/>
        </w:rPr>
        <w:t>‘</w:t>
      </w:r>
      <w:r w:rsidR="006F6056" w:rsidRPr="00C63860">
        <w:rPr>
          <w:rFonts w:cstheme="minorHAnsi"/>
        </w:rPr>
        <w:t>more common</w:t>
      </w:r>
      <w:r w:rsidR="00C63860" w:rsidRPr="00C63860">
        <w:rPr>
          <w:rFonts w:cstheme="minorHAnsi"/>
          <w:color w:val="00B0F0"/>
        </w:rPr>
        <w:t>’</w:t>
      </w:r>
      <w:r w:rsidRPr="00C63860">
        <w:rPr>
          <w:rFonts w:cstheme="minorHAnsi"/>
        </w:rPr>
        <w:t xml:space="preserve"> operative procedures, we extracted information, from the precedent literature and expert opinion on the expected durations of the procedure, and the number and grade of staff involved (</w:t>
      </w:r>
      <w:r w:rsidR="00C96395" w:rsidRPr="00C63860">
        <w:rPr>
          <w:rFonts w:cstheme="minorHAnsi"/>
        </w:rPr>
        <w:t xml:space="preserve">Appendix 3, </w:t>
      </w:r>
      <w:r w:rsidR="00C63860" w:rsidRPr="00C63860">
        <w:rPr>
          <w:rFonts w:cstheme="minorHAnsi"/>
          <w:i/>
          <w:color w:val="FF0000"/>
        </w:rPr>
        <w:t>Table 23</w:t>
      </w:r>
      <w:r w:rsidRPr="00C63860">
        <w:rPr>
          <w:rFonts w:cstheme="minorHAnsi"/>
        </w:rPr>
        <w:t xml:space="preserve">). The use of disposables (e.g. reload staplers), equipment (e.g. ultrasound systems), surgical instruments (e.g. laparoscopic sets), and overheads were informed by expert opinion. Direct </w:t>
      </w:r>
      <w:r w:rsidRPr="00C63860">
        <w:rPr>
          <w:rFonts w:cstheme="minorHAnsi"/>
          <w:highlight w:val="magenta"/>
        </w:rPr>
        <w:t>personnel</w:t>
      </w:r>
      <w:r w:rsidRPr="00C63860">
        <w:rPr>
          <w:rFonts w:cstheme="minorHAnsi"/>
        </w:rPr>
        <w:t xml:space="preserve"> costs were calculated as the costs per hour of employing each grade of staff. Overhead costs included: drugs, direct Central Sterile Supply Department (CSSD), and allocated costs (including rent, property and equipment maintenance and cleaning costs) associated with the provision of the procedure.</w:t>
      </w:r>
      <w:r w:rsidRPr="00C63860">
        <w:rPr>
          <w:rFonts w:cstheme="minorHAnsi"/>
          <w:noProof/>
          <w:vertAlign w:val="superscript"/>
        </w:rPr>
        <w:t>79</w:t>
      </w:r>
      <w:r w:rsidRPr="00C63860">
        <w:rPr>
          <w:rFonts w:cstheme="minorHAnsi"/>
        </w:rPr>
        <w:t xml:space="preserve"> Purchase prices of disposables, instruments and equipment for each procedure were retrieved from different sources, including the finance department of </w:t>
      </w:r>
      <w:r w:rsidRPr="00C63860">
        <w:rPr>
          <w:rFonts w:cstheme="minorHAnsi"/>
          <w:highlight w:val="magenta"/>
        </w:rPr>
        <w:t>an N</w:t>
      </w:r>
      <w:r w:rsidRPr="00C63860">
        <w:rPr>
          <w:rFonts w:cstheme="minorHAnsi"/>
        </w:rPr>
        <w:t>HS Trust hospital (Royal Devon and Exeter NHS Trust). The unit costs for each item were assigned according to the expected number of times that item would be used over the lifetime, recognising any additional costs of the sterilisation process required to enable reuse.</w:t>
      </w:r>
      <w:r w:rsidRPr="00C63860">
        <w:rPr>
          <w:rFonts w:cstheme="minorHAnsi"/>
          <w:noProof/>
          <w:vertAlign w:val="superscript"/>
        </w:rPr>
        <w:t>80</w:t>
      </w:r>
    </w:p>
    <w:p w14:paraId="58051A91" w14:textId="7B0257B1" w:rsidR="00470AE4" w:rsidRPr="00C63860" w:rsidRDefault="00470AE4" w:rsidP="00F23137">
      <w:pPr>
        <w:spacing w:before="240" w:after="240" w:line="276" w:lineRule="auto"/>
        <w:rPr>
          <w:rFonts w:cstheme="minorHAnsi"/>
        </w:rPr>
      </w:pPr>
      <w:r w:rsidRPr="00C63860">
        <w:rPr>
          <w:rFonts w:cstheme="minorHAnsi"/>
        </w:rPr>
        <w:t xml:space="preserve">The unit costs of critical care bed-days according to the number of organs supported, for bed-days on general wards, and </w:t>
      </w:r>
      <w:r w:rsidR="00C63860" w:rsidRPr="00C63860">
        <w:rPr>
          <w:rFonts w:cstheme="minorHAnsi"/>
          <w:color w:val="00B0F0"/>
        </w:rPr>
        <w:t>‘</w:t>
      </w:r>
      <w:r w:rsidR="006F6056" w:rsidRPr="00C63860">
        <w:rPr>
          <w:rFonts w:cstheme="minorHAnsi"/>
        </w:rPr>
        <w:t>more common</w:t>
      </w:r>
      <w:r w:rsidR="00C63860" w:rsidRPr="00C63860">
        <w:rPr>
          <w:rFonts w:cstheme="minorHAnsi"/>
          <w:color w:val="00B0F0"/>
        </w:rPr>
        <w:t>’</w:t>
      </w:r>
      <w:r w:rsidRPr="00C63860">
        <w:rPr>
          <w:rFonts w:cstheme="minorHAnsi"/>
        </w:rPr>
        <w:t xml:space="preserve"> diagnostic procedures were taken from 2017/18 NHS Reference Costs.</w:t>
      </w:r>
      <w:r w:rsidRPr="00C63860">
        <w:rPr>
          <w:rFonts w:cstheme="minorHAnsi"/>
          <w:noProof/>
          <w:vertAlign w:val="superscript"/>
        </w:rPr>
        <w:t>81</w:t>
      </w:r>
      <w:r w:rsidRPr="00C63860">
        <w:rPr>
          <w:rFonts w:cstheme="minorHAnsi"/>
        </w:rPr>
        <w:t xml:space="preserve"> For those diagnostic procedures, for which the unit costs included the bed-day costs, the unit cost was calculated after subtracting the average cost per day spent on the general ward.</w:t>
      </w:r>
    </w:p>
    <w:p w14:paraId="56D90E88" w14:textId="1C5D5320" w:rsidR="00470AE4" w:rsidRPr="00C63860" w:rsidRDefault="00470AE4" w:rsidP="00F23137">
      <w:pPr>
        <w:spacing w:before="240" w:after="240" w:line="276" w:lineRule="auto"/>
        <w:rPr>
          <w:rFonts w:cstheme="minorHAnsi"/>
        </w:rPr>
      </w:pPr>
      <w:r w:rsidRPr="00C63860">
        <w:rPr>
          <w:rFonts w:cstheme="minorHAnsi"/>
        </w:rPr>
        <w:t xml:space="preserve">All unit costs were inflated to 2019/20 prices (£GBP 2019/20) using the UK GDP deflator published by HM Treasury (see </w:t>
      </w:r>
      <w:r w:rsidR="00C63860" w:rsidRPr="00C63860">
        <w:rPr>
          <w:rFonts w:cstheme="minorHAnsi"/>
          <w:i/>
          <w:color w:val="FF0000"/>
        </w:rPr>
        <w:t>Table 10</w:t>
      </w:r>
      <w:r w:rsidR="00B056DE" w:rsidRPr="00C63860">
        <w:rPr>
          <w:rFonts w:cstheme="minorHAnsi"/>
        </w:rPr>
        <w:t xml:space="preserve">; </w:t>
      </w:r>
      <w:r w:rsidR="0098769A" w:rsidRPr="00C63860">
        <w:rPr>
          <w:rFonts w:cstheme="minorHAnsi"/>
        </w:rPr>
        <w:t xml:space="preserve">Appendix 3, </w:t>
      </w:r>
      <w:r w:rsidR="00C63860" w:rsidRPr="00C63860">
        <w:rPr>
          <w:rFonts w:cstheme="minorHAnsi"/>
          <w:i/>
          <w:color w:val="FF0000"/>
        </w:rPr>
        <w:t>Tables 24</w:t>
      </w:r>
      <w:r w:rsidR="00B056DE" w:rsidRPr="00C63860">
        <w:rPr>
          <w:rFonts w:cstheme="minorHAnsi"/>
        </w:rPr>
        <w:t xml:space="preserve"> and </w:t>
      </w:r>
      <w:r w:rsidR="001B2851" w:rsidRPr="00C63860">
        <w:rPr>
          <w:rFonts w:cstheme="minorHAnsi"/>
        </w:rPr>
        <w:t>25</w:t>
      </w:r>
      <w:r w:rsidRPr="00C63860">
        <w:rPr>
          <w:rFonts w:cstheme="minorHAnsi"/>
        </w:rPr>
        <w:t>).</w:t>
      </w:r>
      <w:r w:rsidRPr="00C63860">
        <w:rPr>
          <w:rFonts w:cstheme="minorHAnsi"/>
          <w:noProof/>
          <w:vertAlign w:val="superscript"/>
        </w:rPr>
        <w:t>82</w:t>
      </w:r>
      <w:r w:rsidRPr="00C63860">
        <w:rPr>
          <w:rFonts w:cstheme="minorHAnsi"/>
        </w:rPr>
        <w:t xml:space="preserve"> Each resource use measure was combined with the relevant unit costs to report (undiscounted) total costs per patient up to one year.</w:t>
      </w:r>
    </w:p>
    <w:p w14:paraId="5B98D8E4" w14:textId="66836C62" w:rsidR="00E13E3C" w:rsidRPr="00C63860" w:rsidRDefault="00C63860" w:rsidP="00E13E3C">
      <w:pPr>
        <w:pStyle w:val="Caption"/>
        <w:rPr>
          <w:b/>
          <w:bCs/>
          <w:color w:val="auto"/>
          <w:sz w:val="22"/>
          <w:szCs w:val="22"/>
        </w:rPr>
      </w:pPr>
      <w:bookmarkStart w:id="74" w:name="_Toc86670782"/>
      <w:r w:rsidRPr="00C63860">
        <w:rPr>
          <w:b/>
          <w:bCs/>
          <w:color w:val="FF0000"/>
          <w:sz w:val="22"/>
          <w:szCs w:val="22"/>
        </w:rPr>
        <w:t xml:space="preserve">Table </w:t>
      </w:r>
      <w:r w:rsidRPr="00C63860">
        <w:rPr>
          <w:b/>
          <w:bCs/>
          <w:noProof/>
          <w:color w:val="FF0000"/>
          <w:sz w:val="22"/>
          <w:szCs w:val="22"/>
        </w:rPr>
        <w:t>10</w:t>
      </w:r>
      <w:r w:rsidR="00E13E3C" w:rsidRPr="00C63860">
        <w:rPr>
          <w:b/>
          <w:bCs/>
          <w:color w:val="auto"/>
          <w:sz w:val="22"/>
          <w:szCs w:val="22"/>
        </w:rPr>
        <w:t>: Unit costs (£GBP 2019/20) for potential cost drivers</w:t>
      </w:r>
      <w:bookmarkEnd w:id="74"/>
    </w:p>
    <w:tbl>
      <w:tblPr>
        <w:tblStyle w:val="PlainTable2"/>
        <w:tblW w:w="0" w:type="auto"/>
        <w:tblBorders>
          <w:top w:val="none" w:sz="0" w:space="0" w:color="auto"/>
          <w:bottom w:val="none" w:sz="0" w:space="0" w:color="auto"/>
        </w:tblBorders>
        <w:tblCellMar>
          <w:top w:w="40" w:type="dxa"/>
          <w:left w:w="60" w:type="dxa"/>
          <w:bottom w:w="40" w:type="dxa"/>
          <w:right w:w="60" w:type="dxa"/>
        </w:tblCellMar>
        <w:tblLook w:val="04A0" w:firstRow="1" w:lastRow="0" w:firstColumn="1" w:lastColumn="0" w:noHBand="0" w:noVBand="1"/>
      </w:tblPr>
      <w:tblGrid>
        <w:gridCol w:w="1063"/>
        <w:gridCol w:w="536"/>
        <w:gridCol w:w="729"/>
        <w:gridCol w:w="6698"/>
      </w:tblGrid>
      <w:tr w:rsidR="00470AE4" w:rsidRPr="00C63860" w14:paraId="7D7F6575" w14:textId="77777777" w:rsidTr="00C6386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shd w:val="clear" w:color="auto" w:fill="auto"/>
            <w:vAlign w:val="center"/>
          </w:tcPr>
          <w:p w14:paraId="5985E432" w14:textId="77777777" w:rsidR="00470AE4" w:rsidRPr="00C63860" w:rsidRDefault="00470AE4" w:rsidP="00470AE4">
            <w:pPr>
              <w:contextualSpacing/>
              <w:rPr>
                <w:b w:val="0"/>
                <w:bCs w:val="0"/>
                <w:sz w:val="22"/>
                <w:szCs w:val="22"/>
              </w:rPr>
            </w:pPr>
            <w:r w:rsidRPr="00C63860">
              <w:rPr>
                <w:sz w:val="22"/>
                <w:szCs w:val="22"/>
              </w:rPr>
              <w:t>Item</w:t>
            </w:r>
          </w:p>
        </w:tc>
        <w:tc>
          <w:tcPr>
            <w:tcW w:w="0" w:type="auto"/>
            <w:tcBorders>
              <w:bottom w:val="none" w:sz="0" w:space="0" w:color="auto"/>
            </w:tcBorders>
            <w:shd w:val="clear" w:color="auto" w:fill="auto"/>
            <w:vAlign w:val="center"/>
          </w:tcPr>
          <w:p w14:paraId="00903BAB" w14:textId="77777777" w:rsidR="00470AE4" w:rsidRPr="00C63860" w:rsidRDefault="00470AE4" w:rsidP="00470AE4">
            <w:pPr>
              <w:contextualSpacing/>
              <w:jc w:val="center"/>
              <w:cnfStyle w:val="100000000000" w:firstRow="1" w:lastRow="0" w:firstColumn="0" w:lastColumn="0" w:oddVBand="0" w:evenVBand="0" w:oddHBand="0" w:evenHBand="0" w:firstRowFirstColumn="0" w:firstRowLastColumn="0" w:lastRowFirstColumn="0" w:lastRowLastColumn="0"/>
              <w:rPr>
                <w:sz w:val="22"/>
                <w:szCs w:val="22"/>
              </w:rPr>
            </w:pPr>
            <w:r w:rsidRPr="00C63860">
              <w:rPr>
                <w:sz w:val="22"/>
                <w:szCs w:val="22"/>
              </w:rPr>
              <w:t>Unit</w:t>
            </w:r>
          </w:p>
        </w:tc>
        <w:tc>
          <w:tcPr>
            <w:tcW w:w="0" w:type="auto"/>
            <w:tcBorders>
              <w:bottom w:val="none" w:sz="0" w:space="0" w:color="auto"/>
            </w:tcBorders>
            <w:shd w:val="clear" w:color="auto" w:fill="auto"/>
            <w:vAlign w:val="center"/>
          </w:tcPr>
          <w:p w14:paraId="384DB902" w14:textId="77777777" w:rsidR="00470AE4" w:rsidRPr="00C63860" w:rsidRDefault="00470AE4" w:rsidP="00470AE4">
            <w:pPr>
              <w:contextualSpacing/>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sidRPr="00C63860">
              <w:rPr>
                <w:sz w:val="22"/>
                <w:szCs w:val="22"/>
              </w:rPr>
              <w:t>Unit cost</w:t>
            </w:r>
          </w:p>
        </w:tc>
        <w:tc>
          <w:tcPr>
            <w:tcW w:w="0" w:type="auto"/>
            <w:tcBorders>
              <w:bottom w:val="none" w:sz="0" w:space="0" w:color="auto"/>
            </w:tcBorders>
            <w:shd w:val="clear" w:color="auto" w:fill="auto"/>
          </w:tcPr>
          <w:p w14:paraId="18BF49D0" w14:textId="77777777" w:rsidR="00470AE4" w:rsidRPr="00C63860" w:rsidRDefault="00470AE4" w:rsidP="00470AE4">
            <w:pPr>
              <w:contextualSpacing/>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sidRPr="00C63860">
              <w:rPr>
                <w:sz w:val="22"/>
                <w:szCs w:val="22"/>
              </w:rPr>
              <w:t>Source, definitions and assumptions</w:t>
            </w:r>
          </w:p>
        </w:tc>
      </w:tr>
      <w:tr w:rsidR="00470AE4" w:rsidRPr="00C63860" w14:paraId="057231C4"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1B6442DA" w14:textId="77777777" w:rsidR="00470AE4" w:rsidRPr="00C63860" w:rsidRDefault="00470AE4" w:rsidP="00470AE4">
            <w:pPr>
              <w:contextualSpacing/>
              <w:rPr>
                <w:b w:val="0"/>
                <w:sz w:val="22"/>
                <w:szCs w:val="22"/>
              </w:rPr>
            </w:pPr>
            <w:r w:rsidRPr="00C63860">
              <w:rPr>
                <w:b w:val="0"/>
                <w:sz w:val="22"/>
                <w:szCs w:val="22"/>
              </w:rPr>
              <w:t>Inpatient stay</w:t>
            </w:r>
          </w:p>
        </w:tc>
        <w:tc>
          <w:tcPr>
            <w:tcW w:w="0" w:type="auto"/>
            <w:tcBorders>
              <w:top w:val="none" w:sz="0" w:space="0" w:color="auto"/>
              <w:bottom w:val="none" w:sz="0" w:space="0" w:color="auto"/>
            </w:tcBorders>
            <w:shd w:val="clear" w:color="auto" w:fill="auto"/>
            <w:vAlign w:val="center"/>
          </w:tcPr>
          <w:p w14:paraId="706556B8"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0" w:type="auto"/>
            <w:tcBorders>
              <w:top w:val="none" w:sz="0" w:space="0" w:color="auto"/>
              <w:bottom w:val="none" w:sz="0" w:space="0" w:color="auto"/>
            </w:tcBorders>
            <w:shd w:val="clear" w:color="auto" w:fill="auto"/>
            <w:vAlign w:val="center"/>
          </w:tcPr>
          <w:p w14:paraId="7ABCD384"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0" w:type="auto"/>
            <w:tcBorders>
              <w:top w:val="none" w:sz="0" w:space="0" w:color="auto"/>
              <w:bottom w:val="none" w:sz="0" w:space="0" w:color="auto"/>
            </w:tcBorders>
            <w:shd w:val="clear" w:color="auto" w:fill="auto"/>
          </w:tcPr>
          <w:p w14:paraId="390B66C4"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470AE4" w:rsidRPr="00C63860" w14:paraId="175B94C3"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8EBE766" w14:textId="77777777" w:rsidR="00470AE4" w:rsidRPr="00C63860" w:rsidRDefault="00470AE4" w:rsidP="00470AE4">
            <w:pPr>
              <w:contextualSpacing/>
              <w:rPr>
                <w:b w:val="0"/>
                <w:bCs w:val="0"/>
                <w:i/>
                <w:sz w:val="22"/>
                <w:szCs w:val="22"/>
              </w:rPr>
            </w:pPr>
            <w:r w:rsidRPr="00C63860">
              <w:rPr>
                <w:b w:val="0"/>
                <w:bCs w:val="0"/>
                <w:i/>
                <w:sz w:val="22"/>
                <w:szCs w:val="22"/>
              </w:rPr>
              <w:t>General ward</w:t>
            </w:r>
          </w:p>
        </w:tc>
        <w:tc>
          <w:tcPr>
            <w:tcW w:w="0" w:type="auto"/>
            <w:shd w:val="clear" w:color="auto" w:fill="auto"/>
            <w:vAlign w:val="center"/>
          </w:tcPr>
          <w:p w14:paraId="5D18FA90"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Day</w:t>
            </w:r>
          </w:p>
        </w:tc>
        <w:tc>
          <w:tcPr>
            <w:tcW w:w="0" w:type="auto"/>
            <w:shd w:val="clear" w:color="auto" w:fill="auto"/>
            <w:vAlign w:val="center"/>
          </w:tcPr>
          <w:p w14:paraId="22513D3B"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347</w:t>
            </w:r>
          </w:p>
        </w:tc>
        <w:tc>
          <w:tcPr>
            <w:tcW w:w="0" w:type="auto"/>
            <w:shd w:val="clear" w:color="auto" w:fill="auto"/>
            <w:vAlign w:val="center"/>
          </w:tcPr>
          <w:p w14:paraId="21A6CEE3" w14:textId="7AD506E3"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NHS Reference costs 2017/18. Weighted average of codes FD0</w:t>
            </w:r>
            <w:r w:rsidR="00C63860" w:rsidRPr="00C63860">
              <w:rPr>
                <w:color w:val="00B0F0"/>
                <w:sz w:val="22"/>
                <w:szCs w:val="22"/>
              </w:rPr>
              <w:t xml:space="preserve">5 A </w:t>
            </w:r>
            <w:r w:rsidRPr="00C63860">
              <w:rPr>
                <w:sz w:val="22"/>
                <w:szCs w:val="22"/>
              </w:rPr>
              <w:t xml:space="preserve">(Abdominal Pain with Interventions) and FD05B (Abdominal Pain without Interventions) in non-elective excess </w:t>
            </w:r>
            <w:r w:rsidR="00C63860" w:rsidRPr="00C63860">
              <w:rPr>
                <w:color w:val="00B0F0"/>
                <w:sz w:val="22"/>
                <w:szCs w:val="22"/>
              </w:rPr>
              <w:t>bed-day</w:t>
            </w:r>
            <w:r w:rsidRPr="00C63860">
              <w:rPr>
                <w:sz w:val="22"/>
                <w:szCs w:val="22"/>
              </w:rPr>
              <w:t>s sheet</w:t>
            </w:r>
            <w:r w:rsidRPr="00C63860">
              <w:rPr>
                <w:noProof/>
                <w:sz w:val="22"/>
                <w:szCs w:val="22"/>
                <w:vertAlign w:val="superscript"/>
              </w:rPr>
              <w:t>81</w:t>
            </w:r>
            <w:r w:rsidRPr="00C63860">
              <w:rPr>
                <w:sz w:val="22"/>
                <w:szCs w:val="22"/>
              </w:rPr>
              <w:t xml:space="preserve"> </w:t>
            </w:r>
          </w:p>
        </w:tc>
      </w:tr>
      <w:tr w:rsidR="00470AE4" w:rsidRPr="00C63860" w14:paraId="2083219B"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2F66BC75" w14:textId="77777777" w:rsidR="00470AE4" w:rsidRPr="00C63860" w:rsidRDefault="00470AE4" w:rsidP="00470AE4">
            <w:pPr>
              <w:contextualSpacing/>
              <w:rPr>
                <w:b w:val="0"/>
                <w:bCs w:val="0"/>
                <w:i/>
                <w:sz w:val="22"/>
                <w:szCs w:val="22"/>
              </w:rPr>
            </w:pPr>
            <w:r w:rsidRPr="00C63860">
              <w:rPr>
                <w:b w:val="0"/>
                <w:bCs w:val="0"/>
                <w:i/>
                <w:sz w:val="22"/>
                <w:szCs w:val="22"/>
              </w:rPr>
              <w:t xml:space="preserve">ICU ward </w:t>
            </w:r>
          </w:p>
        </w:tc>
        <w:tc>
          <w:tcPr>
            <w:tcW w:w="0" w:type="auto"/>
            <w:tcBorders>
              <w:top w:val="none" w:sz="0" w:space="0" w:color="auto"/>
              <w:bottom w:val="none" w:sz="0" w:space="0" w:color="auto"/>
            </w:tcBorders>
            <w:shd w:val="clear" w:color="auto" w:fill="auto"/>
            <w:vAlign w:val="center"/>
          </w:tcPr>
          <w:p w14:paraId="13589026"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0" w:type="auto"/>
            <w:tcBorders>
              <w:top w:val="none" w:sz="0" w:space="0" w:color="auto"/>
              <w:bottom w:val="none" w:sz="0" w:space="0" w:color="auto"/>
            </w:tcBorders>
            <w:shd w:val="clear" w:color="auto" w:fill="auto"/>
            <w:vAlign w:val="center"/>
          </w:tcPr>
          <w:p w14:paraId="479ECBC2"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0" w:type="auto"/>
            <w:tcBorders>
              <w:top w:val="none" w:sz="0" w:space="0" w:color="auto"/>
              <w:bottom w:val="none" w:sz="0" w:space="0" w:color="auto"/>
            </w:tcBorders>
            <w:shd w:val="clear" w:color="auto" w:fill="auto"/>
            <w:vAlign w:val="center"/>
          </w:tcPr>
          <w:p w14:paraId="31FBB608" w14:textId="77777777"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p>
        </w:tc>
      </w:tr>
      <w:tr w:rsidR="00470AE4" w:rsidRPr="00C63860" w14:paraId="5644E93E"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1AD02D6" w14:textId="77777777" w:rsidR="00470AE4" w:rsidRPr="00C63860" w:rsidRDefault="00470AE4" w:rsidP="00470AE4">
            <w:pPr>
              <w:ind w:firstLine="170"/>
              <w:contextualSpacing/>
              <w:rPr>
                <w:b w:val="0"/>
                <w:bCs w:val="0"/>
                <w:sz w:val="22"/>
                <w:szCs w:val="22"/>
              </w:rPr>
            </w:pPr>
            <w:r w:rsidRPr="00C63860">
              <w:rPr>
                <w:b w:val="0"/>
                <w:bCs w:val="0"/>
                <w:sz w:val="22"/>
                <w:szCs w:val="22"/>
              </w:rPr>
              <w:t>Level 2 ICU</w:t>
            </w:r>
          </w:p>
        </w:tc>
        <w:tc>
          <w:tcPr>
            <w:tcW w:w="0" w:type="auto"/>
            <w:shd w:val="clear" w:color="auto" w:fill="auto"/>
            <w:vAlign w:val="center"/>
          </w:tcPr>
          <w:p w14:paraId="4552A92E"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Day</w:t>
            </w:r>
          </w:p>
        </w:tc>
        <w:tc>
          <w:tcPr>
            <w:tcW w:w="0" w:type="auto"/>
            <w:shd w:val="clear" w:color="auto" w:fill="auto"/>
            <w:vAlign w:val="center"/>
          </w:tcPr>
          <w:p w14:paraId="0F311099"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1,190</w:t>
            </w:r>
          </w:p>
        </w:tc>
        <w:tc>
          <w:tcPr>
            <w:tcW w:w="0" w:type="auto"/>
            <w:shd w:val="clear" w:color="auto" w:fill="auto"/>
            <w:vAlign w:val="center"/>
          </w:tcPr>
          <w:p w14:paraId="68566A9D" w14:textId="68FCFC1B"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NHS Reference costs 2017/18. XC06Z (Adult Critical Care, 1 organ supported)</w:t>
            </w:r>
            <w:r w:rsidRPr="00C63860">
              <w:rPr>
                <w:noProof/>
                <w:sz w:val="22"/>
                <w:szCs w:val="22"/>
                <w:vertAlign w:val="superscript"/>
              </w:rPr>
              <w:t>81</w:t>
            </w:r>
          </w:p>
        </w:tc>
      </w:tr>
      <w:tr w:rsidR="00470AE4" w:rsidRPr="00C63860" w14:paraId="6FF2B56D"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2CB4D20E" w14:textId="77777777" w:rsidR="00470AE4" w:rsidRPr="00C63860" w:rsidRDefault="00470AE4" w:rsidP="00470AE4">
            <w:pPr>
              <w:ind w:firstLine="170"/>
              <w:contextualSpacing/>
              <w:rPr>
                <w:b w:val="0"/>
                <w:bCs w:val="0"/>
                <w:sz w:val="22"/>
                <w:szCs w:val="22"/>
              </w:rPr>
            </w:pPr>
            <w:r w:rsidRPr="00C63860">
              <w:rPr>
                <w:b w:val="0"/>
                <w:bCs w:val="0"/>
                <w:sz w:val="22"/>
                <w:szCs w:val="22"/>
              </w:rPr>
              <w:t>Level 3 ICU</w:t>
            </w:r>
          </w:p>
        </w:tc>
        <w:tc>
          <w:tcPr>
            <w:tcW w:w="0" w:type="auto"/>
            <w:tcBorders>
              <w:top w:val="none" w:sz="0" w:space="0" w:color="auto"/>
              <w:bottom w:val="none" w:sz="0" w:space="0" w:color="auto"/>
            </w:tcBorders>
            <w:shd w:val="clear" w:color="auto" w:fill="auto"/>
            <w:vAlign w:val="center"/>
          </w:tcPr>
          <w:p w14:paraId="2FEB3775"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Day</w:t>
            </w:r>
          </w:p>
        </w:tc>
        <w:tc>
          <w:tcPr>
            <w:tcW w:w="0" w:type="auto"/>
            <w:tcBorders>
              <w:top w:val="none" w:sz="0" w:space="0" w:color="auto"/>
              <w:bottom w:val="none" w:sz="0" w:space="0" w:color="auto"/>
            </w:tcBorders>
            <w:shd w:val="clear" w:color="auto" w:fill="auto"/>
            <w:vAlign w:val="center"/>
          </w:tcPr>
          <w:p w14:paraId="6DBB4B35"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1,890</w:t>
            </w:r>
          </w:p>
        </w:tc>
        <w:tc>
          <w:tcPr>
            <w:tcW w:w="0" w:type="auto"/>
            <w:tcBorders>
              <w:top w:val="none" w:sz="0" w:space="0" w:color="auto"/>
              <w:bottom w:val="none" w:sz="0" w:space="0" w:color="auto"/>
            </w:tcBorders>
            <w:shd w:val="clear" w:color="auto" w:fill="auto"/>
            <w:vAlign w:val="center"/>
          </w:tcPr>
          <w:p w14:paraId="454129F0" w14:textId="18325F70"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NHS Reference costs 2017/18. Weighted average of codes XC01Z (Adult Critical Care, 6 or more Organs Supported) to XC05Z (Adult Critical Care, 2 Organs Supported).</w:t>
            </w:r>
            <w:r w:rsidRPr="00C63860">
              <w:rPr>
                <w:noProof/>
                <w:sz w:val="22"/>
                <w:szCs w:val="22"/>
                <w:vertAlign w:val="superscript"/>
              </w:rPr>
              <w:t>81</w:t>
            </w:r>
          </w:p>
        </w:tc>
      </w:tr>
    </w:tbl>
    <w:p w14:paraId="51456734" w14:textId="411F4061" w:rsidR="0BB8DBB9" w:rsidRPr="00C63860" w:rsidRDefault="0BB8DBB9"/>
    <w:p w14:paraId="55B0A37B" w14:textId="12EE9C89" w:rsidR="00F23137" w:rsidRPr="00C63860" w:rsidRDefault="00470AE4" w:rsidP="00FF041A">
      <w:pPr>
        <w:spacing w:after="240"/>
      </w:pPr>
      <w:r w:rsidRPr="00C63860">
        <w:t xml:space="preserve">ICU: intensive care unit, NHS: National Health Service. The complete list of unit cost items can be found in </w:t>
      </w:r>
      <w:r w:rsidR="00B056DE" w:rsidRPr="00C63860">
        <w:t xml:space="preserve">Appendix 3, </w:t>
      </w:r>
      <w:r w:rsidR="00C63860" w:rsidRPr="00C63860">
        <w:rPr>
          <w:rFonts w:cstheme="minorHAnsi"/>
          <w:i/>
          <w:color w:val="FF0000"/>
        </w:rPr>
        <w:t>Tables 24</w:t>
      </w:r>
      <w:r w:rsidR="00372C7C" w:rsidRPr="00C63860">
        <w:rPr>
          <w:rFonts w:cstheme="minorHAnsi"/>
        </w:rPr>
        <w:t xml:space="preserve"> and 25</w:t>
      </w:r>
      <w:r w:rsidRPr="00C63860">
        <w:rPr>
          <w:rFonts w:cstheme="minorHAnsi"/>
        </w:rPr>
        <w:t>.</w:t>
      </w:r>
    </w:p>
    <w:p w14:paraId="6BCE5464" w14:textId="173E8CEA" w:rsidR="00470AE4" w:rsidRPr="00C63860" w:rsidRDefault="00470AE4" w:rsidP="00F23137">
      <w:pPr>
        <w:spacing w:before="100" w:beforeAutospacing="1" w:after="100" w:afterAutospacing="1" w:line="276" w:lineRule="auto"/>
        <w:rPr>
          <w:rFonts w:cstheme="minorHAnsi"/>
          <w:b/>
          <w:bCs/>
          <w:iCs/>
        </w:rPr>
      </w:pPr>
      <w:r w:rsidRPr="00C63860">
        <w:rPr>
          <w:rFonts w:cstheme="minorHAnsi"/>
          <w:b/>
          <w:bCs/>
          <w:iCs/>
        </w:rPr>
        <w:t>4.2.5 Outcomes</w:t>
      </w:r>
    </w:p>
    <w:p w14:paraId="7E32F098" w14:textId="3C8B389A" w:rsidR="00C63860" w:rsidRPr="00C63860" w:rsidRDefault="00470AE4" w:rsidP="00F23137">
      <w:pPr>
        <w:spacing w:before="100" w:beforeAutospacing="1" w:after="100" w:afterAutospacing="1" w:line="276" w:lineRule="auto"/>
        <w:rPr>
          <w:rFonts w:cstheme="minorBidi"/>
        </w:rPr>
      </w:pPr>
      <w:r w:rsidRPr="00C63860">
        <w:rPr>
          <w:rFonts w:cstheme="minorBidi"/>
        </w:rPr>
        <w:t xml:space="preserve">Survival time up to one year was calculated for all patients from HES records linked to ONS death, and used to report LYs for each patient. To calculate QALYs, HRQoL measures were required at </w:t>
      </w:r>
      <w:r w:rsidR="00C63860" w:rsidRPr="00C63860">
        <w:rPr>
          <w:rFonts w:cstheme="minorBidi"/>
          <w:color w:val="00B0F0"/>
        </w:rPr>
        <w:t>‘</w:t>
      </w:r>
      <w:r w:rsidR="006F6056" w:rsidRPr="00C63860">
        <w:rPr>
          <w:rFonts w:cstheme="minorBidi"/>
        </w:rPr>
        <w:t>baseline</w:t>
      </w:r>
      <w:r w:rsidR="00C63860" w:rsidRPr="00C63860">
        <w:rPr>
          <w:rFonts w:cstheme="minorBidi"/>
          <w:color w:val="00B0F0"/>
        </w:rPr>
        <w:t>’</w:t>
      </w:r>
      <w:r w:rsidRPr="00C63860">
        <w:rPr>
          <w:rFonts w:cstheme="minorBidi"/>
        </w:rPr>
        <w:t xml:space="preserve"> and </w:t>
      </w:r>
      <w:r w:rsidR="006F6056" w:rsidRPr="00C63860">
        <w:rPr>
          <w:rFonts w:cstheme="minorBidi"/>
          <w:color w:val="00B0F0"/>
          <w:highlight w:val="green"/>
        </w:rPr>
        <w:t>‘</w:t>
      </w:r>
      <w:r w:rsidR="006F6056" w:rsidRPr="00C63860">
        <w:rPr>
          <w:rFonts w:cstheme="minorBidi"/>
          <w:highlight w:val="green"/>
        </w:rPr>
        <w:t>one year follow-up</w:t>
      </w:r>
      <w:r w:rsidR="006F6056" w:rsidRPr="00C63860">
        <w:rPr>
          <w:rFonts w:cstheme="minorBidi"/>
          <w:color w:val="00B0F0"/>
          <w:highlight w:val="green"/>
        </w:rPr>
        <w:t>’</w:t>
      </w:r>
      <w:r w:rsidRPr="00C63860">
        <w:rPr>
          <w:rFonts w:cstheme="minorBidi"/>
        </w:rPr>
        <w:t>, but as these were not available from HES, we identified appropriate estimates by reviewing the published literature for each of the five acute conditions (</w:t>
      </w:r>
      <w:r w:rsidR="005764AC" w:rsidRPr="00C63860">
        <w:rPr>
          <w:rFonts w:cstheme="minorBidi"/>
        </w:rPr>
        <w:t xml:space="preserve">Appendix 4, </w:t>
      </w:r>
      <w:r w:rsidRPr="00C63860">
        <w:rPr>
          <w:rFonts w:cstheme="minorBidi"/>
        </w:rPr>
        <w:t xml:space="preserve">Section A4.1 </w:t>
      </w:r>
      <w:r w:rsidR="005764AC" w:rsidRPr="00C63860">
        <w:rPr>
          <w:rFonts w:cstheme="minorBidi"/>
        </w:rPr>
        <w:t xml:space="preserve">and </w:t>
      </w:r>
      <w:r w:rsidR="00C63860" w:rsidRPr="00C63860">
        <w:rPr>
          <w:rFonts w:cstheme="minorBidi"/>
          <w:i/>
          <w:color w:val="FF0000"/>
        </w:rPr>
        <w:t>Table 26</w:t>
      </w:r>
      <w:r w:rsidRPr="00C63860">
        <w:rPr>
          <w:rFonts w:cstheme="minorBidi"/>
        </w:rPr>
        <w:t xml:space="preserve">). In brief, the inclusion criteria for each review required that studies assessed HRQoL for patients with each of the five acute conditions. From the published sources identified, we selected studies according to the following criteria in order of priority; first, they measured HRQoL following emergency admission for patients with each of the diagnoses described previously (see </w:t>
      </w:r>
      <w:r w:rsidR="00A00C0D" w:rsidRPr="00C63860">
        <w:rPr>
          <w:rFonts w:cstheme="minorBidi"/>
        </w:rPr>
        <w:t>C</w:t>
      </w:r>
      <w:r w:rsidRPr="00C63860">
        <w:rPr>
          <w:rFonts w:cstheme="minorBidi"/>
        </w:rPr>
        <w:t>hapter 2), second, they used a recommended, generic HRQoL instrument (e.g. E</w:t>
      </w:r>
      <w:r w:rsidR="00C63860" w:rsidRPr="00C63860">
        <w:rPr>
          <w:rFonts w:cstheme="minorBidi"/>
          <w:color w:val="00B0F0"/>
        </w:rPr>
        <w:t>Q-5</w:t>
      </w:r>
      <w:r w:rsidRPr="00C63860">
        <w:rPr>
          <w:rFonts w:cstheme="minorBidi"/>
        </w:rPr>
        <w:t xml:space="preserve">D) for patients in the UK, or a country with similar health state preferences, and third, they were undertaken in the emergency setting. The HRQoL values selected for the </w:t>
      </w:r>
      <w:r w:rsidR="00C63860" w:rsidRPr="00C63860">
        <w:rPr>
          <w:rFonts w:cstheme="minorBidi"/>
          <w:color w:val="00B0F0"/>
        </w:rPr>
        <w:t>‘</w:t>
      </w:r>
      <w:r w:rsidR="006F6056" w:rsidRPr="00C63860">
        <w:rPr>
          <w:rFonts w:cstheme="minorBidi"/>
        </w:rPr>
        <w:t>baseline</w:t>
      </w:r>
      <w:r w:rsidR="00C63860" w:rsidRPr="00C63860">
        <w:rPr>
          <w:rFonts w:cstheme="minorBidi"/>
          <w:color w:val="00B0F0"/>
        </w:rPr>
        <w:t>’</w:t>
      </w:r>
      <w:r w:rsidRPr="00C63860">
        <w:rPr>
          <w:rFonts w:cstheme="minorBidi"/>
        </w:rPr>
        <w:t xml:space="preserve"> and </w:t>
      </w:r>
      <w:r w:rsidR="00C63860" w:rsidRPr="00C63860">
        <w:rPr>
          <w:rFonts w:cstheme="minorBidi"/>
          <w:color w:val="00B0F0"/>
        </w:rPr>
        <w:t>‘</w:t>
      </w:r>
      <w:r w:rsidR="006F6056" w:rsidRPr="00C63860">
        <w:rPr>
          <w:rFonts w:cstheme="minorBidi"/>
        </w:rPr>
        <w:t>follow-up</w:t>
      </w:r>
      <w:r w:rsidR="00C63860" w:rsidRPr="00C63860">
        <w:rPr>
          <w:rFonts w:cstheme="minorBidi"/>
          <w:color w:val="00B0F0"/>
        </w:rPr>
        <w:t>’</w:t>
      </w:r>
      <w:r w:rsidRPr="00C63860">
        <w:rPr>
          <w:rFonts w:cstheme="minorBidi"/>
        </w:rPr>
        <w:t xml:space="preserve"> timepoints for each of the five conditions are listed in </w:t>
      </w:r>
      <w:r w:rsidR="00C63860" w:rsidRPr="00C63860">
        <w:rPr>
          <w:rFonts w:cstheme="minorBidi"/>
          <w:i/>
          <w:color w:val="FF0000"/>
        </w:rPr>
        <w:t>Table 11</w:t>
      </w:r>
      <w:r w:rsidRPr="00C63860">
        <w:rPr>
          <w:rFonts w:cstheme="minorBidi"/>
        </w:rPr>
        <w:t xml:space="preserve"> (Appendix 4, Section A4.1).</w:t>
      </w:r>
    </w:p>
    <w:p w14:paraId="12D11396" w14:textId="523AAC70" w:rsidR="00E13E3C" w:rsidRPr="00C63860" w:rsidRDefault="00C63860" w:rsidP="00E13E3C">
      <w:pPr>
        <w:pStyle w:val="Caption"/>
        <w:rPr>
          <w:rFonts w:eastAsia="DengXian"/>
          <w:b/>
          <w:bCs/>
          <w:color w:val="auto"/>
          <w:sz w:val="22"/>
          <w:szCs w:val="22"/>
          <w:lang w:eastAsia="zh-CN"/>
        </w:rPr>
      </w:pPr>
      <w:bookmarkStart w:id="75" w:name="_Toc86670783"/>
      <w:r w:rsidRPr="00C63860">
        <w:rPr>
          <w:b/>
          <w:bCs/>
          <w:color w:val="FF0000"/>
          <w:sz w:val="22"/>
          <w:szCs w:val="22"/>
        </w:rPr>
        <w:t xml:space="preserve">Table </w:t>
      </w:r>
      <w:r w:rsidRPr="00C63860">
        <w:rPr>
          <w:b/>
          <w:bCs/>
          <w:noProof/>
          <w:color w:val="FF0000"/>
          <w:sz w:val="22"/>
          <w:szCs w:val="22"/>
        </w:rPr>
        <w:t>11</w:t>
      </w:r>
      <w:r w:rsidR="00E13E3C" w:rsidRPr="00C63860">
        <w:rPr>
          <w:b/>
          <w:bCs/>
          <w:color w:val="auto"/>
          <w:sz w:val="22"/>
          <w:szCs w:val="22"/>
        </w:rPr>
        <w:t>: Health-related quality of life (HRQoL) scores from the literature and sources</w:t>
      </w:r>
      <w:bookmarkEnd w:id="75"/>
    </w:p>
    <w:tbl>
      <w:tblPr>
        <w:tblStyle w:val="PlainTable2"/>
        <w:tblW w:w="0" w:type="auto"/>
        <w:tblBorders>
          <w:top w:val="none" w:sz="0" w:space="0" w:color="auto"/>
          <w:bottom w:val="none" w:sz="0" w:space="0" w:color="auto"/>
        </w:tblBorders>
        <w:tblCellMar>
          <w:top w:w="40" w:type="dxa"/>
          <w:left w:w="60" w:type="dxa"/>
          <w:bottom w:w="40" w:type="dxa"/>
          <w:right w:w="60" w:type="dxa"/>
        </w:tblCellMar>
        <w:tblLook w:val="04A0" w:firstRow="1" w:lastRow="0" w:firstColumn="1" w:lastColumn="0" w:noHBand="0" w:noVBand="1"/>
      </w:tblPr>
      <w:tblGrid>
        <w:gridCol w:w="1953"/>
        <w:gridCol w:w="1214"/>
        <w:gridCol w:w="1079"/>
        <w:gridCol w:w="1268"/>
        <w:gridCol w:w="973"/>
        <w:gridCol w:w="1437"/>
        <w:gridCol w:w="1102"/>
      </w:tblGrid>
      <w:tr w:rsidR="00470AE4" w:rsidRPr="00C63860" w14:paraId="5D1037CF" w14:textId="77777777" w:rsidTr="00C6386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vMerge w:val="restart"/>
            <w:tcBorders>
              <w:bottom w:val="none" w:sz="0" w:space="0" w:color="auto"/>
            </w:tcBorders>
            <w:shd w:val="clear" w:color="auto" w:fill="auto"/>
            <w:vAlign w:val="center"/>
          </w:tcPr>
          <w:p w14:paraId="01E9E662" w14:textId="77777777" w:rsidR="00470AE4" w:rsidRPr="00C63860" w:rsidRDefault="00470AE4" w:rsidP="00470AE4">
            <w:pPr>
              <w:jc w:val="center"/>
              <w:rPr>
                <w:iCs/>
                <w:sz w:val="22"/>
                <w:szCs w:val="22"/>
              </w:rPr>
            </w:pPr>
            <w:r w:rsidRPr="00C63860">
              <w:rPr>
                <w:bCs w:val="0"/>
                <w:iCs/>
                <w:sz w:val="22"/>
                <w:szCs w:val="22"/>
              </w:rPr>
              <w:t>Condition</w:t>
            </w:r>
          </w:p>
        </w:tc>
        <w:tc>
          <w:tcPr>
            <w:tcW w:w="0" w:type="auto"/>
            <w:vMerge w:val="restart"/>
            <w:tcBorders>
              <w:bottom w:val="none" w:sz="0" w:space="0" w:color="auto"/>
            </w:tcBorders>
            <w:shd w:val="clear" w:color="auto" w:fill="auto"/>
            <w:vAlign w:val="center"/>
          </w:tcPr>
          <w:p w14:paraId="05380037"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iCs/>
                <w:sz w:val="22"/>
                <w:szCs w:val="22"/>
              </w:rPr>
            </w:pPr>
            <w:r w:rsidRPr="00C63860">
              <w:rPr>
                <w:iCs/>
                <w:sz w:val="22"/>
                <w:szCs w:val="22"/>
              </w:rPr>
              <w:t>Source</w:t>
            </w:r>
          </w:p>
        </w:tc>
        <w:tc>
          <w:tcPr>
            <w:tcW w:w="0" w:type="auto"/>
            <w:vMerge w:val="restart"/>
            <w:tcBorders>
              <w:bottom w:val="none" w:sz="0" w:space="0" w:color="auto"/>
            </w:tcBorders>
            <w:shd w:val="clear" w:color="auto" w:fill="auto"/>
            <w:vAlign w:val="center"/>
          </w:tcPr>
          <w:p w14:paraId="506D03D1"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sz w:val="22"/>
                <w:szCs w:val="22"/>
              </w:rPr>
            </w:pPr>
            <w:r w:rsidRPr="00C63860">
              <w:rPr>
                <w:sz w:val="22"/>
                <w:szCs w:val="22"/>
              </w:rPr>
              <w:t>Mean age</w:t>
            </w:r>
            <w:r w:rsidRPr="00C63860">
              <w:rPr>
                <w:sz w:val="22"/>
                <w:szCs w:val="22"/>
                <w:vertAlign w:val="superscript"/>
              </w:rPr>
              <w:t>a</w:t>
            </w:r>
          </w:p>
        </w:tc>
        <w:tc>
          <w:tcPr>
            <w:tcW w:w="0" w:type="auto"/>
            <w:gridSpan w:val="2"/>
            <w:tcBorders>
              <w:bottom w:val="none" w:sz="0" w:space="0" w:color="auto"/>
            </w:tcBorders>
            <w:shd w:val="clear" w:color="auto" w:fill="auto"/>
            <w:vAlign w:val="center"/>
          </w:tcPr>
          <w:p w14:paraId="01383E7D" w14:textId="50A5C34A"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iCs/>
                <w:sz w:val="22"/>
                <w:szCs w:val="22"/>
                <w:lang w:val="it-IT"/>
              </w:rPr>
            </w:pPr>
            <w:r w:rsidRPr="00C63860">
              <w:rPr>
                <w:lang w:val="it-IT"/>
              </w:rPr>
              <w:t>Baseline E</w:t>
            </w:r>
            <w:r w:rsidR="00C63860" w:rsidRPr="00C63860">
              <w:rPr>
                <w:color w:val="00B0F0"/>
                <w:lang w:val="it-IT"/>
              </w:rPr>
              <w:t>Q-5D-3</w:t>
            </w:r>
            <w:r w:rsidRPr="00C63860">
              <w:rPr>
                <w:lang w:val="it-IT"/>
              </w:rPr>
              <w:t>L score</w:t>
            </w:r>
          </w:p>
        </w:tc>
        <w:tc>
          <w:tcPr>
            <w:tcW w:w="0" w:type="auto"/>
            <w:gridSpan w:val="2"/>
            <w:tcBorders>
              <w:bottom w:val="none" w:sz="0" w:space="0" w:color="auto"/>
            </w:tcBorders>
            <w:shd w:val="clear" w:color="auto" w:fill="auto"/>
            <w:vAlign w:val="center"/>
          </w:tcPr>
          <w:p w14:paraId="65C1F63C" w14:textId="2C9AD02E"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bCs w:val="0"/>
                <w:sz w:val="22"/>
                <w:szCs w:val="22"/>
              </w:rPr>
            </w:pPr>
            <w:r w:rsidRPr="00C63860">
              <w:rPr>
                <w:iCs/>
                <w:sz w:val="22"/>
                <w:szCs w:val="22"/>
              </w:rPr>
              <w:t>One-year E</w:t>
            </w:r>
            <w:r w:rsidR="00C63860" w:rsidRPr="00C63860">
              <w:rPr>
                <w:iCs/>
                <w:color w:val="00B0F0"/>
                <w:sz w:val="22"/>
                <w:szCs w:val="22"/>
              </w:rPr>
              <w:t>Q-5D-3</w:t>
            </w:r>
            <w:r w:rsidRPr="00C63860">
              <w:rPr>
                <w:iCs/>
                <w:sz w:val="22"/>
                <w:szCs w:val="22"/>
              </w:rPr>
              <w:t>L score</w:t>
            </w:r>
          </w:p>
        </w:tc>
      </w:tr>
      <w:tr w:rsidR="00470AE4" w:rsidRPr="00C63860" w14:paraId="2759B983"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vMerge/>
            <w:tcBorders>
              <w:top w:val="none" w:sz="0" w:space="0" w:color="auto"/>
              <w:bottom w:val="none" w:sz="0" w:space="0" w:color="auto"/>
            </w:tcBorders>
            <w:shd w:val="clear" w:color="auto" w:fill="auto"/>
          </w:tcPr>
          <w:p w14:paraId="5239E799" w14:textId="77777777" w:rsidR="00470AE4" w:rsidRPr="00C63860" w:rsidRDefault="00470AE4" w:rsidP="00470AE4">
            <w:pPr>
              <w:jc w:val="center"/>
              <w:rPr>
                <w:b w:val="0"/>
                <w:iCs/>
                <w:sz w:val="22"/>
                <w:szCs w:val="22"/>
              </w:rPr>
            </w:pPr>
          </w:p>
        </w:tc>
        <w:tc>
          <w:tcPr>
            <w:tcW w:w="0" w:type="auto"/>
            <w:vMerge/>
            <w:tcBorders>
              <w:top w:val="none" w:sz="0" w:space="0" w:color="auto"/>
              <w:bottom w:val="none" w:sz="0" w:space="0" w:color="auto"/>
            </w:tcBorders>
            <w:shd w:val="clear" w:color="auto" w:fill="auto"/>
          </w:tcPr>
          <w:p w14:paraId="1276CBE6"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
                <w:iCs/>
                <w:sz w:val="22"/>
                <w:szCs w:val="22"/>
              </w:rPr>
            </w:pPr>
          </w:p>
        </w:tc>
        <w:tc>
          <w:tcPr>
            <w:tcW w:w="0" w:type="auto"/>
            <w:vMerge/>
            <w:tcBorders>
              <w:top w:val="none" w:sz="0" w:space="0" w:color="auto"/>
              <w:bottom w:val="none" w:sz="0" w:space="0" w:color="auto"/>
            </w:tcBorders>
            <w:shd w:val="clear" w:color="auto" w:fill="auto"/>
          </w:tcPr>
          <w:p w14:paraId="7278FEEF"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
                <w:iCs/>
                <w:sz w:val="22"/>
                <w:szCs w:val="22"/>
              </w:rPr>
            </w:pPr>
          </w:p>
        </w:tc>
        <w:tc>
          <w:tcPr>
            <w:tcW w:w="0" w:type="auto"/>
            <w:tcBorders>
              <w:top w:val="none" w:sz="0" w:space="0" w:color="auto"/>
              <w:bottom w:val="none" w:sz="0" w:space="0" w:color="auto"/>
            </w:tcBorders>
            <w:shd w:val="clear" w:color="auto" w:fill="auto"/>
          </w:tcPr>
          <w:p w14:paraId="26D9027F"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
                <w:iCs/>
                <w:sz w:val="22"/>
                <w:szCs w:val="22"/>
              </w:rPr>
            </w:pPr>
            <w:r w:rsidRPr="00C63860">
              <w:rPr>
                <w:b/>
                <w:bCs/>
                <w:iCs/>
                <w:sz w:val="22"/>
                <w:szCs w:val="22"/>
              </w:rPr>
              <w:t>Females</w:t>
            </w:r>
          </w:p>
        </w:tc>
        <w:tc>
          <w:tcPr>
            <w:tcW w:w="0" w:type="auto"/>
            <w:tcBorders>
              <w:top w:val="none" w:sz="0" w:space="0" w:color="auto"/>
              <w:bottom w:val="none" w:sz="0" w:space="0" w:color="auto"/>
            </w:tcBorders>
            <w:shd w:val="clear" w:color="auto" w:fill="auto"/>
          </w:tcPr>
          <w:p w14:paraId="6E419CB9"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
                <w:iCs/>
                <w:sz w:val="22"/>
                <w:szCs w:val="22"/>
              </w:rPr>
            </w:pPr>
            <w:r w:rsidRPr="00C63860">
              <w:rPr>
                <w:b/>
                <w:iCs/>
                <w:sz w:val="22"/>
                <w:szCs w:val="22"/>
              </w:rPr>
              <w:t>Males</w:t>
            </w:r>
          </w:p>
        </w:tc>
        <w:tc>
          <w:tcPr>
            <w:tcW w:w="0" w:type="auto"/>
            <w:tcBorders>
              <w:top w:val="none" w:sz="0" w:space="0" w:color="auto"/>
              <w:bottom w:val="none" w:sz="0" w:space="0" w:color="auto"/>
            </w:tcBorders>
            <w:shd w:val="clear" w:color="auto" w:fill="auto"/>
          </w:tcPr>
          <w:p w14:paraId="66265632"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
                <w:iCs/>
                <w:sz w:val="22"/>
                <w:szCs w:val="22"/>
              </w:rPr>
            </w:pPr>
            <w:r w:rsidRPr="00C63860">
              <w:rPr>
                <w:b/>
                <w:bCs/>
                <w:sz w:val="22"/>
                <w:szCs w:val="22"/>
              </w:rPr>
              <w:t>Females</w:t>
            </w:r>
          </w:p>
        </w:tc>
        <w:tc>
          <w:tcPr>
            <w:tcW w:w="0" w:type="auto"/>
            <w:tcBorders>
              <w:top w:val="none" w:sz="0" w:space="0" w:color="auto"/>
              <w:bottom w:val="none" w:sz="0" w:space="0" w:color="auto"/>
            </w:tcBorders>
            <w:shd w:val="clear" w:color="auto" w:fill="auto"/>
          </w:tcPr>
          <w:p w14:paraId="67C5B911"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
                <w:iCs/>
                <w:sz w:val="22"/>
                <w:szCs w:val="22"/>
              </w:rPr>
            </w:pPr>
            <w:r w:rsidRPr="00C63860">
              <w:rPr>
                <w:b/>
                <w:bCs/>
                <w:sz w:val="22"/>
                <w:szCs w:val="22"/>
              </w:rPr>
              <w:t>Males</w:t>
            </w:r>
          </w:p>
        </w:tc>
      </w:tr>
      <w:tr w:rsidR="00470AE4" w:rsidRPr="00C63860" w14:paraId="6AE6D106"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82EA57D" w14:textId="77777777" w:rsidR="00470AE4" w:rsidRPr="00C63860" w:rsidRDefault="00470AE4" w:rsidP="00470AE4">
            <w:pPr>
              <w:jc w:val="center"/>
              <w:rPr>
                <w:b w:val="0"/>
                <w:bCs w:val="0"/>
                <w:iCs/>
                <w:sz w:val="22"/>
                <w:szCs w:val="22"/>
              </w:rPr>
            </w:pPr>
            <w:r w:rsidRPr="00C63860">
              <w:rPr>
                <w:b w:val="0"/>
                <w:bCs w:val="0"/>
                <w:iCs/>
                <w:sz w:val="22"/>
                <w:szCs w:val="22"/>
              </w:rPr>
              <w:t>Appendicitis</w:t>
            </w:r>
          </w:p>
        </w:tc>
        <w:tc>
          <w:tcPr>
            <w:tcW w:w="0" w:type="auto"/>
            <w:shd w:val="clear" w:color="auto" w:fill="auto"/>
            <w:vAlign w:val="center"/>
          </w:tcPr>
          <w:p w14:paraId="708F9083" w14:textId="7E125116"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iCs/>
                <w:sz w:val="22"/>
                <w:szCs w:val="22"/>
              </w:rPr>
            </w:pPr>
            <w:r w:rsidRPr="00C63860">
              <w:rPr>
                <w:bCs/>
                <w:sz w:val="22"/>
                <w:szCs w:val="22"/>
              </w:rPr>
              <w:t>O</w:t>
            </w:r>
            <w:r w:rsidR="00C63860" w:rsidRPr="00C63860">
              <w:rPr>
                <w:bCs/>
                <w:color w:val="00B0F0"/>
                <w:sz w:val="22"/>
                <w:szCs w:val="22"/>
              </w:rPr>
              <w:t>’</w:t>
            </w:r>
            <w:r w:rsidRPr="00C63860">
              <w:rPr>
                <w:bCs/>
                <w:sz w:val="22"/>
                <w:szCs w:val="22"/>
              </w:rPr>
              <w:t>leary</w:t>
            </w:r>
            <w:r w:rsidRPr="00C63860">
              <w:rPr>
                <w:bCs/>
                <w:noProof/>
                <w:sz w:val="22"/>
                <w:szCs w:val="22"/>
                <w:vertAlign w:val="superscript"/>
              </w:rPr>
              <w:t>8</w:t>
            </w:r>
          </w:p>
        </w:tc>
        <w:tc>
          <w:tcPr>
            <w:tcW w:w="0" w:type="auto"/>
            <w:shd w:val="clear" w:color="auto" w:fill="auto"/>
            <w:vAlign w:val="center"/>
          </w:tcPr>
          <w:p w14:paraId="4EA7E534"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33</w:t>
            </w:r>
          </w:p>
        </w:tc>
        <w:tc>
          <w:tcPr>
            <w:tcW w:w="0" w:type="auto"/>
            <w:shd w:val="clear" w:color="auto" w:fill="auto"/>
            <w:vAlign w:val="center"/>
          </w:tcPr>
          <w:p w14:paraId="1A10E039"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bCs/>
                <w:iCs/>
                <w:sz w:val="22"/>
                <w:szCs w:val="22"/>
              </w:rPr>
            </w:pPr>
            <w:r w:rsidRPr="00C63860">
              <w:rPr>
                <w:sz w:val="22"/>
                <w:szCs w:val="22"/>
              </w:rPr>
              <w:t>0.751</w:t>
            </w:r>
          </w:p>
        </w:tc>
        <w:tc>
          <w:tcPr>
            <w:tcW w:w="0" w:type="auto"/>
            <w:shd w:val="clear" w:color="auto" w:fill="auto"/>
            <w:vAlign w:val="center"/>
          </w:tcPr>
          <w:p w14:paraId="1476A681"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iCs/>
                <w:sz w:val="22"/>
                <w:szCs w:val="22"/>
              </w:rPr>
            </w:pPr>
            <w:r w:rsidRPr="00C63860">
              <w:rPr>
                <w:sz w:val="22"/>
                <w:szCs w:val="22"/>
              </w:rPr>
              <w:t>0.768</w:t>
            </w:r>
          </w:p>
        </w:tc>
        <w:tc>
          <w:tcPr>
            <w:tcW w:w="0" w:type="auto"/>
            <w:shd w:val="clear" w:color="auto" w:fill="auto"/>
            <w:vAlign w:val="center"/>
          </w:tcPr>
          <w:p w14:paraId="26DE5465"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sz w:val="22"/>
                <w:szCs w:val="22"/>
              </w:rPr>
              <w:t>0.967</w:t>
            </w:r>
          </w:p>
        </w:tc>
        <w:tc>
          <w:tcPr>
            <w:tcW w:w="0" w:type="auto"/>
            <w:shd w:val="clear" w:color="auto" w:fill="auto"/>
            <w:vAlign w:val="center"/>
          </w:tcPr>
          <w:p w14:paraId="3A585CA4"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sz w:val="22"/>
                <w:szCs w:val="22"/>
              </w:rPr>
              <w:t>0.989</w:t>
            </w:r>
          </w:p>
        </w:tc>
      </w:tr>
      <w:tr w:rsidR="00470AE4" w:rsidRPr="00C63860" w14:paraId="4963BFAB"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33EDBE07" w14:textId="77777777" w:rsidR="00470AE4" w:rsidRPr="00C63860" w:rsidRDefault="00470AE4" w:rsidP="00470AE4">
            <w:pPr>
              <w:jc w:val="center"/>
              <w:rPr>
                <w:b w:val="0"/>
                <w:bCs w:val="0"/>
                <w:iCs/>
                <w:sz w:val="22"/>
                <w:szCs w:val="22"/>
              </w:rPr>
            </w:pPr>
            <w:r w:rsidRPr="00C63860">
              <w:rPr>
                <w:b w:val="0"/>
                <w:bCs w:val="0"/>
                <w:iCs/>
                <w:sz w:val="22"/>
                <w:szCs w:val="22"/>
              </w:rPr>
              <w:t>Cholelithiasis</w:t>
            </w:r>
          </w:p>
        </w:tc>
        <w:tc>
          <w:tcPr>
            <w:tcW w:w="0" w:type="auto"/>
            <w:tcBorders>
              <w:top w:val="none" w:sz="0" w:space="0" w:color="auto"/>
              <w:bottom w:val="none" w:sz="0" w:space="0" w:color="auto"/>
            </w:tcBorders>
            <w:shd w:val="clear" w:color="auto" w:fill="auto"/>
            <w:vAlign w:val="center"/>
          </w:tcPr>
          <w:p w14:paraId="429FED48" w14:textId="45B48C80"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63860">
              <w:rPr>
                <w:bCs/>
                <w:sz w:val="22"/>
                <w:szCs w:val="22"/>
              </w:rPr>
              <w:t>Sutherland</w:t>
            </w:r>
            <w:r w:rsidRPr="00C63860">
              <w:rPr>
                <w:bCs/>
                <w:noProof/>
                <w:sz w:val="22"/>
                <w:szCs w:val="22"/>
                <w:vertAlign w:val="superscript"/>
              </w:rPr>
              <w:t>83</w:t>
            </w:r>
            <w:r w:rsidRPr="00C63860">
              <w:rPr>
                <w:bCs/>
                <w:sz w:val="22"/>
                <w:szCs w:val="22"/>
              </w:rPr>
              <w:t xml:space="preserve"> </w:t>
            </w:r>
          </w:p>
        </w:tc>
        <w:tc>
          <w:tcPr>
            <w:tcW w:w="0" w:type="auto"/>
            <w:tcBorders>
              <w:top w:val="none" w:sz="0" w:space="0" w:color="auto"/>
              <w:bottom w:val="none" w:sz="0" w:space="0" w:color="auto"/>
            </w:tcBorders>
            <w:shd w:val="clear" w:color="auto" w:fill="auto"/>
            <w:vAlign w:val="center"/>
          </w:tcPr>
          <w:p w14:paraId="0C5EBBBA"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63860">
              <w:rPr>
                <w:bCs/>
                <w:sz w:val="22"/>
                <w:szCs w:val="22"/>
              </w:rPr>
              <w:t>58</w:t>
            </w:r>
          </w:p>
        </w:tc>
        <w:tc>
          <w:tcPr>
            <w:tcW w:w="0" w:type="auto"/>
            <w:tcBorders>
              <w:top w:val="none" w:sz="0" w:space="0" w:color="auto"/>
              <w:bottom w:val="none" w:sz="0" w:space="0" w:color="auto"/>
            </w:tcBorders>
            <w:shd w:val="clear" w:color="auto" w:fill="auto"/>
            <w:vAlign w:val="center"/>
          </w:tcPr>
          <w:p w14:paraId="29547682"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63860">
              <w:rPr>
                <w:bCs/>
                <w:sz w:val="22"/>
                <w:szCs w:val="22"/>
              </w:rPr>
              <w:t>0.853</w:t>
            </w:r>
          </w:p>
        </w:tc>
        <w:tc>
          <w:tcPr>
            <w:tcW w:w="0" w:type="auto"/>
            <w:tcBorders>
              <w:top w:val="none" w:sz="0" w:space="0" w:color="auto"/>
              <w:bottom w:val="none" w:sz="0" w:space="0" w:color="auto"/>
            </w:tcBorders>
            <w:shd w:val="clear" w:color="auto" w:fill="auto"/>
            <w:vAlign w:val="center"/>
          </w:tcPr>
          <w:p w14:paraId="28532BF3"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63860">
              <w:rPr>
                <w:bCs/>
                <w:sz w:val="22"/>
                <w:szCs w:val="22"/>
              </w:rPr>
              <w:t>0.832</w:t>
            </w:r>
          </w:p>
        </w:tc>
        <w:tc>
          <w:tcPr>
            <w:tcW w:w="0" w:type="auto"/>
            <w:tcBorders>
              <w:top w:val="none" w:sz="0" w:space="0" w:color="auto"/>
              <w:bottom w:val="none" w:sz="0" w:space="0" w:color="auto"/>
            </w:tcBorders>
            <w:shd w:val="clear" w:color="auto" w:fill="auto"/>
            <w:vAlign w:val="center"/>
          </w:tcPr>
          <w:p w14:paraId="19C9D123"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63860">
              <w:rPr>
                <w:bCs/>
                <w:sz w:val="22"/>
                <w:szCs w:val="22"/>
              </w:rPr>
              <w:t>0.916</w:t>
            </w:r>
          </w:p>
        </w:tc>
        <w:tc>
          <w:tcPr>
            <w:tcW w:w="0" w:type="auto"/>
            <w:tcBorders>
              <w:top w:val="none" w:sz="0" w:space="0" w:color="auto"/>
              <w:bottom w:val="none" w:sz="0" w:space="0" w:color="auto"/>
            </w:tcBorders>
            <w:shd w:val="clear" w:color="auto" w:fill="auto"/>
            <w:vAlign w:val="center"/>
          </w:tcPr>
          <w:p w14:paraId="6E68E69B"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63860">
              <w:rPr>
                <w:bCs/>
                <w:sz w:val="22"/>
                <w:szCs w:val="22"/>
              </w:rPr>
              <w:t>0.893</w:t>
            </w:r>
          </w:p>
        </w:tc>
      </w:tr>
      <w:tr w:rsidR="00470AE4" w:rsidRPr="00C63860" w14:paraId="7063FEF5"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12BCEA9A" w14:textId="77777777" w:rsidR="00470AE4" w:rsidRPr="00C63860" w:rsidRDefault="00470AE4" w:rsidP="00470AE4">
            <w:pPr>
              <w:jc w:val="center"/>
              <w:rPr>
                <w:b w:val="0"/>
                <w:bCs w:val="0"/>
                <w:iCs/>
                <w:sz w:val="22"/>
                <w:szCs w:val="22"/>
              </w:rPr>
            </w:pPr>
            <w:r w:rsidRPr="00C63860">
              <w:rPr>
                <w:b w:val="0"/>
                <w:bCs w:val="0"/>
                <w:iCs/>
                <w:sz w:val="22"/>
                <w:szCs w:val="22"/>
              </w:rPr>
              <w:t>Diverticular disease</w:t>
            </w:r>
          </w:p>
        </w:tc>
        <w:tc>
          <w:tcPr>
            <w:tcW w:w="0" w:type="auto"/>
            <w:shd w:val="clear" w:color="auto" w:fill="auto"/>
            <w:vAlign w:val="center"/>
          </w:tcPr>
          <w:p w14:paraId="7480C380" w14:textId="3DD52F83"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bCs/>
                <w:sz w:val="22"/>
                <w:szCs w:val="22"/>
              </w:rPr>
              <w:t>Thornell</w:t>
            </w:r>
            <w:r w:rsidRPr="00C63860">
              <w:rPr>
                <w:bCs/>
                <w:noProof/>
                <w:sz w:val="22"/>
                <w:szCs w:val="22"/>
                <w:vertAlign w:val="superscript"/>
              </w:rPr>
              <w:t>14</w:t>
            </w:r>
          </w:p>
        </w:tc>
        <w:tc>
          <w:tcPr>
            <w:tcW w:w="0" w:type="auto"/>
            <w:shd w:val="clear" w:color="auto" w:fill="auto"/>
            <w:vAlign w:val="center"/>
          </w:tcPr>
          <w:p w14:paraId="0AD8F020"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bCs/>
                <w:sz w:val="22"/>
                <w:szCs w:val="22"/>
              </w:rPr>
              <w:t>68</w:t>
            </w:r>
          </w:p>
        </w:tc>
        <w:tc>
          <w:tcPr>
            <w:tcW w:w="0" w:type="auto"/>
            <w:shd w:val="clear" w:color="auto" w:fill="auto"/>
            <w:vAlign w:val="center"/>
          </w:tcPr>
          <w:p w14:paraId="3F80C162"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bCs/>
                <w:sz w:val="22"/>
                <w:szCs w:val="22"/>
              </w:rPr>
              <w:t>0.649</w:t>
            </w:r>
          </w:p>
        </w:tc>
        <w:tc>
          <w:tcPr>
            <w:tcW w:w="0" w:type="auto"/>
            <w:shd w:val="clear" w:color="auto" w:fill="auto"/>
            <w:vAlign w:val="center"/>
          </w:tcPr>
          <w:p w14:paraId="4987AA90"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bCs/>
                <w:sz w:val="22"/>
                <w:szCs w:val="22"/>
              </w:rPr>
              <w:t>0.666</w:t>
            </w:r>
          </w:p>
        </w:tc>
        <w:tc>
          <w:tcPr>
            <w:tcW w:w="0" w:type="auto"/>
            <w:shd w:val="clear" w:color="auto" w:fill="auto"/>
            <w:vAlign w:val="center"/>
          </w:tcPr>
          <w:p w14:paraId="74A7279B"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bCs/>
                <w:sz w:val="22"/>
                <w:szCs w:val="22"/>
              </w:rPr>
              <w:t>0.866</w:t>
            </w:r>
          </w:p>
        </w:tc>
        <w:tc>
          <w:tcPr>
            <w:tcW w:w="0" w:type="auto"/>
            <w:shd w:val="clear" w:color="auto" w:fill="auto"/>
            <w:vAlign w:val="center"/>
          </w:tcPr>
          <w:p w14:paraId="4BA76895"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bCs/>
                <w:sz w:val="22"/>
                <w:szCs w:val="22"/>
              </w:rPr>
              <w:t>0.889</w:t>
            </w:r>
          </w:p>
        </w:tc>
      </w:tr>
      <w:tr w:rsidR="00470AE4" w:rsidRPr="00C63860" w14:paraId="6EA37C0C"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4738ED3F" w14:textId="77777777" w:rsidR="00470AE4" w:rsidRPr="00C63860" w:rsidRDefault="00470AE4" w:rsidP="00470AE4">
            <w:pPr>
              <w:jc w:val="center"/>
              <w:rPr>
                <w:b w:val="0"/>
                <w:bCs w:val="0"/>
                <w:iCs/>
                <w:sz w:val="22"/>
                <w:szCs w:val="22"/>
              </w:rPr>
            </w:pPr>
            <w:r w:rsidRPr="00C63860">
              <w:rPr>
                <w:b w:val="0"/>
                <w:bCs w:val="0"/>
                <w:iCs/>
                <w:sz w:val="22"/>
                <w:szCs w:val="22"/>
              </w:rPr>
              <w:t>Hernia</w:t>
            </w:r>
          </w:p>
        </w:tc>
        <w:tc>
          <w:tcPr>
            <w:tcW w:w="0" w:type="auto"/>
            <w:tcBorders>
              <w:top w:val="none" w:sz="0" w:space="0" w:color="auto"/>
              <w:bottom w:val="none" w:sz="0" w:space="0" w:color="auto"/>
            </w:tcBorders>
            <w:shd w:val="clear" w:color="auto" w:fill="auto"/>
            <w:vAlign w:val="center"/>
          </w:tcPr>
          <w:p w14:paraId="6DF2679F" w14:textId="4B554461"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63860">
              <w:rPr>
                <w:noProof/>
                <w:sz w:val="22"/>
                <w:szCs w:val="22"/>
              </w:rPr>
              <w:t>Rutegård</w:t>
            </w:r>
            <w:r w:rsidRPr="00C63860">
              <w:rPr>
                <w:noProof/>
                <w:sz w:val="22"/>
                <w:szCs w:val="22"/>
                <w:vertAlign w:val="superscript"/>
              </w:rPr>
              <w:t>84</w:t>
            </w:r>
          </w:p>
        </w:tc>
        <w:tc>
          <w:tcPr>
            <w:tcW w:w="0" w:type="auto"/>
            <w:tcBorders>
              <w:top w:val="none" w:sz="0" w:space="0" w:color="auto"/>
              <w:bottom w:val="none" w:sz="0" w:space="0" w:color="auto"/>
            </w:tcBorders>
            <w:shd w:val="clear" w:color="auto" w:fill="auto"/>
            <w:vAlign w:val="center"/>
          </w:tcPr>
          <w:p w14:paraId="077E2185"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63860">
              <w:rPr>
                <w:bCs/>
                <w:sz w:val="22"/>
                <w:szCs w:val="22"/>
              </w:rPr>
              <w:t>59</w:t>
            </w:r>
          </w:p>
        </w:tc>
        <w:tc>
          <w:tcPr>
            <w:tcW w:w="0" w:type="auto"/>
            <w:tcBorders>
              <w:top w:val="none" w:sz="0" w:space="0" w:color="auto"/>
              <w:bottom w:val="none" w:sz="0" w:space="0" w:color="auto"/>
            </w:tcBorders>
            <w:shd w:val="clear" w:color="auto" w:fill="auto"/>
            <w:vAlign w:val="center"/>
          </w:tcPr>
          <w:p w14:paraId="0CD8AE61"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63860">
              <w:rPr>
                <w:bCs/>
                <w:sz w:val="22"/>
                <w:szCs w:val="22"/>
              </w:rPr>
              <w:t>0.848</w:t>
            </w:r>
          </w:p>
        </w:tc>
        <w:tc>
          <w:tcPr>
            <w:tcW w:w="0" w:type="auto"/>
            <w:tcBorders>
              <w:top w:val="none" w:sz="0" w:space="0" w:color="auto"/>
              <w:bottom w:val="none" w:sz="0" w:space="0" w:color="auto"/>
            </w:tcBorders>
            <w:shd w:val="clear" w:color="auto" w:fill="auto"/>
            <w:vAlign w:val="center"/>
          </w:tcPr>
          <w:p w14:paraId="6FA68884"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63860">
              <w:rPr>
                <w:bCs/>
                <w:sz w:val="22"/>
                <w:szCs w:val="22"/>
              </w:rPr>
              <w:t>0.870</w:t>
            </w:r>
          </w:p>
        </w:tc>
        <w:tc>
          <w:tcPr>
            <w:tcW w:w="0" w:type="auto"/>
            <w:tcBorders>
              <w:top w:val="none" w:sz="0" w:space="0" w:color="auto"/>
              <w:bottom w:val="none" w:sz="0" w:space="0" w:color="auto"/>
            </w:tcBorders>
            <w:shd w:val="clear" w:color="auto" w:fill="auto"/>
            <w:vAlign w:val="center"/>
          </w:tcPr>
          <w:p w14:paraId="62D02284"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63860">
              <w:rPr>
                <w:bCs/>
                <w:sz w:val="22"/>
                <w:szCs w:val="22"/>
              </w:rPr>
              <w:t>0.936</w:t>
            </w:r>
          </w:p>
        </w:tc>
        <w:tc>
          <w:tcPr>
            <w:tcW w:w="0" w:type="auto"/>
            <w:tcBorders>
              <w:top w:val="none" w:sz="0" w:space="0" w:color="auto"/>
              <w:bottom w:val="none" w:sz="0" w:space="0" w:color="auto"/>
            </w:tcBorders>
            <w:shd w:val="clear" w:color="auto" w:fill="auto"/>
            <w:vAlign w:val="center"/>
          </w:tcPr>
          <w:p w14:paraId="65C917D0"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63860">
              <w:rPr>
                <w:bCs/>
                <w:sz w:val="22"/>
                <w:szCs w:val="22"/>
              </w:rPr>
              <w:t>0.960</w:t>
            </w:r>
          </w:p>
        </w:tc>
      </w:tr>
      <w:tr w:rsidR="00470AE4" w:rsidRPr="00C63860" w14:paraId="71EC48C1"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10DAD15F" w14:textId="77777777" w:rsidR="00470AE4" w:rsidRPr="00C63860" w:rsidRDefault="00470AE4" w:rsidP="00470AE4">
            <w:pPr>
              <w:jc w:val="center"/>
              <w:rPr>
                <w:b w:val="0"/>
                <w:bCs w:val="0"/>
                <w:iCs/>
                <w:sz w:val="22"/>
                <w:szCs w:val="22"/>
              </w:rPr>
            </w:pPr>
            <w:r w:rsidRPr="00C63860">
              <w:rPr>
                <w:b w:val="0"/>
                <w:bCs w:val="0"/>
                <w:iCs/>
                <w:sz w:val="22"/>
                <w:szCs w:val="22"/>
              </w:rPr>
              <w:t>Intestinal obstruction</w:t>
            </w:r>
          </w:p>
        </w:tc>
        <w:tc>
          <w:tcPr>
            <w:tcW w:w="0" w:type="auto"/>
            <w:shd w:val="clear" w:color="auto" w:fill="auto"/>
            <w:vAlign w:val="center"/>
          </w:tcPr>
          <w:p w14:paraId="359EEA7A" w14:textId="5F984F5C"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bCs/>
                <w:sz w:val="22"/>
                <w:szCs w:val="22"/>
              </w:rPr>
              <w:t>Young</w:t>
            </w:r>
            <w:r w:rsidRPr="00C63860">
              <w:rPr>
                <w:bCs/>
                <w:noProof/>
                <w:sz w:val="22"/>
                <w:szCs w:val="22"/>
                <w:vertAlign w:val="superscript"/>
              </w:rPr>
              <w:t>85</w:t>
            </w:r>
          </w:p>
        </w:tc>
        <w:tc>
          <w:tcPr>
            <w:tcW w:w="0" w:type="auto"/>
            <w:shd w:val="clear" w:color="auto" w:fill="auto"/>
            <w:vAlign w:val="center"/>
          </w:tcPr>
          <w:p w14:paraId="2C96104E"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bCs/>
                <w:sz w:val="22"/>
                <w:szCs w:val="22"/>
              </w:rPr>
              <w:t>66</w:t>
            </w:r>
          </w:p>
        </w:tc>
        <w:tc>
          <w:tcPr>
            <w:tcW w:w="0" w:type="auto"/>
            <w:shd w:val="clear" w:color="auto" w:fill="auto"/>
            <w:vAlign w:val="center"/>
          </w:tcPr>
          <w:p w14:paraId="13FC4CD7"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bCs/>
                <w:sz w:val="22"/>
                <w:szCs w:val="22"/>
              </w:rPr>
              <w:t>0.706</w:t>
            </w:r>
          </w:p>
        </w:tc>
        <w:tc>
          <w:tcPr>
            <w:tcW w:w="0" w:type="auto"/>
            <w:shd w:val="clear" w:color="auto" w:fill="auto"/>
            <w:vAlign w:val="center"/>
          </w:tcPr>
          <w:p w14:paraId="511C990A"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bCs/>
                <w:sz w:val="22"/>
                <w:szCs w:val="22"/>
              </w:rPr>
              <w:t>0.687</w:t>
            </w:r>
          </w:p>
        </w:tc>
        <w:tc>
          <w:tcPr>
            <w:tcW w:w="0" w:type="auto"/>
            <w:shd w:val="clear" w:color="auto" w:fill="auto"/>
            <w:vAlign w:val="center"/>
          </w:tcPr>
          <w:p w14:paraId="5127F2AB"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bCs/>
                <w:sz w:val="22"/>
                <w:szCs w:val="22"/>
              </w:rPr>
              <w:t>0.173</w:t>
            </w:r>
          </w:p>
        </w:tc>
        <w:tc>
          <w:tcPr>
            <w:tcW w:w="0" w:type="auto"/>
            <w:shd w:val="clear" w:color="auto" w:fill="auto"/>
            <w:vAlign w:val="center"/>
          </w:tcPr>
          <w:p w14:paraId="04956264"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bCs/>
                <w:sz w:val="22"/>
                <w:szCs w:val="22"/>
              </w:rPr>
            </w:pPr>
            <w:r w:rsidRPr="00C63860">
              <w:rPr>
                <w:bCs/>
                <w:sz w:val="22"/>
                <w:szCs w:val="22"/>
              </w:rPr>
              <w:t>0.169</w:t>
            </w:r>
          </w:p>
        </w:tc>
      </w:tr>
    </w:tbl>
    <w:p w14:paraId="0A399771" w14:textId="7EF35248" w:rsidR="00C63860" w:rsidRPr="00C63860" w:rsidRDefault="00470AE4" w:rsidP="00470AE4">
      <w:r w:rsidRPr="00C63860">
        <w:rPr>
          <w:vertAlign w:val="superscript"/>
        </w:rPr>
        <w:t>a</w:t>
      </w:r>
      <w:r w:rsidRPr="00C63860">
        <w:t>Mean age at trial start in the study. E</w:t>
      </w:r>
      <w:r w:rsidR="00C63860" w:rsidRPr="00C63860">
        <w:rPr>
          <w:color w:val="00B0F0"/>
        </w:rPr>
        <w:t>Q-5D-3</w:t>
      </w:r>
      <w:r w:rsidRPr="00C63860">
        <w:t>L: EuroQoL five-dimension instrument, three-level version</w:t>
      </w:r>
    </w:p>
    <w:p w14:paraId="0265A809" w14:textId="00AE727C" w:rsidR="00C63860" w:rsidRPr="00C63860" w:rsidRDefault="00470AE4" w:rsidP="00F23137">
      <w:pPr>
        <w:spacing w:before="240" w:after="240" w:line="276" w:lineRule="auto"/>
        <w:rPr>
          <w:rFonts w:cstheme="minorHAnsi"/>
          <w:bCs/>
        </w:rPr>
      </w:pPr>
      <w:r w:rsidRPr="00C63860">
        <w:rPr>
          <w:rFonts w:cstheme="minorHAnsi"/>
          <w:bCs/>
        </w:rPr>
        <w:t>In calculating QALYs, for survivors at one-year, it was assumed that patients</w:t>
      </w:r>
      <w:r w:rsidR="00C63860" w:rsidRPr="00C63860">
        <w:rPr>
          <w:rFonts w:cstheme="minorHAnsi"/>
          <w:bCs/>
          <w:color w:val="00B0F0"/>
        </w:rPr>
        <w:t>’</w:t>
      </w:r>
      <w:r w:rsidRPr="00C63860">
        <w:rPr>
          <w:rFonts w:cstheme="minorHAnsi"/>
          <w:bCs/>
        </w:rPr>
        <w:t xml:space="preserve"> HRQoL was reduced for the duration of the initial emergency hospital admission, and that following hospital discharge, the patient</w:t>
      </w:r>
      <w:r w:rsidR="00C63860" w:rsidRPr="00C63860">
        <w:rPr>
          <w:rFonts w:cstheme="minorHAnsi"/>
          <w:bCs/>
          <w:color w:val="00B0F0"/>
        </w:rPr>
        <w:t>’</w:t>
      </w:r>
      <w:r w:rsidRPr="00C63860">
        <w:rPr>
          <w:rFonts w:cstheme="minorHAnsi"/>
          <w:bCs/>
        </w:rPr>
        <w:t xml:space="preserve">s HRQoL level immediately recovered to the average HRQoL level reported in the literature at the one-year follow-up. For those patients who had an emergency readmission during the one-year follow-up, it was assumed that the HRQoL following the emergency readmission reverted to the same </w:t>
      </w:r>
      <w:r w:rsidR="00C63860" w:rsidRPr="00C63860">
        <w:rPr>
          <w:rFonts w:cstheme="minorHAnsi"/>
          <w:bCs/>
          <w:color w:val="00B0F0"/>
        </w:rPr>
        <w:t>‘</w:t>
      </w:r>
      <w:r w:rsidR="006F6056" w:rsidRPr="00C63860">
        <w:rPr>
          <w:rFonts w:cstheme="minorHAnsi"/>
          <w:bCs/>
        </w:rPr>
        <w:t>baseline</w:t>
      </w:r>
      <w:r w:rsidR="00C63860" w:rsidRPr="00C63860">
        <w:rPr>
          <w:rFonts w:cstheme="minorHAnsi"/>
          <w:bCs/>
          <w:color w:val="00B0F0"/>
        </w:rPr>
        <w:t>’</w:t>
      </w:r>
      <w:r w:rsidRPr="00C63860">
        <w:rPr>
          <w:rFonts w:cstheme="minorHAnsi"/>
          <w:bCs/>
        </w:rPr>
        <w:t xml:space="preserve"> level as for the initial (index) emergency admission. It was also assumed that following hospital discharge, the HRQoL levels reverted to those at one-year follow-up (Appendix 4</w:t>
      </w:r>
      <w:r w:rsidR="008B59B5" w:rsidRPr="00C63860">
        <w:rPr>
          <w:rFonts w:cstheme="minorHAnsi"/>
          <w:bCs/>
        </w:rPr>
        <w:t>,</w:t>
      </w:r>
      <w:r w:rsidRPr="00C63860">
        <w:rPr>
          <w:rFonts w:cstheme="minorHAnsi"/>
          <w:bCs/>
        </w:rPr>
        <w:t xml:space="preserve"> </w:t>
      </w:r>
      <w:r w:rsidR="00C63860" w:rsidRPr="00C63860">
        <w:rPr>
          <w:rFonts w:cstheme="minorHAnsi"/>
          <w:i/>
          <w:color w:val="FF0000"/>
        </w:rPr>
        <w:t>Figure 30</w:t>
      </w:r>
      <w:r w:rsidRPr="00C63860">
        <w:rPr>
          <w:rFonts w:cstheme="minorHAnsi"/>
          <w:bCs/>
        </w:rPr>
        <w:t>). The assumption that HRQoL reverted to follow-up levels immediately after hospital discharge, was challenged in sensitivity analysis in which QALYs were instead calculated using linear interpolation between the index emergency admission and one-year follow-up (Appendix 4</w:t>
      </w:r>
      <w:r w:rsidR="00A00C0D" w:rsidRPr="00C63860">
        <w:rPr>
          <w:rFonts w:cstheme="minorHAnsi"/>
          <w:bCs/>
        </w:rPr>
        <w:t>,</w:t>
      </w:r>
      <w:r w:rsidRPr="00C63860">
        <w:rPr>
          <w:rFonts w:cstheme="minorHAnsi"/>
          <w:bCs/>
        </w:rPr>
        <w:t xml:space="preserve"> </w:t>
      </w:r>
      <w:r w:rsidR="00C63860" w:rsidRPr="00C63860">
        <w:rPr>
          <w:rFonts w:cstheme="minorHAnsi"/>
          <w:i/>
          <w:color w:val="FF0000"/>
        </w:rPr>
        <w:t>Figure 30</w:t>
      </w:r>
      <w:r w:rsidRPr="00C63860">
        <w:rPr>
          <w:rFonts w:cstheme="minorHAnsi"/>
          <w:bCs/>
        </w:rPr>
        <w:t>). For patients who died prior to one-year, a HRQoL score of zero was applied.</w:t>
      </w:r>
    </w:p>
    <w:p w14:paraId="49EACBD2" w14:textId="02C61A18" w:rsidR="00C63860" w:rsidRPr="00C63860" w:rsidRDefault="00470AE4" w:rsidP="00F23137">
      <w:pPr>
        <w:spacing w:before="240" w:after="240" w:line="276" w:lineRule="auto"/>
        <w:rPr>
          <w:rFonts w:cstheme="minorHAnsi"/>
          <w:bCs/>
        </w:rPr>
      </w:pPr>
      <w:r w:rsidRPr="00C63860">
        <w:rPr>
          <w:rFonts w:cstheme="minorHAnsi"/>
          <w:bCs/>
        </w:rPr>
        <w:t xml:space="preserve">The approach to estimating QALYs therefore assumed that events that did not </w:t>
      </w:r>
      <w:r w:rsidRPr="00C63860">
        <w:rPr>
          <w:rFonts w:cstheme="minorHAnsi"/>
          <w:bCs/>
          <w:highlight w:val="magenta"/>
        </w:rPr>
        <w:t>lead</w:t>
      </w:r>
      <w:r w:rsidRPr="00C63860">
        <w:rPr>
          <w:rFonts w:cstheme="minorHAnsi"/>
          <w:bCs/>
        </w:rPr>
        <w:t xml:space="preserve"> to emergency readmissions (e.g. planned surgery for recurrence), had no impact on the patient</w:t>
      </w:r>
      <w:r w:rsidR="00C63860" w:rsidRPr="00C63860">
        <w:rPr>
          <w:rFonts w:cstheme="minorHAnsi"/>
          <w:bCs/>
          <w:color w:val="00B0F0"/>
        </w:rPr>
        <w:t>’</w:t>
      </w:r>
      <w:r w:rsidRPr="00C63860">
        <w:rPr>
          <w:rFonts w:cstheme="minorHAnsi"/>
          <w:bCs/>
        </w:rPr>
        <w:t>s HRQoL, and this assumption was informed by the precedent HRQoL literature, for example on HRQoL for hernia repairs in the elective setting.</w:t>
      </w:r>
      <w:r w:rsidRPr="00C63860">
        <w:rPr>
          <w:rFonts w:cstheme="minorHAnsi"/>
          <w:bCs/>
          <w:noProof/>
          <w:vertAlign w:val="superscript"/>
        </w:rPr>
        <w:t>86, 87</w:t>
      </w:r>
      <w:r w:rsidRPr="00C63860">
        <w:rPr>
          <w:rFonts w:cstheme="minorHAnsi"/>
          <w:bCs/>
        </w:rPr>
        <w:t xml:space="preserve"> It was also assumed that the only differential effect of the comparison group on one-year QALYs, was according to one-year mortality, or the rate or duration of emergency readmissions, both of which were derived from the individual-level HES </w:t>
      </w:r>
      <w:bookmarkStart w:id="76" w:name="_Hlk86244468"/>
      <w:r w:rsidRPr="00C63860">
        <w:rPr>
          <w:rFonts w:cstheme="minorHAnsi"/>
          <w:bCs/>
          <w:highlight w:val="magenta"/>
        </w:rPr>
        <w:t>data</w:t>
      </w:r>
      <w:r w:rsidRPr="00C63860">
        <w:rPr>
          <w:rFonts w:cstheme="minorHAnsi"/>
          <w:bCs/>
        </w:rPr>
        <w:t>.</w:t>
      </w:r>
      <w:bookmarkEnd w:id="76"/>
    </w:p>
    <w:p w14:paraId="0E78832B" w14:textId="77777777" w:rsidR="00C63860" w:rsidRPr="00C63860" w:rsidRDefault="00470AE4" w:rsidP="00F23137">
      <w:pPr>
        <w:spacing w:before="240" w:after="100" w:afterAutospacing="1" w:line="276" w:lineRule="auto"/>
        <w:contextualSpacing/>
        <w:rPr>
          <w:rFonts w:cstheme="minorHAnsi"/>
        </w:rPr>
      </w:pPr>
      <w:r w:rsidRPr="00C63860">
        <w:rPr>
          <w:rFonts w:cstheme="minorHAnsi"/>
        </w:rPr>
        <w:t>The QALY calculations used HRQoL average levels extracted from the literature,</w:t>
      </w:r>
      <w:r w:rsidR="00C63860" w:rsidRPr="00C63860">
        <w:rPr>
          <w:rFonts w:cstheme="minorHAnsi"/>
        </w:rPr>
        <w:t xml:space="preserve"> </w:t>
      </w:r>
      <w:r w:rsidRPr="00C63860">
        <w:rPr>
          <w:rFonts w:cstheme="minorHAnsi"/>
        </w:rPr>
        <w:t>according to the age and gender of each individual patient.</w:t>
      </w:r>
      <w:r w:rsidRPr="00C63860">
        <w:rPr>
          <w:rFonts w:cstheme="minorHAnsi"/>
          <w:noProof/>
          <w:vertAlign w:val="superscript"/>
        </w:rPr>
        <w:t>88, 89</w:t>
      </w:r>
      <w:r w:rsidRPr="00C63860">
        <w:rPr>
          <w:rFonts w:cstheme="minorHAnsi"/>
        </w:rPr>
        <w:t xml:space="preserve"> The study reported INBs of ES versus NES by multiplying the incremental QALYs by the NICE recommended willingness-to-pay threshold of £20,000 per QALY, and subtracting from this the total cost (£) at one year.</w:t>
      </w:r>
      <w:r w:rsidRPr="00C63860">
        <w:rPr>
          <w:rFonts w:cstheme="minorHAnsi"/>
          <w:noProof/>
          <w:vertAlign w:val="superscript"/>
        </w:rPr>
        <w:t>63</w:t>
      </w:r>
    </w:p>
    <w:p w14:paraId="0CC3FB13" w14:textId="5E7375BC" w:rsidR="00470AE4" w:rsidRPr="00C63860" w:rsidRDefault="00470AE4" w:rsidP="00F23137">
      <w:pPr>
        <w:spacing w:before="240" w:after="100" w:afterAutospacing="1" w:line="276" w:lineRule="auto"/>
        <w:rPr>
          <w:rFonts w:cstheme="minorHAnsi"/>
          <w:b/>
          <w:bCs/>
          <w:iCs/>
        </w:rPr>
      </w:pPr>
      <w:r w:rsidRPr="00C63860">
        <w:rPr>
          <w:rFonts w:cstheme="minorHAnsi"/>
          <w:b/>
          <w:bCs/>
          <w:iCs/>
        </w:rPr>
        <w:t>4.2.6 Statistical Analysis</w:t>
      </w:r>
    </w:p>
    <w:p w14:paraId="5583C245" w14:textId="22B35126" w:rsidR="00470AE4" w:rsidRPr="00C63860" w:rsidRDefault="00470AE4" w:rsidP="00F23137">
      <w:pPr>
        <w:spacing w:before="240" w:after="100" w:afterAutospacing="1" w:line="276" w:lineRule="auto"/>
        <w:rPr>
          <w:rFonts w:cstheme="minorHAnsi"/>
        </w:rPr>
      </w:pPr>
      <w:r w:rsidRPr="00C63860">
        <w:rPr>
          <w:rFonts w:cstheme="minorHAnsi"/>
        </w:rPr>
        <w:t>The CEA used the same LIV approach as for the evaluation of clinical effectiveness (Chapter 3).</w:t>
      </w:r>
      <w:r w:rsidRPr="00C63860">
        <w:rPr>
          <w:rFonts w:cstheme="minorHAnsi"/>
          <w:noProof/>
          <w:vertAlign w:val="superscript"/>
        </w:rPr>
        <w:t>19, 20, 90</w:t>
      </w:r>
      <w:r w:rsidRPr="00C63860">
        <w:rPr>
          <w:rFonts w:cstheme="minorHAnsi"/>
        </w:rPr>
        <w:t xml:space="preserve"> In the ESORT study, the IV was the hospital</w:t>
      </w:r>
      <w:r w:rsidR="00C63860" w:rsidRPr="00C63860">
        <w:rPr>
          <w:rFonts w:cstheme="minorHAnsi"/>
          <w:color w:val="00B0F0"/>
        </w:rPr>
        <w:t>’</w:t>
      </w:r>
      <w:r w:rsidRPr="00C63860">
        <w:rPr>
          <w:rFonts w:cstheme="minorHAnsi"/>
        </w:rPr>
        <w:t xml:space="preserve">s TTO, which reflected </w:t>
      </w:r>
      <w:r w:rsidRPr="00C63860">
        <w:rPr>
          <w:rFonts w:cstheme="minorHAnsi"/>
          <w:highlight w:val="magenta"/>
        </w:rPr>
        <w:t>practice</w:t>
      </w:r>
      <w:r w:rsidRPr="00C63860">
        <w:rPr>
          <w:rFonts w:cstheme="minorHAnsi"/>
        </w:rPr>
        <w:t xml:space="preserve"> variation across hospitals in ES rates for these conditions (Appendix 2, </w:t>
      </w:r>
      <w:r w:rsidR="00A00C0D" w:rsidRPr="00C63860">
        <w:rPr>
          <w:rFonts w:cstheme="minorHAnsi"/>
        </w:rPr>
        <w:t>S</w:t>
      </w:r>
      <w:r w:rsidRPr="00C63860">
        <w:rPr>
          <w:rFonts w:cstheme="minorHAnsi"/>
        </w:rPr>
        <w:t>ections A2.1 and A2.2). For each qualifying emergency admission, the TTO was defined as the proportion of eligible emergency admissions in that specific hospital who received ES in the previous 12 months, thus requiring that the hospital</w:t>
      </w:r>
      <w:r w:rsidR="00C63860" w:rsidRPr="00C63860">
        <w:rPr>
          <w:rFonts w:cstheme="minorHAnsi"/>
          <w:color w:val="00B0F0"/>
        </w:rPr>
        <w:t>’</w:t>
      </w:r>
      <w:r w:rsidRPr="00C63860">
        <w:rPr>
          <w:rFonts w:cstheme="minorHAnsi"/>
        </w:rPr>
        <w:t xml:space="preserve">s past preference for ES strongly predicted the choice of ES versus NES strategy for the current patient. </w:t>
      </w:r>
      <w:bookmarkStart w:id="77" w:name="_Hlk82883984"/>
      <w:r w:rsidRPr="00C63860">
        <w:rPr>
          <w:rFonts w:cstheme="minorHAnsi"/>
        </w:rPr>
        <w:t xml:space="preserve">As described in </w:t>
      </w:r>
      <w:r w:rsidRPr="00C63860">
        <w:rPr>
          <w:rFonts w:cstheme="minorHAnsi"/>
          <w:i/>
          <w:iCs/>
        </w:rPr>
        <w:t>Chapter 3</w:t>
      </w:r>
      <w:r w:rsidRPr="00C63860">
        <w:rPr>
          <w:rFonts w:cstheme="minorHAnsi"/>
        </w:rPr>
        <w:t>, while the underlying assumptions behind the IV approach were plausible, we also adjusted for a rich set of potential confounders, including proxies for quality of acute care (Appendix 2</w:t>
      </w:r>
      <w:r w:rsidR="00A00C0D" w:rsidRPr="00C63860">
        <w:rPr>
          <w:rFonts w:cstheme="minorHAnsi"/>
        </w:rPr>
        <w:t>,</w:t>
      </w:r>
      <w:r w:rsidRPr="00C63860">
        <w:rPr>
          <w:rFonts w:cstheme="minorHAnsi"/>
        </w:rPr>
        <w:t xml:space="preserve"> </w:t>
      </w:r>
      <w:r w:rsidR="00A00C0D" w:rsidRPr="00C63860">
        <w:rPr>
          <w:rFonts w:cstheme="minorHAnsi"/>
        </w:rPr>
        <w:t>S</w:t>
      </w:r>
      <w:r w:rsidRPr="00C63860">
        <w:rPr>
          <w:rFonts w:cstheme="minorHAnsi"/>
        </w:rPr>
        <w:t>ection A2.3).</w:t>
      </w:r>
    </w:p>
    <w:bookmarkEnd w:id="77"/>
    <w:p w14:paraId="67672FF0" w14:textId="77777777" w:rsidR="00C63860" w:rsidRPr="00C63860" w:rsidRDefault="00470AE4" w:rsidP="00F23137">
      <w:pPr>
        <w:spacing w:before="240" w:after="100" w:afterAutospacing="1" w:line="276" w:lineRule="auto"/>
        <w:rPr>
          <w:rFonts w:cstheme="minorHAnsi"/>
        </w:rPr>
      </w:pPr>
      <w:r w:rsidRPr="00C63860">
        <w:rPr>
          <w:rFonts w:cstheme="minorHAnsi"/>
        </w:rPr>
        <w:t>The LIV approach was used to estimate the potential outcomes for each individual following both ES and NES strategies. These predicted outcomes were used in summarising main resource use measures, such as the percentages of patients who had common operative procedures, were transferred to critical care</w:t>
      </w:r>
      <w:r w:rsidR="00A00C0D" w:rsidRPr="00C63860">
        <w:rPr>
          <w:rFonts w:cstheme="minorHAnsi"/>
        </w:rPr>
        <w:t xml:space="preserve"> units</w:t>
      </w:r>
      <w:r w:rsidRPr="00C63860">
        <w:rPr>
          <w:rFonts w:cstheme="minorHAnsi"/>
        </w:rPr>
        <w:t>, or had a hospital readmission or reintervention, and the mean total number of days in hospital up to one year.</w:t>
      </w:r>
    </w:p>
    <w:p w14:paraId="0F4656FA" w14:textId="5C12B225" w:rsidR="00470AE4" w:rsidRPr="00C63860" w:rsidRDefault="00470AE4" w:rsidP="00F23137">
      <w:pPr>
        <w:spacing w:before="240" w:after="100" w:afterAutospacing="1" w:line="276" w:lineRule="auto"/>
      </w:pPr>
      <w:bookmarkStart w:id="78" w:name="_Hlk86165409"/>
      <w:r w:rsidRPr="00C63860">
        <w:rPr>
          <w:rFonts w:cstheme="minorHAnsi"/>
        </w:rPr>
        <w:t xml:space="preserve">We calculated person-centred treatment (PeT) effects of ES versus NES strategies for the total </w:t>
      </w:r>
      <w:r w:rsidR="006E273D" w:rsidRPr="00C63860">
        <w:rPr>
          <w:rFonts w:cstheme="minorHAnsi"/>
        </w:rPr>
        <w:t>number of hospital days</w:t>
      </w:r>
      <w:r w:rsidRPr="00C63860">
        <w:rPr>
          <w:rFonts w:cstheme="minorHAnsi"/>
        </w:rPr>
        <w:t>, costs, LYs, QALYs and INBs for each individual allowing for treatment effect heterogeneity and confounding.</w:t>
      </w:r>
      <w:r w:rsidRPr="00C63860">
        <w:rPr>
          <w:rFonts w:cstheme="minorHAnsi"/>
          <w:noProof/>
          <w:vertAlign w:val="superscript"/>
        </w:rPr>
        <w:t>14, 83</w:t>
      </w:r>
      <w:r w:rsidR="00C63860" w:rsidRPr="00C63860">
        <w:rPr>
          <w:rFonts w:cstheme="minorHAnsi"/>
          <w:noProof/>
          <w:color w:val="00B0F0"/>
          <w:vertAlign w:val="superscript"/>
        </w:rPr>
        <w:t>–8</w:t>
      </w:r>
      <w:r w:rsidRPr="00C63860">
        <w:rPr>
          <w:rFonts w:cstheme="minorHAnsi"/>
          <w:noProof/>
          <w:vertAlign w:val="superscript"/>
        </w:rPr>
        <w:t>5</w:t>
      </w:r>
      <w:r w:rsidRPr="00C63860">
        <w:rPr>
          <w:rFonts w:eastAsia="Helvetica" w:cstheme="minorHAnsi"/>
          <w:lang w:bidi="en-GB"/>
          <w14:ligatures w14:val="standardContextual"/>
        </w:rPr>
        <w:t xml:space="preserve"> These estimated effects were aggregated to report the effects of ES overall, and for each pre-specified subgroup of interest (see </w:t>
      </w:r>
      <w:r w:rsidR="00E36476" w:rsidRPr="00C63860">
        <w:rPr>
          <w:rFonts w:eastAsia="Helvetica" w:cstheme="minorHAnsi"/>
          <w:lang w:bidi="en-GB"/>
          <w14:ligatures w14:val="standardContextual"/>
        </w:rPr>
        <w:t>S</w:t>
      </w:r>
      <w:r w:rsidRPr="00C63860">
        <w:rPr>
          <w:rFonts w:eastAsia="Helvetica" w:cstheme="minorHAnsi"/>
          <w:lang w:bidi="en-GB"/>
          <w14:ligatures w14:val="standardContextual"/>
        </w:rPr>
        <w:t>ection 3.3.5)</w:t>
      </w:r>
      <w:r w:rsidRPr="00C63860">
        <w:rPr>
          <w:rFonts w:cstheme="minorHAnsi"/>
        </w:rPr>
        <w:t xml:space="preserve">. Probit regression models were used to estimate the initial propensity score (first stage), while GLMs were applied to each endpoint, with the most appropriate chosen for each endpoint and condition, according to RMSE, </w:t>
      </w:r>
      <w:r w:rsidR="00C63860" w:rsidRPr="00C63860">
        <w:rPr>
          <w:rFonts w:cstheme="minorHAnsi"/>
          <w:color w:val="00B0F0"/>
        </w:rPr>
        <w:t>among</w:t>
      </w:r>
      <w:r w:rsidRPr="00C63860">
        <w:rPr>
          <w:rFonts w:cstheme="minorHAnsi"/>
        </w:rPr>
        <w:t xml:space="preserve"> those models that converged (Appendix 5). </w:t>
      </w:r>
      <w:r w:rsidR="00C63860" w:rsidRPr="00C63860">
        <w:rPr>
          <w:rFonts w:cstheme="minorHAnsi"/>
          <w:color w:val="00B0F0"/>
        </w:rPr>
        <w:t>Hosmer–Lemeshow</w:t>
      </w:r>
      <w:r w:rsidRPr="00C63860">
        <w:rPr>
          <w:rFonts w:cstheme="minorHAnsi"/>
        </w:rPr>
        <w:t xml:space="preserve"> and Pregibon tests were also used to check model fit and appropriateness.</w:t>
      </w:r>
      <w:r w:rsidRPr="00C63860">
        <w:rPr>
          <w:rFonts w:cstheme="minorHAnsi"/>
          <w:noProof/>
          <w:vertAlign w:val="superscript"/>
        </w:rPr>
        <w:t>91, 92</w:t>
      </w:r>
      <w:r w:rsidRPr="00C63860">
        <w:t xml:space="preserve"> For LOS within the index admission, the poisson family with log link was chosen for all conditions. For the total LOS, LYs, and QALYs at one year, the endpoints were rescaled [0,1] which enabled a model with binomial family and log link to be applied, which was also the best fitting model for the binary resource use measures (all five conditions). For costs, the gaussian family with log link was selected for appendicitis, diverticular disease and cholelithiasis, the gaussian family with identify link for hernia, and the poisson family with log link to handle the heavily right-skewed costs for the </w:t>
      </w:r>
      <w:r w:rsidR="00E36476" w:rsidRPr="00C63860">
        <w:t xml:space="preserve">intestinal </w:t>
      </w:r>
      <w:r w:rsidRPr="00C63860">
        <w:t>obstruction cohort.</w:t>
      </w:r>
    </w:p>
    <w:bookmarkEnd w:id="78"/>
    <w:p w14:paraId="18837F27" w14:textId="5547A40A" w:rsidR="00470AE4" w:rsidRPr="00C63860" w:rsidRDefault="00470AE4" w:rsidP="00F23137">
      <w:pPr>
        <w:spacing w:before="240" w:after="100" w:afterAutospacing="1" w:line="276" w:lineRule="auto"/>
        <w:rPr>
          <w:rFonts w:cstheme="minorHAnsi"/>
        </w:rPr>
      </w:pPr>
      <w:r w:rsidRPr="00C63860">
        <w:rPr>
          <w:rFonts w:cstheme="minorHAnsi"/>
        </w:rPr>
        <w:t xml:space="preserve">Models at both stages </w:t>
      </w:r>
      <w:r w:rsidR="00E36476" w:rsidRPr="00C63860">
        <w:rPr>
          <w:rFonts w:cstheme="minorHAnsi"/>
        </w:rPr>
        <w:t xml:space="preserve">were </w:t>
      </w:r>
      <w:r w:rsidRPr="00C63860">
        <w:rPr>
          <w:rFonts w:cstheme="minorHAnsi"/>
        </w:rPr>
        <w:t>adjusted for confounding factors for costs and outcomes, time period, and proxies for hospital quality, defined by rates of emergency readmission and mortality in 2009</w:t>
      </w:r>
      <w:r w:rsidR="00C63860" w:rsidRPr="00C63860">
        <w:rPr>
          <w:rFonts w:cstheme="minorHAnsi"/>
          <w:color w:val="00B0F0"/>
        </w:rPr>
        <w:t>–1</w:t>
      </w:r>
      <w:r w:rsidRPr="00C63860">
        <w:rPr>
          <w:rFonts w:cstheme="minorHAnsi"/>
        </w:rPr>
        <w:t>0 (time constant), and in the year prior to the specific admission concerned (time-varying) (see Appendix 2</w:t>
      </w:r>
      <w:r w:rsidR="00E36476" w:rsidRPr="00C63860">
        <w:rPr>
          <w:rFonts w:cstheme="minorHAnsi"/>
        </w:rPr>
        <w:t>, S</w:t>
      </w:r>
      <w:r w:rsidRPr="00C63860">
        <w:rPr>
          <w:rFonts w:cstheme="minorHAnsi"/>
        </w:rPr>
        <w:t>ection A2.3).</w:t>
      </w:r>
    </w:p>
    <w:p w14:paraId="07B1B5D7" w14:textId="77777777" w:rsidR="00470AE4" w:rsidRPr="00C63860" w:rsidRDefault="00470AE4" w:rsidP="00F23137">
      <w:pPr>
        <w:spacing w:before="240" w:line="276" w:lineRule="auto"/>
        <w:rPr>
          <w:rFonts w:cstheme="minorHAnsi"/>
        </w:rPr>
      </w:pPr>
      <w:r w:rsidRPr="00C63860">
        <w:rPr>
          <w:rFonts w:cstheme="minorHAnsi"/>
        </w:rPr>
        <w:t>Overall estimates of incremental resource use, costs, LYs, QALYs and INBs were reported with standard errors and CIs obtained with the non-parametric bootstrap (300 replications), allowing for the clustering of individuals within hospitals, and the correlation of individual-level costs and effects. The individual-level estimates of incremental costs and QALYs were also plotted on the cost-effectiveness plane, stratified by subgroups of policy-relevance.</w:t>
      </w:r>
    </w:p>
    <w:p w14:paraId="7826F9DC" w14:textId="77777777" w:rsidR="00C63860" w:rsidRPr="00C63860" w:rsidRDefault="00470AE4" w:rsidP="00F23137">
      <w:pPr>
        <w:autoSpaceDE w:val="0"/>
        <w:autoSpaceDN w:val="0"/>
        <w:adjustRightInd w:val="0"/>
        <w:spacing w:before="240" w:after="100" w:afterAutospacing="1" w:line="276" w:lineRule="auto"/>
        <w:rPr>
          <w:rFonts w:cstheme="minorHAnsi"/>
          <w:b/>
        </w:rPr>
      </w:pPr>
      <w:r w:rsidRPr="00C63860">
        <w:rPr>
          <w:rFonts w:cstheme="minorHAnsi"/>
          <w:b/>
        </w:rPr>
        <w:t>4.2.7 Sensitivity analyses</w:t>
      </w:r>
    </w:p>
    <w:p w14:paraId="2D4EA10D" w14:textId="6A02DDBA" w:rsidR="00C63860" w:rsidRPr="00C63860" w:rsidRDefault="00470AE4" w:rsidP="00F23137">
      <w:pPr>
        <w:spacing w:before="240" w:after="240" w:line="276" w:lineRule="auto"/>
        <w:rPr>
          <w:rFonts w:cstheme="minorHAnsi"/>
        </w:rPr>
      </w:pPr>
      <w:r w:rsidRPr="00C63860">
        <w:rPr>
          <w:rFonts w:cstheme="minorHAnsi"/>
        </w:rPr>
        <w:t xml:space="preserve">Sensitivity analyses were undertaken to assess whether the results from the main analysis were robust to alternative definitions and assumptions. First, the CEA, like the evaluation of clinical effectiveness, considered whether the results were robust to the choice of adjustment measure for </w:t>
      </w:r>
      <w:r w:rsidR="006F6056" w:rsidRPr="00C63860">
        <w:rPr>
          <w:rFonts w:cstheme="minorHAnsi"/>
          <w:color w:val="00B0F0"/>
          <w:highlight w:val="green"/>
        </w:rPr>
        <w:t>‘</w:t>
      </w:r>
      <w:r w:rsidR="006F6056" w:rsidRPr="00C63860">
        <w:rPr>
          <w:rFonts w:cstheme="minorHAnsi"/>
          <w:highlight w:val="green"/>
        </w:rPr>
        <w:t>quality of care</w:t>
      </w:r>
      <w:r w:rsidR="006F6056" w:rsidRPr="00C63860">
        <w:rPr>
          <w:rFonts w:cstheme="minorHAnsi"/>
          <w:color w:val="00B0F0"/>
          <w:highlight w:val="green"/>
        </w:rPr>
        <w:t>’</w:t>
      </w:r>
      <w:r w:rsidRPr="00C63860">
        <w:rPr>
          <w:rFonts w:cstheme="minorHAnsi"/>
        </w:rPr>
        <w:t xml:space="preserve"> by using external hospital performance measures from NELA, rather than those from the </w:t>
      </w:r>
      <w:r w:rsidRPr="00C63860">
        <w:rPr>
          <w:rFonts w:cstheme="minorHAnsi"/>
          <w:highlight w:val="magenta"/>
        </w:rPr>
        <w:t>preceding</w:t>
      </w:r>
      <w:r w:rsidRPr="00C63860">
        <w:rPr>
          <w:rFonts w:cstheme="minorHAnsi"/>
        </w:rPr>
        <w:t xml:space="preserve"> HES admissions </w:t>
      </w:r>
      <w:r w:rsidRPr="00C63860">
        <w:rPr>
          <w:rFonts w:cstheme="minorHAnsi"/>
          <w:highlight w:val="magenta"/>
        </w:rPr>
        <w:t>data</w:t>
      </w:r>
      <w:r w:rsidRPr="00C63860">
        <w:rPr>
          <w:rFonts w:cstheme="minorHAnsi"/>
        </w:rPr>
        <w:t xml:space="preserve"> (</w:t>
      </w:r>
      <w:r w:rsidR="00150174" w:rsidRPr="00C63860">
        <w:rPr>
          <w:rFonts w:cstheme="minorHAnsi"/>
        </w:rPr>
        <w:t>Sensitivity Analysis 1 (</w:t>
      </w:r>
      <w:r w:rsidRPr="00C63860">
        <w:rPr>
          <w:rFonts w:cstheme="minorHAnsi"/>
        </w:rPr>
        <w:t>SA1</w:t>
      </w:r>
      <w:r w:rsidR="00150174" w:rsidRPr="00C63860">
        <w:rPr>
          <w:rFonts w:cstheme="minorHAnsi"/>
        </w:rPr>
        <w:t>)</w:t>
      </w:r>
      <w:r w:rsidRPr="00C63860">
        <w:rPr>
          <w:rFonts w:cstheme="minorHAnsi"/>
        </w:rPr>
        <w:t>).</w:t>
      </w:r>
      <w:r w:rsidRPr="00C63860">
        <w:rPr>
          <w:rFonts w:cstheme="minorHAnsi"/>
          <w:noProof/>
          <w:vertAlign w:val="superscript"/>
        </w:rPr>
        <w:t>59</w:t>
      </w:r>
      <w:r w:rsidR="00C63860" w:rsidRPr="00C63860">
        <w:rPr>
          <w:rFonts w:cstheme="minorHAnsi"/>
          <w:noProof/>
          <w:color w:val="00B0F0"/>
          <w:vertAlign w:val="superscript"/>
        </w:rPr>
        <w:t>–6</w:t>
      </w:r>
      <w:r w:rsidRPr="00C63860">
        <w:rPr>
          <w:rFonts w:cstheme="minorHAnsi"/>
          <w:noProof/>
          <w:vertAlign w:val="superscript"/>
        </w:rPr>
        <w:t>1</w:t>
      </w:r>
      <w:r w:rsidRPr="00C63860">
        <w:rPr>
          <w:rFonts w:cstheme="minorHAnsi"/>
        </w:rPr>
        <w:t xml:space="preserve"> Second, to assess the sensitivity of the results to assumptions about unit costs, the sensitivity analyses considered alternative scenarios. Specifically, the inclusion of the full unit costs of operative and diagnostic procedures for the </w:t>
      </w:r>
      <w:r w:rsidR="00C63860" w:rsidRPr="00C63860">
        <w:rPr>
          <w:rFonts w:cstheme="minorHAnsi"/>
          <w:color w:val="00B0F0"/>
        </w:rPr>
        <w:t>‘</w:t>
      </w:r>
      <w:r w:rsidR="006F6056" w:rsidRPr="00C63860">
        <w:rPr>
          <w:rFonts w:cstheme="minorHAnsi"/>
        </w:rPr>
        <w:t>more common</w:t>
      </w:r>
      <w:r w:rsidR="00C63860" w:rsidRPr="00C63860">
        <w:rPr>
          <w:rFonts w:cstheme="minorHAnsi"/>
          <w:color w:val="00B0F0"/>
        </w:rPr>
        <w:t>’</w:t>
      </w:r>
      <w:r w:rsidRPr="00C63860">
        <w:rPr>
          <w:rFonts w:cstheme="minorHAnsi"/>
        </w:rPr>
        <w:t xml:space="preserve"> operative and diagnostic procedures, risks double counting of items (e.g. consumables) that may be included within the overall costs per bed-day. Conversely, the exclusion of specific additional costs for the </w:t>
      </w:r>
      <w:r w:rsidR="00C63860" w:rsidRPr="00C63860">
        <w:rPr>
          <w:rFonts w:cstheme="minorHAnsi"/>
          <w:color w:val="00B0F0"/>
        </w:rPr>
        <w:t>‘</w:t>
      </w:r>
      <w:r w:rsidR="006F6056" w:rsidRPr="00C63860">
        <w:rPr>
          <w:rFonts w:cstheme="minorHAnsi"/>
        </w:rPr>
        <w:t>less common</w:t>
      </w:r>
      <w:r w:rsidR="00C63860" w:rsidRPr="00C63860">
        <w:rPr>
          <w:rFonts w:cstheme="minorHAnsi"/>
          <w:color w:val="00B0F0"/>
        </w:rPr>
        <w:t>’</w:t>
      </w:r>
      <w:r w:rsidRPr="00C63860">
        <w:rPr>
          <w:rFonts w:cstheme="minorHAnsi"/>
        </w:rPr>
        <w:t xml:space="preserve"> operative procedures for both comparison groups may have led to an underestimate of costs for both groups. To investigate whether either standpoint led to a large inaccuracy in the INB estimates, we increased and decreased unit costs by 10% (</w:t>
      </w:r>
      <w:r w:rsidR="00A94569" w:rsidRPr="00C63860">
        <w:rPr>
          <w:rFonts w:cstheme="minorHAnsi"/>
        </w:rPr>
        <w:t>Sensitivity Analysis 2 (</w:t>
      </w:r>
      <w:r w:rsidRPr="00C63860">
        <w:rPr>
          <w:rFonts w:cstheme="minorHAnsi"/>
        </w:rPr>
        <w:t>SA2</w:t>
      </w:r>
      <w:r w:rsidR="00A94569" w:rsidRPr="00C63860">
        <w:rPr>
          <w:rFonts w:cstheme="minorHAnsi"/>
        </w:rPr>
        <w:t>)</w:t>
      </w:r>
      <w:r w:rsidRPr="00C63860">
        <w:rPr>
          <w:rFonts w:cstheme="minorHAnsi"/>
        </w:rPr>
        <w:t xml:space="preserve"> and </w:t>
      </w:r>
      <w:r w:rsidR="00A94569" w:rsidRPr="00C63860">
        <w:rPr>
          <w:rFonts w:cstheme="minorHAnsi"/>
        </w:rPr>
        <w:t>Sensitivity Analysis 3 (SA3)</w:t>
      </w:r>
      <w:r w:rsidRPr="00C63860">
        <w:rPr>
          <w:rFonts w:cstheme="minorHAnsi"/>
        </w:rPr>
        <w:t>).</w:t>
      </w:r>
    </w:p>
    <w:p w14:paraId="5BC49226" w14:textId="3A6B5CE4" w:rsidR="00C63860" w:rsidRPr="00C63860" w:rsidRDefault="00470AE4" w:rsidP="00F23137">
      <w:pPr>
        <w:spacing w:before="240" w:after="240" w:line="276" w:lineRule="auto"/>
        <w:rPr>
          <w:rFonts w:cstheme="minorHAnsi"/>
        </w:rPr>
      </w:pPr>
      <w:r w:rsidRPr="00C63860">
        <w:rPr>
          <w:rFonts w:cstheme="minorHAnsi"/>
        </w:rPr>
        <w:t>Third, we considered an alternative approach to QALY calculation that assumed a gradual increase in HRQoL following emergency (re)admission by applying a linear interpolation to the HRQoL estimates between the baseline and one year follow-up (</w:t>
      </w:r>
      <w:r w:rsidR="00A94569" w:rsidRPr="00C63860">
        <w:rPr>
          <w:rFonts w:cstheme="minorHAnsi"/>
        </w:rPr>
        <w:t>Sensitivity Analysis 4 (</w:t>
      </w:r>
      <w:r w:rsidRPr="00C63860">
        <w:rPr>
          <w:rFonts w:cstheme="minorHAnsi"/>
        </w:rPr>
        <w:t>SA4</w:t>
      </w:r>
      <w:r w:rsidR="00A94569" w:rsidRPr="00C63860">
        <w:rPr>
          <w:rFonts w:cstheme="minorHAnsi"/>
        </w:rPr>
        <w:t>)</w:t>
      </w:r>
      <w:r w:rsidRPr="00C63860">
        <w:rPr>
          <w:rFonts w:cstheme="minorHAnsi"/>
        </w:rPr>
        <w:t xml:space="preserve">, see </w:t>
      </w:r>
      <w:r w:rsidR="001C01D8" w:rsidRPr="00C63860">
        <w:rPr>
          <w:rFonts w:cstheme="minorHAnsi"/>
        </w:rPr>
        <w:t xml:space="preserve">Appendix 4, </w:t>
      </w:r>
      <w:r w:rsidR="00C63860" w:rsidRPr="00C63860">
        <w:rPr>
          <w:rFonts w:cstheme="minorHAnsi"/>
          <w:i/>
          <w:color w:val="FF0000"/>
        </w:rPr>
        <w:t>Figure 30</w:t>
      </w:r>
      <w:r w:rsidR="001C01D8" w:rsidRPr="00C63860">
        <w:rPr>
          <w:rFonts w:cstheme="minorHAnsi"/>
        </w:rPr>
        <w:t>)</w:t>
      </w:r>
      <w:r w:rsidRPr="00C63860">
        <w:rPr>
          <w:rFonts w:cstheme="minorHAnsi"/>
        </w:rPr>
        <w:t xml:space="preserve">. </w:t>
      </w:r>
      <w:r w:rsidRPr="00C63860">
        <w:rPr>
          <w:rFonts w:cstheme="minorHAnsi"/>
          <w:highlight w:val="magenta"/>
        </w:rPr>
        <w:t>Fourth</w:t>
      </w:r>
      <w:r w:rsidRPr="00C63860">
        <w:rPr>
          <w:rFonts w:cstheme="minorHAnsi"/>
        </w:rPr>
        <w:t>, to consider whether there were important differences between the comparison groups after one year, we repeated the base case analysis, but with a longer time horizon of five years. We conducted this five-year analysis by restricting the sample to those patients who were admitted 2010</w:t>
      </w:r>
      <w:r w:rsidR="00C63860" w:rsidRPr="00C63860">
        <w:rPr>
          <w:rFonts w:cstheme="minorHAnsi"/>
          <w:color w:val="00B0F0"/>
        </w:rPr>
        <w:t>–2</w:t>
      </w:r>
      <w:r w:rsidRPr="00C63860">
        <w:rPr>
          <w:rFonts w:cstheme="minorHAnsi"/>
        </w:rPr>
        <w:t xml:space="preserve">014, which reduced the sample size for each cohort, but avoided making the additional assumptions </w:t>
      </w:r>
      <w:r w:rsidRPr="00C63860">
        <w:rPr>
          <w:rFonts w:cstheme="minorHAnsi"/>
          <w:highlight w:val="magenta"/>
        </w:rPr>
        <w:t>implied</w:t>
      </w:r>
      <w:r w:rsidRPr="00C63860">
        <w:rPr>
          <w:rFonts w:cstheme="minorHAnsi"/>
        </w:rPr>
        <w:t xml:space="preserve"> by extrapolating for the periods beyond the observed </w:t>
      </w:r>
      <w:r w:rsidRPr="00C63860">
        <w:rPr>
          <w:rFonts w:cstheme="minorHAnsi"/>
          <w:highlight w:val="magenta"/>
        </w:rPr>
        <w:t>data</w:t>
      </w:r>
      <w:r w:rsidRPr="00C63860">
        <w:rPr>
          <w:rFonts w:cstheme="minorHAnsi"/>
        </w:rPr>
        <w:t xml:space="preserve"> (SA5). Fifth, to investigate the role of unmeasured confounding we also undertook conventional risk-adjustment (GLM regression) approaches, that followed the same approach to model specification and selection, to report overall estimates of INBs (SA6). For each of these sensitivity analyses, we reported estimates of the relative cost-effectiveness of ES versus NES strategies for each acute condition in </w:t>
      </w:r>
      <w:r w:rsidR="00C63860" w:rsidRPr="00C63860">
        <w:rPr>
          <w:rFonts w:cstheme="minorHAnsi"/>
          <w:i/>
          <w:color w:val="FF0000"/>
        </w:rPr>
        <w:t>Table 18</w:t>
      </w:r>
      <w:r w:rsidRPr="00C63860">
        <w:rPr>
          <w:rFonts w:cstheme="minorHAnsi"/>
        </w:rPr>
        <w:t>.</w:t>
      </w:r>
    </w:p>
    <w:p w14:paraId="389AE6C7" w14:textId="404CC23E" w:rsidR="00470AE4" w:rsidRPr="00C63860" w:rsidRDefault="00470AE4" w:rsidP="00BC4F71">
      <w:pPr>
        <w:spacing w:before="240" w:after="100" w:afterAutospacing="1" w:line="276" w:lineRule="auto"/>
        <w:rPr>
          <w:b/>
          <w:bCs/>
          <w:sz w:val="28"/>
          <w:szCs w:val="28"/>
        </w:rPr>
      </w:pPr>
      <w:bookmarkStart w:id="79" w:name="_Hlk84587232"/>
      <w:r w:rsidRPr="00C63860">
        <w:rPr>
          <w:b/>
          <w:bCs/>
          <w:sz w:val="28"/>
          <w:szCs w:val="28"/>
        </w:rPr>
        <w:t>4.3 Results</w:t>
      </w:r>
    </w:p>
    <w:p w14:paraId="29943531" w14:textId="77777777" w:rsidR="00470AE4" w:rsidRPr="00C63860" w:rsidRDefault="00470AE4" w:rsidP="00BC4F71">
      <w:pPr>
        <w:spacing w:before="240" w:line="276" w:lineRule="auto"/>
        <w:rPr>
          <w:b/>
          <w:bCs/>
          <w:sz w:val="24"/>
          <w:szCs w:val="24"/>
        </w:rPr>
      </w:pPr>
      <w:r w:rsidRPr="00C63860">
        <w:rPr>
          <w:b/>
          <w:bCs/>
          <w:sz w:val="24"/>
          <w:szCs w:val="24"/>
        </w:rPr>
        <w:t>4.3.1. Unadjusted resource use and costs</w:t>
      </w:r>
    </w:p>
    <w:p w14:paraId="35C95006" w14:textId="455C8351" w:rsidR="00470AE4" w:rsidRPr="00C63860" w:rsidRDefault="00C63860" w:rsidP="00BC4F71">
      <w:pPr>
        <w:spacing w:before="240" w:after="100" w:afterAutospacing="1" w:line="276" w:lineRule="auto"/>
        <w:rPr>
          <w:rFonts w:cstheme="minorHAnsi"/>
        </w:rPr>
      </w:pPr>
      <w:r w:rsidRPr="00C63860">
        <w:rPr>
          <w:rFonts w:cstheme="minorHAnsi"/>
          <w:i/>
          <w:color w:val="FF0000"/>
        </w:rPr>
        <w:t>Tables 12–15</w:t>
      </w:r>
      <w:r w:rsidR="00470AE4" w:rsidRPr="00C63860">
        <w:rPr>
          <w:rFonts w:cstheme="minorHAnsi"/>
        </w:rPr>
        <w:t xml:space="preserve"> describe differences in resource use and costs for the ES and NES groups prior to any adjustment for confounding. </w:t>
      </w:r>
      <w:r w:rsidRPr="00C63860">
        <w:rPr>
          <w:rFonts w:cstheme="minorHAnsi"/>
          <w:i/>
          <w:color w:val="FF0000"/>
        </w:rPr>
        <w:t>Table 12</w:t>
      </w:r>
      <w:r w:rsidR="00470AE4" w:rsidRPr="00C63860">
        <w:rPr>
          <w:rFonts w:cstheme="minorHAnsi"/>
        </w:rPr>
        <w:t xml:space="preserve"> reports the unadjusted resource use for the index admissions and readmissions up to one year. The readmission rates were generally higher for the NES versus ES strategy group across all the conditions. The mean numbers of days in hospital at one year were broadly similar across the comparison groups for appendicitis, cholelithiasis and hernia, and were higher in the ES versus NES strategy group for diverticular disease and intestinal obstruction.</w:t>
      </w:r>
    </w:p>
    <w:p w14:paraId="070FCB01" w14:textId="447702A9" w:rsidR="00470AE4" w:rsidRPr="00C63860" w:rsidRDefault="00470AE4" w:rsidP="00BC4F71">
      <w:pPr>
        <w:spacing w:before="240" w:after="100" w:afterAutospacing="1" w:line="276" w:lineRule="auto"/>
        <w:rPr>
          <w:rFonts w:cstheme="minorHAnsi"/>
        </w:rPr>
      </w:pPr>
      <w:r w:rsidRPr="00C63860">
        <w:rPr>
          <w:rFonts w:cstheme="minorHAnsi"/>
        </w:rPr>
        <w:t>For appendicitis, cholelithiasis and hernia, the mean LOS in the index admission were similar across the comparison groups. For diverticular disease and intestinal obstruction, the mean LOS was longer for the ES group. For patients with appendicitis, 53% of those in the NES group had a hospital readmission within a year of the index admission, and 16% had a common operative procedure (</w:t>
      </w:r>
      <w:r w:rsidR="00C63860" w:rsidRPr="00C63860">
        <w:rPr>
          <w:rFonts w:cstheme="minorHAnsi"/>
          <w:i/>
          <w:color w:val="FF0000"/>
        </w:rPr>
        <w:t>Table 12</w:t>
      </w:r>
      <w:r w:rsidRPr="00C63860">
        <w:rPr>
          <w:rFonts w:cstheme="minorHAnsi"/>
        </w:rPr>
        <w:t>). For patients with cholelithiasis, the majority of the NES group (80%), had a readmission, including those who had a later common operative procedure (60%), whereas the corresponding proportion of patients in the ES group who had readmissions (45%) or subsequent operative procedures (14%) were lower. The majority of patients with diverticular disease and intestinal obstruction in the NES group did not receive common operative procedures in the index admission or readmissions. For patients with hernia, the proportion of patients who had a readmission in the NES group, was approximately twice that in the ES group (73.8% versus 38.9%).</w:t>
      </w:r>
    </w:p>
    <w:p w14:paraId="03EB8A28" w14:textId="587E45D2" w:rsidR="00470AE4" w:rsidRPr="00C63860" w:rsidRDefault="00470AE4" w:rsidP="00BC4F71">
      <w:pPr>
        <w:spacing w:before="240" w:after="100" w:afterAutospacing="1" w:line="276" w:lineRule="auto"/>
        <w:rPr>
          <w:rFonts w:cstheme="minorHAnsi"/>
        </w:rPr>
      </w:pPr>
      <w:r w:rsidRPr="00C63860">
        <w:rPr>
          <w:rFonts w:cstheme="minorHAnsi"/>
        </w:rPr>
        <w:t xml:space="preserve">The most common operative procedures for each condition during and after the ES window are shown in </w:t>
      </w:r>
      <w:r w:rsidR="00C63860" w:rsidRPr="00C63860">
        <w:rPr>
          <w:rFonts w:cstheme="minorHAnsi"/>
          <w:i/>
          <w:color w:val="FF0000"/>
        </w:rPr>
        <w:t>Tables 13</w:t>
      </w:r>
      <w:r w:rsidRPr="00C63860">
        <w:rPr>
          <w:rFonts w:cstheme="minorHAnsi"/>
        </w:rPr>
        <w:t xml:space="preserve"> and 14. For patients with appendicitis, cholelithiasis and hernia, the most common procedure within the ES window was received by more than 50% of the patients in the ES group (Panel A). For the NES group, the rates of later surgery were high for cholelithiasis (58.0%) and hernia (49.3%), and lower for appendicitis (18.2%), intestinal obstruction (13.2%) and diverticular disease (12.3%) (Panel B). For appendicitis, most patients who had delayed surgery had append</w:t>
      </w:r>
      <w:r w:rsidR="00EA0A39" w:rsidRPr="00C63860">
        <w:rPr>
          <w:rFonts w:cstheme="minorHAnsi"/>
        </w:rPr>
        <w:t>ic</w:t>
      </w:r>
      <w:r w:rsidRPr="00C63860">
        <w:rPr>
          <w:rFonts w:cstheme="minorHAnsi"/>
        </w:rPr>
        <w:t xml:space="preserve">ectomies, for cholelithiasis, more than 50% of patients in the NES group, had a total or partial cholecystectomy, and for hernia, </w:t>
      </w:r>
      <w:r w:rsidR="006E273D" w:rsidRPr="00C63860">
        <w:rPr>
          <w:rFonts w:cstheme="minorHAnsi"/>
        </w:rPr>
        <w:t xml:space="preserve">the </w:t>
      </w:r>
      <w:r w:rsidRPr="00C63860">
        <w:rPr>
          <w:rFonts w:cstheme="minorHAnsi"/>
        </w:rPr>
        <w:t xml:space="preserve">most </w:t>
      </w:r>
      <w:r w:rsidR="006E273D" w:rsidRPr="00C63860">
        <w:rPr>
          <w:rFonts w:cstheme="minorHAnsi"/>
        </w:rPr>
        <w:t xml:space="preserve">common </w:t>
      </w:r>
      <w:r w:rsidRPr="00C63860">
        <w:rPr>
          <w:rFonts w:cstheme="minorHAnsi"/>
        </w:rPr>
        <w:t>delayed surgery was hernia repair.</w:t>
      </w:r>
    </w:p>
    <w:p w14:paraId="4DAD20B7" w14:textId="400DFC05" w:rsidR="00C63860" w:rsidRPr="00C63860" w:rsidRDefault="00C63860" w:rsidP="00BC4F71">
      <w:pPr>
        <w:spacing w:before="240" w:after="100" w:afterAutospacing="1" w:line="276" w:lineRule="auto"/>
        <w:rPr>
          <w:rFonts w:cstheme="minorHAnsi"/>
        </w:rPr>
      </w:pPr>
      <w:r w:rsidRPr="00C63860">
        <w:rPr>
          <w:rFonts w:cstheme="minorHAnsi"/>
          <w:i/>
          <w:color w:val="FF0000"/>
        </w:rPr>
        <w:t>Table 15</w:t>
      </w:r>
      <w:r w:rsidR="00470AE4" w:rsidRPr="00C63860">
        <w:rPr>
          <w:rFonts w:cstheme="minorHAnsi"/>
        </w:rPr>
        <w:t xml:space="preserve"> presents the unadjusted costs of ES and NES at one year. For patients with diverticular disease, the mean total costs for the ES group at one year were higher than for the NES strategy (£16,498 vs £4,673), reflecting the higher initial admission costs, including operative costs, but also higher readmission costs. For intestinal obstruction, the costs in the ES group were substantially higher than in the NES group (£12,324 vs £7,791), despite the higher readmission costs observed in the NES strategy group. For the other three conditions the average one-year costs of ES versus NES were similar, with the higher operative costs of ES, offset by higher readmission costs for the NES strategy.</w:t>
      </w:r>
    </w:p>
    <w:p w14:paraId="05E44315" w14:textId="1F279C8A" w:rsidR="00C63860" w:rsidRPr="00C63860" w:rsidRDefault="00470AE4" w:rsidP="00BC4F71">
      <w:pPr>
        <w:spacing w:before="240" w:line="276" w:lineRule="auto"/>
        <w:rPr>
          <w:b/>
          <w:bCs/>
          <w:sz w:val="24"/>
          <w:szCs w:val="24"/>
        </w:rPr>
      </w:pPr>
      <w:r w:rsidRPr="00C63860">
        <w:rPr>
          <w:b/>
          <w:bCs/>
          <w:sz w:val="24"/>
          <w:szCs w:val="24"/>
        </w:rPr>
        <w:t>4.3.2. Estimates of resource use, costs, LYs QALYs and INBs, after adjustment for confounding</w:t>
      </w:r>
    </w:p>
    <w:p w14:paraId="6EDD54C7" w14:textId="74E03488" w:rsidR="00C63860" w:rsidRPr="00C63860" w:rsidRDefault="00470AE4" w:rsidP="00BC4F71">
      <w:pPr>
        <w:spacing w:before="240" w:after="240" w:line="276" w:lineRule="auto"/>
        <w:rPr>
          <w:rFonts w:cstheme="minorHAnsi"/>
        </w:rPr>
      </w:pPr>
      <w:r w:rsidRPr="00C63860">
        <w:rPr>
          <w:rFonts w:cstheme="minorHAnsi"/>
        </w:rPr>
        <w:t xml:space="preserve">The results of the analysis following adjustment with the LIV approach are shown in </w:t>
      </w:r>
      <w:r w:rsidR="00C63860" w:rsidRPr="00C63860">
        <w:rPr>
          <w:rFonts w:cstheme="minorHAnsi"/>
          <w:i/>
          <w:color w:val="FF0000"/>
        </w:rPr>
        <w:t>Table 16</w:t>
      </w:r>
      <w:r w:rsidRPr="00C63860">
        <w:rPr>
          <w:rFonts w:cstheme="minorHAnsi"/>
        </w:rPr>
        <w:t xml:space="preserve"> and </w:t>
      </w:r>
      <w:r w:rsidR="00C63860" w:rsidRPr="00C63860">
        <w:rPr>
          <w:rFonts w:cstheme="minorHAnsi"/>
          <w:i/>
          <w:color w:val="FF0000"/>
        </w:rPr>
        <w:t>Table 17</w:t>
      </w:r>
      <w:r w:rsidRPr="00C63860">
        <w:rPr>
          <w:rFonts w:cstheme="minorHAnsi"/>
        </w:rPr>
        <w:t>. Following adjustment for confounding between the comparison groups, the mean differences in the LOS within the index admission (all conditions), and in the proportion of readmissions (appendicitis and cholelithiasis) was reduced. For appendicitis, cholelithiasis, diverticular disease and hernia the difference between ES and NES in average hospital days at one year was small, following adjustment. For patients with intestinal obstruction, the ES group had a reduction in the number of hospital days at one year of 7 days versus the NES group, after adjustment.</w:t>
      </w:r>
    </w:p>
    <w:p w14:paraId="709A1ADA" w14:textId="7965C203" w:rsidR="00C63860" w:rsidRPr="00C63860" w:rsidRDefault="00C63860" w:rsidP="00BC4F71">
      <w:pPr>
        <w:spacing w:before="240" w:after="240" w:line="276" w:lineRule="auto"/>
        <w:rPr>
          <w:rFonts w:cstheme="minorHAnsi"/>
        </w:rPr>
      </w:pPr>
      <w:r w:rsidRPr="00C63860">
        <w:rPr>
          <w:rFonts w:cstheme="minorHAnsi"/>
          <w:i/>
          <w:color w:val="FF0000"/>
        </w:rPr>
        <w:t>Table 17</w:t>
      </w:r>
      <w:r w:rsidR="00470AE4" w:rsidRPr="00C63860">
        <w:rPr>
          <w:rFonts w:cstheme="minorHAnsi"/>
        </w:rPr>
        <w:t xml:space="preserve"> presents the results of the LIV models for incremental costs, LYs, QALYs and INBs of ES versus NES. For each of the five conditions, the 95% CIs around the INB estimates included zero, which suggested that </w:t>
      </w:r>
      <w:r w:rsidR="00EA0A39" w:rsidRPr="00C63860">
        <w:rPr>
          <w:rFonts w:cstheme="minorHAnsi"/>
        </w:rPr>
        <w:t xml:space="preserve">overall, </w:t>
      </w:r>
      <w:r w:rsidR="00470AE4" w:rsidRPr="00C63860">
        <w:rPr>
          <w:rFonts w:cstheme="minorHAnsi"/>
        </w:rPr>
        <w:t>neither ES nor the NES strategies could be judged relatively cost-effective, given the uncertainty. For patients with appendicitis, cholelithiasis and hernia, the mean INBs were all close to zero. For patients with diverticular disease and intestinal obstruction, the INBs were £2,664 and £728 respectively, but with wide 95% CIs surrounding these point estimates. For appendicitis and cholelithiasis, the choice of ES versus NES strategies resulted in small overall differences in, mean costs (-£109 and -£76.8, respectively), LYs (</w:t>
      </w:r>
      <w:r w:rsidRPr="00C63860">
        <w:rPr>
          <w:rFonts w:cstheme="minorHAnsi"/>
          <w:color w:val="00B0F0"/>
        </w:rPr>
        <w:t>–0</w:t>
      </w:r>
      <w:r w:rsidR="00470AE4" w:rsidRPr="00C63860">
        <w:rPr>
          <w:rFonts w:cstheme="minorHAnsi"/>
        </w:rPr>
        <w:t xml:space="preserve">.00334 and </w:t>
      </w:r>
      <w:r w:rsidRPr="00C63860">
        <w:rPr>
          <w:rFonts w:cstheme="minorHAnsi"/>
          <w:color w:val="00B0F0"/>
        </w:rPr>
        <w:t>–0</w:t>
      </w:r>
      <w:r w:rsidR="00470AE4" w:rsidRPr="00C63860">
        <w:rPr>
          <w:rFonts w:cstheme="minorHAnsi"/>
        </w:rPr>
        <w:t>.00862) and QALYs (</w:t>
      </w:r>
      <w:r w:rsidRPr="00C63860">
        <w:rPr>
          <w:rFonts w:cstheme="minorHAnsi"/>
          <w:color w:val="00B0F0"/>
        </w:rPr>
        <w:t>–0</w:t>
      </w:r>
      <w:r w:rsidR="00470AE4" w:rsidRPr="00C63860">
        <w:rPr>
          <w:rFonts w:cstheme="minorHAnsi"/>
        </w:rPr>
        <w:t>.00973 and 0.00720). For hernia, the ES strategy had higher mean costs (£891), LYs (0.0461) and QALYs (0.0386) than the NES strategies. The positive INBs following ES for diverticular disease and intestinal obstruction, were driven by mean cost reductions (-£1,724 and -£2,328), and, in the case of diverticular disease, also average QALY gains (0.0471) for the ES group; however, the uncertainty around each of these adjusted estimates was high.</w:t>
      </w:r>
    </w:p>
    <w:p w14:paraId="56D83D48" w14:textId="77777777" w:rsidR="00C63860" w:rsidRPr="00C63860" w:rsidRDefault="00470AE4" w:rsidP="00BC4F71">
      <w:pPr>
        <w:spacing w:before="240" w:after="100" w:afterAutospacing="1" w:line="276" w:lineRule="auto"/>
        <w:jc w:val="both"/>
        <w:rPr>
          <w:b/>
          <w:bCs/>
        </w:rPr>
      </w:pPr>
      <w:r w:rsidRPr="00C63860">
        <w:rPr>
          <w:rFonts w:cstheme="minorHAnsi"/>
          <w:b/>
          <w:bCs/>
        </w:rPr>
        <w:t>4.3.3. Subgroup results for the CEA</w:t>
      </w:r>
    </w:p>
    <w:p w14:paraId="4C114CB7" w14:textId="546225C7" w:rsidR="00C63860" w:rsidRPr="00C63860" w:rsidRDefault="00C63860" w:rsidP="00EA0A39">
      <w:pPr>
        <w:spacing w:after="160" w:line="276" w:lineRule="auto"/>
        <w:contextualSpacing/>
        <w:rPr>
          <w:rFonts w:cstheme="minorHAnsi"/>
          <w:iCs/>
        </w:rPr>
      </w:pPr>
      <w:r w:rsidRPr="00C63860">
        <w:rPr>
          <w:rFonts w:cstheme="minorHAnsi"/>
          <w:i/>
          <w:iCs/>
          <w:color w:val="FF0000"/>
        </w:rPr>
        <w:t>Figures 18</w:t>
      </w:r>
      <w:r w:rsidR="00470AE4" w:rsidRPr="00C63860">
        <w:rPr>
          <w:rFonts w:cstheme="minorHAnsi"/>
          <w:iCs/>
        </w:rPr>
        <w:t xml:space="preserve"> reported underlying heterogeneity in the INB estimates according to subgroup. Three results are worth emphasising (summarised in </w:t>
      </w:r>
      <w:r w:rsidRPr="00C63860">
        <w:rPr>
          <w:rFonts w:cstheme="minorHAnsi"/>
          <w:i/>
          <w:iCs/>
          <w:color w:val="FF0000"/>
        </w:rPr>
        <w:t>Table 20</w:t>
      </w:r>
      <w:r w:rsidR="00470AE4" w:rsidRPr="00C63860">
        <w:rPr>
          <w:rFonts w:cstheme="minorHAnsi"/>
          <w:iCs/>
        </w:rPr>
        <w:t xml:space="preserve">). First, the relationship between age-group and the mean INB estimates differed by condition. While ES was more cost-effective for younger patients with cholelithiasis, </w:t>
      </w:r>
      <w:r w:rsidR="008A44AD" w:rsidRPr="00C63860">
        <w:rPr>
          <w:rFonts w:cstheme="minorHAnsi"/>
          <w:iCs/>
        </w:rPr>
        <w:t xml:space="preserve">and </w:t>
      </w:r>
      <w:r w:rsidR="00470AE4" w:rsidRPr="00C63860">
        <w:rPr>
          <w:rFonts w:cstheme="minorHAnsi"/>
          <w:iCs/>
        </w:rPr>
        <w:t xml:space="preserve">hernia, for patients with diverticular disease the estimated INBs were higher for patients aged </w:t>
      </w:r>
      <w:r w:rsidR="00EA0A39" w:rsidRPr="00C63860">
        <w:rPr>
          <w:rFonts w:cstheme="minorHAnsi"/>
          <w:iCs/>
        </w:rPr>
        <w:t>55 years old and over.</w:t>
      </w:r>
      <w:r w:rsidR="00470AE4" w:rsidRPr="00C63860">
        <w:rPr>
          <w:rFonts w:cstheme="minorHAnsi"/>
          <w:iCs/>
        </w:rPr>
        <w:t xml:space="preserve"> </w:t>
      </w:r>
      <w:r w:rsidR="008A44AD" w:rsidRPr="00C63860">
        <w:rPr>
          <w:rFonts w:cstheme="minorHAnsi"/>
          <w:iCs/>
        </w:rPr>
        <w:t>For patients with acute appendicitis and intestinal obstruction, there is not a clear pattern in the INB estimates across age groups.</w:t>
      </w:r>
      <w:r w:rsidRPr="00C63860">
        <w:rPr>
          <w:rFonts w:cstheme="minorHAnsi"/>
          <w:iCs/>
        </w:rPr>
        <w:t xml:space="preserve"> </w:t>
      </w:r>
      <w:r w:rsidR="00470AE4" w:rsidRPr="00C63860">
        <w:rPr>
          <w:rFonts w:cstheme="minorHAnsi"/>
          <w:iCs/>
        </w:rPr>
        <w:t xml:space="preserve">Second, the relative cost-effectiveness of ES versus NES strategy differed according to the number of comorbidities. For example, </w:t>
      </w:r>
      <w:r w:rsidR="00EA0A39" w:rsidRPr="00C63860">
        <w:rPr>
          <w:rFonts w:cstheme="minorHAnsi"/>
          <w:iCs/>
        </w:rPr>
        <w:t xml:space="preserve">on average </w:t>
      </w:r>
      <w:r w:rsidR="00470AE4" w:rsidRPr="00C63860">
        <w:rPr>
          <w:rFonts w:cstheme="minorHAnsi"/>
          <w:iCs/>
        </w:rPr>
        <w:t xml:space="preserve">ES was the more cost-effective strategy for diverticular disease </w:t>
      </w:r>
      <w:r w:rsidR="00EA0A39" w:rsidRPr="00C63860">
        <w:rPr>
          <w:rFonts w:cstheme="minorHAnsi"/>
          <w:iCs/>
        </w:rPr>
        <w:t xml:space="preserve">and intestinal obstruction </w:t>
      </w:r>
      <w:r w:rsidR="00470AE4" w:rsidRPr="00C63860">
        <w:rPr>
          <w:rFonts w:cstheme="minorHAnsi"/>
          <w:iCs/>
        </w:rPr>
        <w:t xml:space="preserve">patients with </w:t>
      </w:r>
      <w:r w:rsidR="00EA0A39" w:rsidRPr="00C63860">
        <w:rPr>
          <w:rFonts w:cstheme="minorHAnsi"/>
          <w:iCs/>
        </w:rPr>
        <w:t>two</w:t>
      </w:r>
      <w:r w:rsidR="00470AE4" w:rsidRPr="00C63860">
        <w:rPr>
          <w:rFonts w:cstheme="minorHAnsi"/>
          <w:iCs/>
        </w:rPr>
        <w:t xml:space="preserve"> or more comorbidities, whereas for patients with appendicitis</w:t>
      </w:r>
      <w:r w:rsidR="00EA0A39" w:rsidRPr="00C63860">
        <w:rPr>
          <w:rFonts w:cstheme="minorHAnsi"/>
          <w:iCs/>
        </w:rPr>
        <w:t>, cholelithiasis</w:t>
      </w:r>
      <w:r w:rsidR="00470AE4" w:rsidRPr="00C63860">
        <w:rPr>
          <w:rFonts w:cstheme="minorHAnsi"/>
          <w:iCs/>
        </w:rPr>
        <w:t xml:space="preserve"> and hernia, NES was </w:t>
      </w:r>
      <w:r w:rsidR="00EA0A39" w:rsidRPr="00C63860">
        <w:rPr>
          <w:rFonts w:cstheme="minorHAnsi"/>
          <w:iCs/>
        </w:rPr>
        <w:t xml:space="preserve">on average </w:t>
      </w:r>
      <w:r w:rsidR="00470AE4" w:rsidRPr="00C63860">
        <w:rPr>
          <w:rFonts w:cstheme="minorHAnsi"/>
          <w:iCs/>
        </w:rPr>
        <w:t xml:space="preserve">the more cost-effective strategy </w:t>
      </w:r>
      <w:r w:rsidRPr="00C63860">
        <w:rPr>
          <w:rFonts w:cstheme="minorHAnsi"/>
          <w:iCs/>
          <w:color w:val="00B0F0"/>
        </w:rPr>
        <w:t>among</w:t>
      </w:r>
      <w:r w:rsidR="00470AE4" w:rsidRPr="00C63860">
        <w:rPr>
          <w:rFonts w:cstheme="minorHAnsi"/>
          <w:iCs/>
        </w:rPr>
        <w:t xml:space="preserve"> patients with two or more comorbidities</w:t>
      </w:r>
      <w:r w:rsidR="00EA0A39" w:rsidRPr="00C63860">
        <w:rPr>
          <w:rFonts w:cstheme="minorHAnsi"/>
          <w:iCs/>
        </w:rPr>
        <w:t xml:space="preserve">. The CIs for the INBs for both these sets of estimates included zero. </w:t>
      </w:r>
      <w:r w:rsidR="00470AE4" w:rsidRPr="00C63860">
        <w:rPr>
          <w:rFonts w:cstheme="minorHAnsi"/>
          <w:iCs/>
        </w:rPr>
        <w:t xml:space="preserve">Third, ES cost-effectiveness differed by frailty subgroups. For appendicitis, cholelithiasis, hernia and intestinal obstruction there was strong evidence that NES strategies were cost-effective </w:t>
      </w:r>
      <w:r w:rsidRPr="00C63860">
        <w:rPr>
          <w:rFonts w:cstheme="minorHAnsi"/>
          <w:iCs/>
          <w:color w:val="00B0F0"/>
        </w:rPr>
        <w:t>among</w:t>
      </w:r>
      <w:r w:rsidR="00470AE4" w:rsidRPr="00C63860">
        <w:rPr>
          <w:rFonts w:cstheme="minorHAnsi"/>
          <w:iCs/>
        </w:rPr>
        <w:t xml:space="preserve"> patients with severe frailty; the </w:t>
      </w:r>
      <w:r w:rsidR="00470AE4" w:rsidRPr="00C63860">
        <w:rPr>
          <w:rFonts w:cstheme="minorHAnsi"/>
          <w:iCs/>
          <w:highlight w:val="magenta"/>
        </w:rPr>
        <w:t>respective</w:t>
      </w:r>
      <w:r w:rsidR="00470AE4" w:rsidRPr="00C63860">
        <w:rPr>
          <w:rFonts w:cstheme="minorHAnsi"/>
          <w:iCs/>
        </w:rPr>
        <w:t xml:space="preserve"> mean (95% CI) INBs for these subgroups were </w:t>
      </w:r>
      <w:r w:rsidR="00693D6F" w:rsidRPr="00C63860">
        <w:t>-</w:t>
      </w:r>
      <w:r w:rsidR="00C56BF6" w:rsidRPr="00C63860">
        <w:rPr>
          <w:rFonts w:cstheme="minorHAnsi"/>
        </w:rPr>
        <w:t>£</w:t>
      </w:r>
      <w:r w:rsidR="00693D6F" w:rsidRPr="00C63860">
        <w:t>18,700 (-</w:t>
      </w:r>
      <w:r w:rsidR="00C56BF6" w:rsidRPr="00C63860">
        <w:rPr>
          <w:rFonts w:cstheme="minorHAnsi"/>
        </w:rPr>
        <w:t>£</w:t>
      </w:r>
      <w:r w:rsidR="00693D6F" w:rsidRPr="00C63860">
        <w:t>23,900, -</w:t>
      </w:r>
      <w:r w:rsidR="00C56BF6" w:rsidRPr="00C63860">
        <w:rPr>
          <w:rFonts w:cstheme="minorHAnsi"/>
        </w:rPr>
        <w:t>£</w:t>
      </w:r>
      <w:r w:rsidR="00693D6F" w:rsidRPr="00C63860">
        <w:t>13,600)</w:t>
      </w:r>
      <w:r w:rsidR="00470AE4" w:rsidRPr="00C63860">
        <w:rPr>
          <w:rFonts w:cstheme="minorHAnsi"/>
          <w:iCs/>
        </w:rPr>
        <w:t>,</w:t>
      </w:r>
      <w:r w:rsidR="00E86B85" w:rsidRPr="00C63860">
        <w:rPr>
          <w:rFonts w:cstheme="minorHAnsi"/>
          <w:iCs/>
        </w:rPr>
        <w:t xml:space="preserve"> </w:t>
      </w:r>
      <w:r w:rsidR="00693D6F" w:rsidRPr="00C63860">
        <w:t>-</w:t>
      </w:r>
      <w:r w:rsidR="00C56BF6" w:rsidRPr="00C63860">
        <w:rPr>
          <w:rFonts w:cstheme="minorHAnsi"/>
        </w:rPr>
        <w:t>£</w:t>
      </w:r>
      <w:r w:rsidR="00693D6F" w:rsidRPr="00C63860">
        <w:t>7,700 (-</w:t>
      </w:r>
      <w:r w:rsidR="00C56BF6" w:rsidRPr="00C63860">
        <w:rPr>
          <w:rFonts w:cstheme="minorHAnsi"/>
        </w:rPr>
        <w:t>£</w:t>
      </w:r>
      <w:r w:rsidR="00693D6F" w:rsidRPr="00C63860">
        <w:t>13,000, -</w:t>
      </w:r>
      <w:r w:rsidR="00C56BF6" w:rsidRPr="00C63860">
        <w:rPr>
          <w:rFonts w:cstheme="minorHAnsi"/>
        </w:rPr>
        <w:t>£</w:t>
      </w:r>
      <w:r w:rsidR="00693D6F" w:rsidRPr="00C63860">
        <w:t>2,370)</w:t>
      </w:r>
      <w:r w:rsidR="00470AE4" w:rsidRPr="00C63860">
        <w:rPr>
          <w:rFonts w:cstheme="minorHAnsi"/>
          <w:iCs/>
        </w:rPr>
        <w:t xml:space="preserve">, </w:t>
      </w:r>
      <w:r w:rsidR="00E86B85" w:rsidRPr="00C63860">
        <w:t>-</w:t>
      </w:r>
      <w:r w:rsidR="00C56BF6" w:rsidRPr="00C63860">
        <w:rPr>
          <w:rFonts w:cstheme="minorHAnsi"/>
        </w:rPr>
        <w:t>£</w:t>
      </w:r>
      <w:r w:rsidR="00E86B85" w:rsidRPr="00C63860">
        <w:t>16,600 (-</w:t>
      </w:r>
      <w:r w:rsidR="00C56BF6" w:rsidRPr="00C63860">
        <w:rPr>
          <w:rFonts w:cstheme="minorHAnsi"/>
        </w:rPr>
        <w:t>£</w:t>
      </w:r>
      <w:r w:rsidR="00E86B85" w:rsidRPr="00C63860">
        <w:t>21,100, -</w:t>
      </w:r>
      <w:r w:rsidR="00C56BF6" w:rsidRPr="00C63860">
        <w:rPr>
          <w:rFonts w:cstheme="minorHAnsi"/>
        </w:rPr>
        <w:t>£</w:t>
      </w:r>
      <w:r w:rsidR="00E86B85" w:rsidRPr="00C63860">
        <w:t>12,000)</w:t>
      </w:r>
      <w:r w:rsidR="00470AE4" w:rsidRPr="00C63860">
        <w:rPr>
          <w:rFonts w:cstheme="minorHAnsi"/>
          <w:iCs/>
        </w:rPr>
        <w:t xml:space="preserve">, and </w:t>
      </w:r>
      <w:r w:rsidR="003952E1" w:rsidRPr="00C63860">
        <w:t>-</w:t>
      </w:r>
      <w:r w:rsidR="00C56BF6" w:rsidRPr="00C63860">
        <w:rPr>
          <w:rFonts w:cstheme="minorHAnsi"/>
        </w:rPr>
        <w:t>£</w:t>
      </w:r>
      <w:r w:rsidR="003952E1" w:rsidRPr="00C63860">
        <w:t>19,300 (-</w:t>
      </w:r>
      <w:r w:rsidR="00C56BF6" w:rsidRPr="00C63860">
        <w:rPr>
          <w:rFonts w:cstheme="minorHAnsi"/>
        </w:rPr>
        <w:t>£</w:t>
      </w:r>
      <w:r w:rsidR="003952E1" w:rsidRPr="00C63860">
        <w:t>25,600, -</w:t>
      </w:r>
      <w:r w:rsidR="00C56BF6" w:rsidRPr="00C63860">
        <w:rPr>
          <w:rFonts w:cstheme="minorHAnsi"/>
        </w:rPr>
        <w:t>£</w:t>
      </w:r>
      <w:r w:rsidR="003952E1" w:rsidRPr="00C63860">
        <w:t>13,000)</w:t>
      </w:r>
      <w:r w:rsidR="005B1EA7" w:rsidRPr="00C63860">
        <w:rPr>
          <w:rFonts w:cstheme="minorHAnsi"/>
          <w:iCs/>
        </w:rPr>
        <w:t xml:space="preserve">. </w:t>
      </w:r>
      <w:r w:rsidR="00470AE4" w:rsidRPr="00C63860">
        <w:rPr>
          <w:rFonts w:cstheme="minorHAnsi"/>
          <w:iCs/>
        </w:rPr>
        <w:t xml:space="preserve">The results for diverticular disease suggested that NES strategies were also cost-effective for this subgroup, albeit with greater uncertainty around the point estimate </w:t>
      </w:r>
      <w:r w:rsidR="00C56BF6" w:rsidRPr="00C63860">
        <w:rPr>
          <w:rFonts w:cstheme="minorHAnsi"/>
          <w:iCs/>
        </w:rPr>
        <w:t>(</w:t>
      </w:r>
      <w:r w:rsidR="00C56BF6" w:rsidRPr="00C63860">
        <w:t>-</w:t>
      </w:r>
      <w:r w:rsidR="00C56BF6" w:rsidRPr="00C63860">
        <w:rPr>
          <w:rFonts w:cstheme="minorHAnsi"/>
        </w:rPr>
        <w:t>£</w:t>
      </w:r>
      <w:r w:rsidR="00C56BF6" w:rsidRPr="00C63860">
        <w:t>9,230; -</w:t>
      </w:r>
      <w:r w:rsidR="00C56BF6" w:rsidRPr="00C63860">
        <w:rPr>
          <w:rFonts w:cstheme="minorHAnsi"/>
        </w:rPr>
        <w:t>£</w:t>
      </w:r>
      <w:r w:rsidR="00C56BF6" w:rsidRPr="00C63860">
        <w:t xml:space="preserve">24,300, </w:t>
      </w:r>
      <w:r w:rsidR="00C56BF6" w:rsidRPr="00C63860">
        <w:rPr>
          <w:rFonts w:cstheme="minorHAnsi"/>
        </w:rPr>
        <w:t>£</w:t>
      </w:r>
      <w:r w:rsidR="00C56BF6" w:rsidRPr="00C63860">
        <w:t>5,860</w:t>
      </w:r>
      <w:r w:rsidR="00470AE4" w:rsidRPr="00C63860">
        <w:rPr>
          <w:rFonts w:cstheme="minorHAnsi"/>
          <w:iCs/>
        </w:rPr>
        <w:t xml:space="preserve">). NES strategies were more </w:t>
      </w:r>
      <w:r w:rsidRPr="00C63860">
        <w:rPr>
          <w:rFonts w:cstheme="minorHAnsi"/>
          <w:iCs/>
          <w:color w:val="00B0F0"/>
        </w:rPr>
        <w:t>cost-effective</w:t>
      </w:r>
      <w:r w:rsidR="00470AE4" w:rsidRPr="00C63860">
        <w:rPr>
          <w:rFonts w:cstheme="minorHAnsi"/>
          <w:iCs/>
        </w:rPr>
        <w:t xml:space="preserve"> than ES </w:t>
      </w:r>
      <w:r w:rsidRPr="00C63860">
        <w:rPr>
          <w:rFonts w:cstheme="minorHAnsi"/>
          <w:iCs/>
          <w:color w:val="00B0F0"/>
        </w:rPr>
        <w:t>among</w:t>
      </w:r>
      <w:r w:rsidR="00470AE4" w:rsidRPr="00C63860">
        <w:rPr>
          <w:rFonts w:cstheme="minorHAnsi"/>
          <w:iCs/>
        </w:rPr>
        <w:t xml:space="preserve"> patients with moderate frailty, with a mean INB estimate</w:t>
      </w:r>
      <w:r w:rsidR="000D3A22" w:rsidRPr="00C63860">
        <w:rPr>
          <w:rFonts w:cstheme="minorHAnsi"/>
          <w:iCs/>
        </w:rPr>
        <w:t xml:space="preserve"> for appendicitis</w:t>
      </w:r>
      <w:r w:rsidR="00470AE4" w:rsidRPr="00C63860">
        <w:rPr>
          <w:rFonts w:cstheme="minorHAnsi"/>
          <w:iCs/>
        </w:rPr>
        <w:t xml:space="preserve"> of -£5,750 (-£7,810, -£3,69</w:t>
      </w:r>
      <w:r w:rsidR="000D3A22" w:rsidRPr="00C63860">
        <w:rPr>
          <w:rFonts w:cstheme="minorHAnsi"/>
          <w:iCs/>
        </w:rPr>
        <w:t>0</w:t>
      </w:r>
      <w:r w:rsidR="00470AE4" w:rsidRPr="00C63860">
        <w:rPr>
          <w:rFonts w:cstheme="minorHAnsi"/>
          <w:iCs/>
        </w:rPr>
        <w:t>), hernia -£5,63</w:t>
      </w:r>
      <w:r w:rsidR="000D3A22" w:rsidRPr="00C63860">
        <w:rPr>
          <w:rFonts w:cstheme="minorHAnsi"/>
          <w:iCs/>
        </w:rPr>
        <w:t>0</w:t>
      </w:r>
      <w:r w:rsidR="00470AE4" w:rsidRPr="00C63860">
        <w:rPr>
          <w:rFonts w:cstheme="minorHAnsi"/>
          <w:iCs/>
        </w:rPr>
        <w:t xml:space="preserve"> (-£8,15</w:t>
      </w:r>
      <w:r w:rsidR="000D3A22" w:rsidRPr="00C63860">
        <w:rPr>
          <w:rFonts w:cstheme="minorHAnsi"/>
          <w:iCs/>
        </w:rPr>
        <w:t>0</w:t>
      </w:r>
      <w:r w:rsidR="00470AE4" w:rsidRPr="00C63860">
        <w:rPr>
          <w:rFonts w:cstheme="minorHAnsi"/>
          <w:iCs/>
        </w:rPr>
        <w:t>, £</w:t>
      </w:r>
      <w:r w:rsidRPr="00C63860">
        <w:rPr>
          <w:rFonts w:cstheme="minorHAnsi"/>
          <w:iCs/>
          <w:color w:val="00B0F0"/>
        </w:rPr>
        <w:t>–3</w:t>
      </w:r>
      <w:r w:rsidR="00470AE4" w:rsidRPr="00C63860">
        <w:rPr>
          <w:rFonts w:cstheme="minorHAnsi"/>
          <w:iCs/>
        </w:rPr>
        <w:t>,11</w:t>
      </w:r>
      <w:r w:rsidR="000D3A22" w:rsidRPr="00C63860">
        <w:rPr>
          <w:rFonts w:cstheme="minorHAnsi"/>
          <w:iCs/>
        </w:rPr>
        <w:t>0</w:t>
      </w:r>
      <w:r w:rsidR="00470AE4" w:rsidRPr="00C63860">
        <w:rPr>
          <w:rFonts w:cstheme="minorHAnsi"/>
          <w:iCs/>
        </w:rPr>
        <w:t>), and intestinal obstruction -£9,3</w:t>
      </w:r>
      <w:r w:rsidR="000D3A22" w:rsidRPr="00C63860">
        <w:rPr>
          <w:rFonts w:cstheme="minorHAnsi"/>
          <w:iCs/>
        </w:rPr>
        <w:t>20</w:t>
      </w:r>
      <w:r w:rsidR="00470AE4" w:rsidRPr="00C63860">
        <w:rPr>
          <w:rFonts w:cstheme="minorHAnsi"/>
          <w:iCs/>
        </w:rPr>
        <w:t xml:space="preserve"> (-£1</w:t>
      </w:r>
      <w:r w:rsidR="000D3A22" w:rsidRPr="00C63860">
        <w:rPr>
          <w:rFonts w:cstheme="minorHAnsi"/>
          <w:iCs/>
        </w:rPr>
        <w:t>4,9</w:t>
      </w:r>
      <w:r w:rsidR="00470AE4" w:rsidRPr="00C63860">
        <w:rPr>
          <w:rFonts w:cstheme="minorHAnsi"/>
          <w:iCs/>
        </w:rPr>
        <w:t xml:space="preserve">00, -£3,740). For patients who were otherwise </w:t>
      </w:r>
      <w:r w:rsidRPr="00C63860">
        <w:rPr>
          <w:rFonts w:cstheme="minorHAnsi"/>
          <w:iCs/>
          <w:color w:val="00B0F0"/>
        </w:rPr>
        <w:t>‘</w:t>
      </w:r>
      <w:r w:rsidR="006F6056" w:rsidRPr="00C63860">
        <w:rPr>
          <w:rFonts w:cstheme="minorHAnsi"/>
          <w:iCs/>
        </w:rPr>
        <w:t>fit</w:t>
      </w:r>
      <w:r w:rsidRPr="00C63860">
        <w:rPr>
          <w:rFonts w:cstheme="minorHAnsi"/>
          <w:iCs/>
          <w:color w:val="00B0F0"/>
        </w:rPr>
        <w:t>’</w:t>
      </w:r>
      <w:r w:rsidR="00470AE4" w:rsidRPr="00C63860">
        <w:rPr>
          <w:rFonts w:cstheme="minorHAnsi"/>
          <w:iCs/>
        </w:rPr>
        <w:t xml:space="preserve"> at baseline, ES was more cost-effective for cholelithiasis, with a mean INB of £71</w:t>
      </w:r>
      <w:r w:rsidR="00871B25" w:rsidRPr="00C63860">
        <w:rPr>
          <w:rFonts w:cstheme="minorHAnsi"/>
          <w:iCs/>
        </w:rPr>
        <w:t>8</w:t>
      </w:r>
      <w:r w:rsidR="00470AE4" w:rsidRPr="00C63860">
        <w:rPr>
          <w:rFonts w:cstheme="minorHAnsi"/>
          <w:iCs/>
        </w:rPr>
        <w:t xml:space="preserve"> (£294, £1,14</w:t>
      </w:r>
      <w:r w:rsidR="00871B25" w:rsidRPr="00C63860">
        <w:rPr>
          <w:rFonts w:cstheme="minorHAnsi"/>
          <w:iCs/>
        </w:rPr>
        <w:t>0</w:t>
      </w:r>
      <w:r w:rsidR="00470AE4" w:rsidRPr="00C63860">
        <w:rPr>
          <w:rFonts w:cstheme="minorHAnsi"/>
          <w:iCs/>
        </w:rPr>
        <w:t>), diverticular disease £5,180 (£684, £9,6</w:t>
      </w:r>
      <w:r w:rsidR="00871B25" w:rsidRPr="00C63860">
        <w:rPr>
          <w:rFonts w:cstheme="minorHAnsi"/>
          <w:iCs/>
        </w:rPr>
        <w:t>80</w:t>
      </w:r>
      <w:r w:rsidR="00470AE4" w:rsidRPr="00C63860">
        <w:rPr>
          <w:rFonts w:cstheme="minorHAnsi"/>
          <w:iCs/>
        </w:rPr>
        <w:t>), hernia £2,041 (£996, £3,0</w:t>
      </w:r>
      <w:r w:rsidR="00871B25" w:rsidRPr="00C63860">
        <w:rPr>
          <w:rFonts w:cstheme="minorHAnsi"/>
          <w:iCs/>
        </w:rPr>
        <w:t>90</w:t>
      </w:r>
      <w:r w:rsidR="00470AE4" w:rsidRPr="00C63860">
        <w:rPr>
          <w:rFonts w:cstheme="minorHAnsi"/>
          <w:iCs/>
        </w:rPr>
        <w:t>), and intestinal obstruction</w:t>
      </w:r>
      <w:r w:rsidR="00871B25" w:rsidRPr="00C63860">
        <w:rPr>
          <w:rFonts w:cstheme="minorHAnsi"/>
          <w:iCs/>
        </w:rPr>
        <w:t xml:space="preserve"> </w:t>
      </w:r>
      <w:r w:rsidR="00470AE4" w:rsidRPr="00C63860">
        <w:rPr>
          <w:rFonts w:cstheme="minorHAnsi"/>
          <w:iCs/>
        </w:rPr>
        <w:t>£7,850 (£5,0</w:t>
      </w:r>
      <w:r w:rsidR="00871B25" w:rsidRPr="00C63860">
        <w:rPr>
          <w:rFonts w:cstheme="minorHAnsi"/>
          <w:iCs/>
        </w:rPr>
        <w:t>20</w:t>
      </w:r>
      <w:r w:rsidR="00470AE4" w:rsidRPr="00C63860">
        <w:rPr>
          <w:rFonts w:cstheme="minorHAnsi"/>
          <w:iCs/>
        </w:rPr>
        <w:t>, £10,</w:t>
      </w:r>
      <w:r w:rsidR="00871B25" w:rsidRPr="00C63860">
        <w:rPr>
          <w:rFonts w:cstheme="minorHAnsi"/>
          <w:iCs/>
        </w:rPr>
        <w:t>700</w:t>
      </w:r>
      <w:r w:rsidR="00470AE4" w:rsidRPr="00C63860">
        <w:rPr>
          <w:rFonts w:cstheme="minorHAnsi"/>
          <w:iCs/>
        </w:rPr>
        <w:t>).</w:t>
      </w:r>
    </w:p>
    <w:p w14:paraId="7B365DFC" w14:textId="7B3C49BA" w:rsidR="00470AE4" w:rsidRPr="00C63860" w:rsidRDefault="00C63860" w:rsidP="00BC4F71">
      <w:pPr>
        <w:spacing w:before="240" w:after="100" w:afterAutospacing="1" w:line="276" w:lineRule="auto"/>
        <w:rPr>
          <w:rFonts w:cstheme="minorHAnsi"/>
          <w:iCs/>
        </w:rPr>
      </w:pPr>
      <w:r w:rsidRPr="00C63860">
        <w:rPr>
          <w:rFonts w:cstheme="minorHAnsi"/>
          <w:i/>
          <w:iCs/>
          <w:color w:val="FF0000"/>
        </w:rPr>
        <w:t>Figures 23</w:t>
      </w:r>
      <w:r w:rsidR="00470AE4" w:rsidRPr="00C63860">
        <w:rPr>
          <w:rFonts w:cstheme="minorHAnsi"/>
          <w:iCs/>
        </w:rPr>
        <w:t xml:space="preserve"> report the individual-level estimates of incremental costs and QALYs for all the conditions. Here, for illustration the results are stratified by frailty-level. For those with severe frailty, the proportion of patients for whom ES is estimated to be cost-effective is 0.0657% (appendicitis), 0.443% (cholelithiasis), 46.9% (diverticular disease), 0.00% (hernia) and 7.52% (intestinal obstruction), whereas for patients who were fit, the corresponding proportions were 59.0% (appendicitis), (cholelithiasis), 87.1% (diverticular disease), 92.5% (cholelithiasis), 82.0% (hernia) and 61.6</w:t>
      </w:r>
      <w:r w:rsidR="00F213E4" w:rsidRPr="00C63860">
        <w:rPr>
          <w:rFonts w:cstheme="minorHAnsi"/>
          <w:iCs/>
        </w:rPr>
        <w:t>%</w:t>
      </w:r>
      <w:r w:rsidR="00470AE4" w:rsidRPr="00C63860">
        <w:rPr>
          <w:rFonts w:cstheme="minorHAnsi"/>
          <w:iCs/>
        </w:rPr>
        <w:t xml:space="preserve"> (intestinal obstruction</w:t>
      </w:r>
      <w:r w:rsidR="00F213E4" w:rsidRPr="00C63860">
        <w:rPr>
          <w:rFonts w:cstheme="minorHAnsi"/>
          <w:iCs/>
        </w:rPr>
        <w:t>)</w:t>
      </w:r>
      <w:r w:rsidR="00470AE4" w:rsidRPr="00C63860">
        <w:rPr>
          <w:rFonts w:cstheme="minorHAnsi"/>
          <w:iCs/>
        </w:rPr>
        <w:t>.</w:t>
      </w:r>
    </w:p>
    <w:p w14:paraId="6FC08448" w14:textId="77777777" w:rsidR="00470AE4" w:rsidRPr="00C63860" w:rsidRDefault="00470AE4" w:rsidP="00BC4F71">
      <w:pPr>
        <w:spacing w:before="240" w:after="100" w:afterAutospacing="1" w:line="276" w:lineRule="auto"/>
        <w:jc w:val="both"/>
        <w:rPr>
          <w:rFonts w:cstheme="minorHAnsi"/>
          <w:b/>
          <w:bCs/>
        </w:rPr>
      </w:pPr>
      <w:r w:rsidRPr="00C63860">
        <w:rPr>
          <w:rFonts w:cstheme="minorHAnsi"/>
          <w:b/>
          <w:bCs/>
        </w:rPr>
        <w:t>4.3.4. Sensitivity analyses</w:t>
      </w:r>
    </w:p>
    <w:p w14:paraId="25A41767" w14:textId="1B4D80E7" w:rsidR="00C63860" w:rsidRPr="00C63860" w:rsidRDefault="00470AE4" w:rsidP="00BC4F71">
      <w:pPr>
        <w:spacing w:before="240" w:after="100" w:afterAutospacing="1" w:line="276" w:lineRule="auto"/>
        <w:rPr>
          <w:rFonts w:cstheme="minorHAnsi"/>
          <w:bCs/>
        </w:rPr>
      </w:pPr>
      <w:r w:rsidRPr="00C63860">
        <w:rPr>
          <w:rFonts w:cstheme="minorHAnsi"/>
        </w:rPr>
        <w:t>The overall results were robust to alternative assumptions (</w:t>
      </w:r>
      <w:r w:rsidR="00C63860" w:rsidRPr="00C63860">
        <w:rPr>
          <w:rFonts w:cstheme="minorHAnsi"/>
          <w:i/>
          <w:color w:val="FF0000"/>
        </w:rPr>
        <w:t>Table 18</w:t>
      </w:r>
      <w:r w:rsidRPr="00C63860">
        <w:rPr>
          <w:rFonts w:cstheme="minorHAnsi"/>
        </w:rPr>
        <w:t xml:space="preserve">), </w:t>
      </w:r>
      <w:r w:rsidRPr="00C63860">
        <w:rPr>
          <w:rFonts w:cstheme="minorHAnsi"/>
          <w:bCs/>
        </w:rPr>
        <w:t>including alternative proxies for the hospital</w:t>
      </w:r>
      <w:r w:rsidR="00C63860" w:rsidRPr="00C63860">
        <w:rPr>
          <w:rFonts w:cstheme="minorHAnsi"/>
          <w:bCs/>
          <w:color w:val="00B0F0"/>
        </w:rPr>
        <w:t>’</w:t>
      </w:r>
      <w:r w:rsidRPr="00C63860">
        <w:rPr>
          <w:rFonts w:cstheme="minorHAnsi"/>
          <w:bCs/>
        </w:rPr>
        <w:t>s quality of acute care (SA1), higher (SA2) or lower (SA3) unit costs, and the use of linear interpolation for calculating QALYs (SA4).</w:t>
      </w:r>
    </w:p>
    <w:p w14:paraId="00B7042A" w14:textId="3BA2868D" w:rsidR="00C63860" w:rsidRPr="00C63860" w:rsidRDefault="00470AE4">
      <w:pPr>
        <w:spacing w:before="240" w:after="100" w:afterAutospacing="1" w:line="276" w:lineRule="auto"/>
        <w:rPr>
          <w:rFonts w:cstheme="minorBidi"/>
        </w:rPr>
      </w:pPr>
      <w:r w:rsidRPr="00C63860">
        <w:rPr>
          <w:rFonts w:cstheme="minorBidi"/>
        </w:rPr>
        <w:t xml:space="preserve">For the scenario in which the time horizon was extended to five years (SA5), the CIs surrounding the INB estimates were particularly wide, and like the base case included zero. The extension to a five-year time horizon </w:t>
      </w:r>
      <w:r w:rsidR="0025608F" w:rsidRPr="00C63860">
        <w:rPr>
          <w:rFonts w:cstheme="minorBidi"/>
          <w:highlight w:val="magenta"/>
        </w:rPr>
        <w:t>compared to</w:t>
      </w:r>
      <w:r w:rsidR="0025608F" w:rsidRPr="00C63860">
        <w:rPr>
          <w:rFonts w:cstheme="minorBidi"/>
        </w:rPr>
        <w:t xml:space="preserve"> the base case </w:t>
      </w:r>
      <w:r w:rsidRPr="00C63860">
        <w:rPr>
          <w:rFonts w:cstheme="minorBidi"/>
        </w:rPr>
        <w:t xml:space="preserve">resulted in </w:t>
      </w:r>
      <w:r w:rsidR="00E85BC7" w:rsidRPr="00C63860">
        <w:rPr>
          <w:rFonts w:cstheme="minorBidi"/>
        </w:rPr>
        <w:t>estimates o</w:t>
      </w:r>
      <w:r w:rsidR="001606F5" w:rsidRPr="00C63860">
        <w:rPr>
          <w:rFonts w:cstheme="minorBidi"/>
        </w:rPr>
        <w:t>f the mean INB that were positive, and of large</w:t>
      </w:r>
      <w:r w:rsidR="0025608F" w:rsidRPr="00C63860">
        <w:rPr>
          <w:rFonts w:cstheme="minorBidi"/>
        </w:rPr>
        <w:t>r</w:t>
      </w:r>
      <w:r w:rsidR="001606F5" w:rsidRPr="00C63860">
        <w:rPr>
          <w:rFonts w:cstheme="minorBidi"/>
        </w:rPr>
        <w:t xml:space="preserve"> magnitude for</w:t>
      </w:r>
      <w:r w:rsidR="0025608F" w:rsidRPr="00C63860">
        <w:rPr>
          <w:rFonts w:cstheme="minorBidi"/>
        </w:rPr>
        <w:t xml:space="preserve"> patients with </w:t>
      </w:r>
      <w:r w:rsidR="00E92AAC" w:rsidRPr="00C63860">
        <w:rPr>
          <w:rFonts w:cstheme="minorBidi"/>
        </w:rPr>
        <w:t>cholelithiasis (£</w:t>
      </w:r>
      <w:r w:rsidR="007940CD" w:rsidRPr="00C63860">
        <w:rPr>
          <w:rFonts w:cstheme="minorBidi"/>
        </w:rPr>
        <w:t>792 vs £221)</w:t>
      </w:r>
      <w:r w:rsidR="00562820" w:rsidRPr="00C63860">
        <w:rPr>
          <w:rFonts w:cstheme="minorBidi"/>
        </w:rPr>
        <w:t xml:space="preserve">, hernia (£700 vs </w:t>
      </w:r>
      <w:r w:rsidR="00174176" w:rsidRPr="00C63860">
        <w:rPr>
          <w:rFonts w:cstheme="minorBidi"/>
        </w:rPr>
        <w:t>-£119), and intestinal obstruction (</w:t>
      </w:r>
      <w:r w:rsidR="000724DE" w:rsidRPr="00C63860">
        <w:rPr>
          <w:rFonts w:cstheme="minorBidi"/>
        </w:rPr>
        <w:t>-</w:t>
      </w:r>
      <w:r w:rsidR="00737460" w:rsidRPr="00C63860">
        <w:rPr>
          <w:rFonts w:cstheme="minorBidi"/>
        </w:rPr>
        <w:t>£1,502</w:t>
      </w:r>
      <w:r w:rsidR="00775FA3" w:rsidRPr="00C63860">
        <w:rPr>
          <w:rFonts w:cstheme="minorBidi"/>
        </w:rPr>
        <w:t xml:space="preserve"> vs</w:t>
      </w:r>
      <w:r w:rsidR="00737460" w:rsidRPr="00C63860">
        <w:rPr>
          <w:rFonts w:cstheme="minorBidi"/>
        </w:rPr>
        <w:t xml:space="preserve"> </w:t>
      </w:r>
      <w:r w:rsidR="004A19AF" w:rsidRPr="00C63860">
        <w:rPr>
          <w:rFonts w:cstheme="minorBidi"/>
        </w:rPr>
        <w:t xml:space="preserve">£2,664). </w:t>
      </w:r>
      <w:r w:rsidR="00433AE0" w:rsidRPr="00C63860">
        <w:rPr>
          <w:rFonts w:cstheme="minorBidi"/>
        </w:rPr>
        <w:t>In the scenario with a five-year time horizon</w:t>
      </w:r>
      <w:r w:rsidR="001B3391" w:rsidRPr="00C63860">
        <w:rPr>
          <w:rFonts w:cstheme="minorBidi"/>
        </w:rPr>
        <w:t xml:space="preserve">, the INB estimates </w:t>
      </w:r>
      <w:r w:rsidR="00AD76F1" w:rsidRPr="00C63860">
        <w:rPr>
          <w:rFonts w:cstheme="minorBidi"/>
        </w:rPr>
        <w:t>were negative</w:t>
      </w:r>
      <w:r w:rsidR="00116E17" w:rsidRPr="00C63860">
        <w:rPr>
          <w:rFonts w:cstheme="minorBidi"/>
        </w:rPr>
        <w:t xml:space="preserve"> </w:t>
      </w:r>
      <w:r w:rsidR="006F01F9" w:rsidRPr="00C63860">
        <w:rPr>
          <w:rFonts w:cstheme="minorBidi"/>
        </w:rPr>
        <w:t>for</w:t>
      </w:r>
      <w:r w:rsidR="00284BF2" w:rsidRPr="00C63860">
        <w:rPr>
          <w:rFonts w:cstheme="minorBidi"/>
        </w:rPr>
        <w:t xml:space="preserve"> </w:t>
      </w:r>
      <w:r w:rsidRPr="00C63860">
        <w:rPr>
          <w:rFonts w:cstheme="minorBidi"/>
        </w:rPr>
        <w:t xml:space="preserve">patients with appendicitis </w:t>
      </w:r>
      <w:r w:rsidR="006F01F9" w:rsidRPr="00C63860">
        <w:rPr>
          <w:rFonts w:cstheme="minorBidi"/>
        </w:rPr>
        <w:t xml:space="preserve">(-£3,786 vs </w:t>
      </w:r>
      <w:r w:rsidR="00A10240" w:rsidRPr="00C63860">
        <w:rPr>
          <w:rFonts w:cstheme="minorBidi"/>
        </w:rPr>
        <w:t>-£86</w:t>
      </w:r>
      <w:r w:rsidR="007407ED" w:rsidRPr="00C63860">
        <w:rPr>
          <w:rFonts w:cstheme="minorBidi"/>
        </w:rPr>
        <w:t xml:space="preserve"> (base case)</w:t>
      </w:r>
      <w:r w:rsidR="00A10240" w:rsidRPr="00C63860">
        <w:rPr>
          <w:rFonts w:cstheme="minorBidi"/>
        </w:rPr>
        <w:t>)</w:t>
      </w:r>
      <w:r w:rsidR="006F01F9" w:rsidRPr="00C63860">
        <w:rPr>
          <w:rFonts w:cstheme="minorBidi"/>
        </w:rPr>
        <w:t xml:space="preserve"> </w:t>
      </w:r>
      <w:r w:rsidRPr="00C63860">
        <w:rPr>
          <w:rFonts w:cstheme="minorBidi"/>
        </w:rPr>
        <w:t xml:space="preserve">and diverticular disease </w:t>
      </w:r>
      <w:r w:rsidR="002652C7" w:rsidRPr="00C63860">
        <w:rPr>
          <w:rFonts w:cstheme="minorBidi"/>
        </w:rPr>
        <w:t>(</w:t>
      </w:r>
      <w:r w:rsidR="00537E45" w:rsidRPr="00C63860">
        <w:rPr>
          <w:rFonts w:cstheme="minorBidi"/>
        </w:rPr>
        <w:t xml:space="preserve">-£1,502 vs </w:t>
      </w:r>
      <w:r w:rsidR="00A72D71" w:rsidRPr="00C63860">
        <w:rPr>
          <w:rFonts w:cstheme="minorBidi"/>
        </w:rPr>
        <w:t>£2,664</w:t>
      </w:r>
      <w:r w:rsidR="007407ED" w:rsidRPr="00C63860">
        <w:rPr>
          <w:rFonts w:cstheme="minorBidi"/>
        </w:rPr>
        <w:t xml:space="preserve"> (base case)</w:t>
      </w:r>
      <w:r w:rsidRPr="00C63860">
        <w:rPr>
          <w:rFonts w:cstheme="minorBidi"/>
        </w:rPr>
        <w:t xml:space="preserve">. </w:t>
      </w:r>
      <w:r w:rsidR="002E48CA" w:rsidRPr="00C63860">
        <w:rPr>
          <w:rFonts w:cstheme="minorBidi"/>
        </w:rPr>
        <w:t xml:space="preserve">For patients with cholelithiasis, hernia, and intestinal obstruction, the </w:t>
      </w:r>
      <w:r w:rsidR="00784178" w:rsidRPr="00C63860">
        <w:rPr>
          <w:rFonts w:cstheme="minorBidi"/>
        </w:rPr>
        <w:t xml:space="preserve">positive INB after five years was driven </w:t>
      </w:r>
      <w:r w:rsidR="00FD1D8D" w:rsidRPr="00C63860">
        <w:rPr>
          <w:rFonts w:cstheme="minorBidi"/>
        </w:rPr>
        <w:t xml:space="preserve">by </w:t>
      </w:r>
      <w:r w:rsidR="000E558C" w:rsidRPr="00C63860">
        <w:rPr>
          <w:rFonts w:cstheme="minorBidi"/>
        </w:rPr>
        <w:t>the lower</w:t>
      </w:r>
      <w:r w:rsidR="00FD1D8D" w:rsidRPr="00C63860">
        <w:rPr>
          <w:rFonts w:cstheme="minorBidi"/>
        </w:rPr>
        <w:t xml:space="preserve"> proportion of patients who had any readmission </w:t>
      </w:r>
      <w:r w:rsidR="006E39A4" w:rsidRPr="00C63860">
        <w:rPr>
          <w:rFonts w:cstheme="minorBidi"/>
        </w:rPr>
        <w:t>following ES vers</w:t>
      </w:r>
      <w:r w:rsidR="008B3329" w:rsidRPr="00C63860">
        <w:rPr>
          <w:rFonts w:cstheme="minorBidi"/>
        </w:rPr>
        <w:t>us</w:t>
      </w:r>
      <w:r w:rsidR="006E39A4" w:rsidRPr="00C63860">
        <w:rPr>
          <w:rFonts w:cstheme="minorBidi"/>
        </w:rPr>
        <w:t xml:space="preserve"> </w:t>
      </w:r>
      <w:r w:rsidR="000E558C" w:rsidRPr="00C63860">
        <w:rPr>
          <w:rFonts w:cstheme="minorBidi"/>
        </w:rPr>
        <w:t>N</w:t>
      </w:r>
      <w:r w:rsidR="006E39A4" w:rsidRPr="00C63860">
        <w:rPr>
          <w:rFonts w:cstheme="minorBidi"/>
        </w:rPr>
        <w:t>ES strategies</w:t>
      </w:r>
      <w:r w:rsidR="00E02129" w:rsidRPr="00C63860">
        <w:rPr>
          <w:rFonts w:cstheme="minorBidi"/>
        </w:rPr>
        <w:t xml:space="preserve"> in years 2</w:t>
      </w:r>
      <w:r w:rsidR="00C63860" w:rsidRPr="00C63860">
        <w:rPr>
          <w:rFonts w:cstheme="minorBidi"/>
          <w:color w:val="00B0F0"/>
        </w:rPr>
        <w:t>–5</w:t>
      </w:r>
      <w:r w:rsidR="00A80D3E" w:rsidRPr="00C63860">
        <w:rPr>
          <w:rFonts w:cstheme="minorBidi"/>
        </w:rPr>
        <w:t>, after case-mix adjustment</w:t>
      </w:r>
      <w:r w:rsidR="006E39A4" w:rsidRPr="00C63860">
        <w:rPr>
          <w:rFonts w:cstheme="minorBidi"/>
        </w:rPr>
        <w:t xml:space="preserve"> (</w:t>
      </w:r>
      <w:r w:rsidR="00C63860" w:rsidRPr="00C63860">
        <w:rPr>
          <w:rFonts w:cstheme="minorBidi"/>
          <w:i/>
          <w:color w:val="FF0000"/>
        </w:rPr>
        <w:t>Table 19</w:t>
      </w:r>
      <w:r w:rsidR="006E39A4" w:rsidRPr="00C63860">
        <w:rPr>
          <w:rFonts w:cstheme="minorBidi"/>
        </w:rPr>
        <w:t>).</w:t>
      </w:r>
    </w:p>
    <w:p w14:paraId="6C77C752" w14:textId="2B946D05" w:rsidR="00C63860" w:rsidRPr="00C63860" w:rsidRDefault="00470AE4">
      <w:pPr>
        <w:spacing w:before="240" w:after="100" w:afterAutospacing="1" w:line="276" w:lineRule="auto"/>
        <w:rPr>
          <w:rFonts w:cstheme="minorBidi"/>
        </w:rPr>
      </w:pPr>
      <w:r w:rsidRPr="00C63860">
        <w:rPr>
          <w:rFonts w:cstheme="minorBidi"/>
        </w:rPr>
        <w:t>For patients with diverticular disease, the negative INB was driven by higher adjusted readmission rates, proportions of patients having operative procedures and days in hospital for the ES versus NES strategy group, during years 2</w:t>
      </w:r>
      <w:r w:rsidR="00C63860" w:rsidRPr="00C63860">
        <w:rPr>
          <w:rFonts w:cstheme="minorBidi"/>
          <w:color w:val="00B0F0"/>
        </w:rPr>
        <w:t>–5</w:t>
      </w:r>
      <w:r w:rsidRPr="00C63860">
        <w:rPr>
          <w:rFonts w:cstheme="minorBidi"/>
        </w:rPr>
        <w:t xml:space="preserve"> following the index admission (</w:t>
      </w:r>
      <w:r w:rsidR="00C63860" w:rsidRPr="00C63860">
        <w:rPr>
          <w:rFonts w:cstheme="minorBidi"/>
          <w:i/>
          <w:color w:val="FF0000"/>
        </w:rPr>
        <w:t>Table 19</w:t>
      </w:r>
      <w:r w:rsidRPr="00C63860">
        <w:rPr>
          <w:rFonts w:cstheme="minorBidi"/>
        </w:rPr>
        <w:t>). For patients with acute appendicitis, the differences in adjusted resource use between the comparison groups was small for years 2</w:t>
      </w:r>
      <w:r w:rsidR="00C63860" w:rsidRPr="00C63860">
        <w:rPr>
          <w:rFonts w:cstheme="minorBidi"/>
          <w:color w:val="00B0F0"/>
        </w:rPr>
        <w:t>–5</w:t>
      </w:r>
      <w:r w:rsidRPr="00C63860">
        <w:rPr>
          <w:rFonts w:cstheme="minorBidi"/>
        </w:rPr>
        <w:t>. Hence the negative estimates of the average INB for patients with acute appendicitis may relate to the reduced sample included (around 50%).</w:t>
      </w:r>
    </w:p>
    <w:p w14:paraId="43C02679" w14:textId="77777777" w:rsidR="00C63860" w:rsidRPr="00C63860" w:rsidRDefault="00BD4CFD">
      <w:pPr>
        <w:spacing w:before="240" w:after="100" w:afterAutospacing="1" w:line="276" w:lineRule="auto"/>
        <w:rPr>
          <w:rFonts w:cstheme="minorBidi"/>
        </w:rPr>
      </w:pPr>
      <w:r w:rsidRPr="00C63860">
        <w:rPr>
          <w:rFonts w:cstheme="minorBidi"/>
        </w:rPr>
        <w:t>Finally</w:t>
      </w:r>
      <w:r w:rsidR="00470AE4" w:rsidRPr="00C63860">
        <w:rPr>
          <w:rFonts w:cstheme="minorBidi"/>
        </w:rPr>
        <w:t xml:space="preserve">, </w:t>
      </w:r>
      <w:r w:rsidR="00A80D3E" w:rsidRPr="00C63860">
        <w:rPr>
          <w:rFonts w:cstheme="minorBidi"/>
        </w:rPr>
        <w:t xml:space="preserve">in interpreting these findings it should be recognised that </w:t>
      </w:r>
      <w:r w:rsidR="00470AE4" w:rsidRPr="00C63860">
        <w:rPr>
          <w:rFonts w:cstheme="minorBidi"/>
        </w:rPr>
        <w:t>the IV assumption, that the TTO does not affect outcome except through the treatment received, may be less tenable over a five-year time period; there may be other longer-term differences between the comparison groups in the care received, that are not directly related to ES.</w:t>
      </w:r>
    </w:p>
    <w:p w14:paraId="2147E27B" w14:textId="77777777" w:rsidR="00C63860" w:rsidRPr="00C63860" w:rsidRDefault="00470AE4">
      <w:pPr>
        <w:spacing w:before="240" w:after="100" w:afterAutospacing="1" w:line="276" w:lineRule="auto"/>
        <w:rPr>
          <w:iCs/>
        </w:rPr>
      </w:pPr>
      <w:r w:rsidRPr="00C63860">
        <w:rPr>
          <w:rFonts w:cstheme="minorHAnsi"/>
          <w:bCs/>
        </w:rPr>
        <w:t xml:space="preserve">The final sensitivity analysis that used </w:t>
      </w:r>
      <w:r w:rsidRPr="00C63860">
        <w:rPr>
          <w:rFonts w:cstheme="minorHAnsi"/>
        </w:rPr>
        <w:t xml:space="preserve">risk-adjustment (GLM regression) approaches, assuming that all confounding factors have been observed (SA6), reported similar results to the base case for </w:t>
      </w:r>
      <w:r w:rsidRPr="00C63860">
        <w:rPr>
          <w:iCs/>
        </w:rPr>
        <w:t>appendicitis, cholelithiasis and hernia. For patients with diverticular disease and intestinal obstruction, the negative INBs for ES following risk-adjustment may reflect that patients who had worse prognosis according to unobserved characteristics were more likely to have ES than NES strategies.</w:t>
      </w:r>
    </w:p>
    <w:p w14:paraId="11ACC172" w14:textId="3E4044BD" w:rsidR="00E13E3C" w:rsidRPr="00C63860" w:rsidRDefault="00C63860" w:rsidP="00E13E3C">
      <w:pPr>
        <w:pStyle w:val="Caption"/>
        <w:rPr>
          <w:rFonts w:cstheme="minorHAnsi"/>
          <w:b/>
          <w:bCs/>
          <w:color w:val="auto"/>
          <w:sz w:val="22"/>
          <w:szCs w:val="22"/>
        </w:rPr>
      </w:pPr>
      <w:bookmarkStart w:id="80" w:name="_Toc86670784"/>
      <w:r w:rsidRPr="00C63860">
        <w:rPr>
          <w:b/>
          <w:bCs/>
          <w:color w:val="FF0000"/>
          <w:sz w:val="22"/>
          <w:szCs w:val="22"/>
        </w:rPr>
        <w:t xml:space="preserve">Table </w:t>
      </w:r>
      <w:r w:rsidRPr="00C63860">
        <w:rPr>
          <w:b/>
          <w:bCs/>
          <w:noProof/>
          <w:color w:val="FF0000"/>
          <w:sz w:val="22"/>
          <w:szCs w:val="22"/>
        </w:rPr>
        <w:t>12</w:t>
      </w:r>
      <w:r w:rsidR="00E13E3C" w:rsidRPr="00C63860">
        <w:rPr>
          <w:b/>
          <w:bCs/>
          <w:color w:val="auto"/>
          <w:sz w:val="22"/>
          <w:szCs w:val="22"/>
        </w:rPr>
        <w:t>: Unadjusted hospital resource up to one year for emergency surgery (ES) and non-emergency surgery (NES) strategies</w:t>
      </w:r>
      <w:bookmarkEnd w:id="80"/>
    </w:p>
    <w:tbl>
      <w:tblPr>
        <w:tblW w:w="0" w:type="auto"/>
        <w:tblCellMar>
          <w:top w:w="40" w:type="dxa"/>
          <w:left w:w="60" w:type="dxa"/>
          <w:bottom w:w="40" w:type="dxa"/>
          <w:right w:w="60" w:type="dxa"/>
        </w:tblCellMar>
        <w:tblLook w:val="01E0" w:firstRow="1" w:lastRow="1" w:firstColumn="1" w:lastColumn="1" w:noHBand="0" w:noVBand="0"/>
      </w:tblPr>
      <w:tblGrid>
        <w:gridCol w:w="1085"/>
        <w:gridCol w:w="844"/>
        <w:gridCol w:w="773"/>
        <w:gridCol w:w="773"/>
        <w:gridCol w:w="843"/>
        <w:gridCol w:w="773"/>
        <w:gridCol w:w="843"/>
        <w:gridCol w:w="773"/>
        <w:gridCol w:w="773"/>
        <w:gridCol w:w="773"/>
        <w:gridCol w:w="773"/>
      </w:tblGrid>
      <w:tr w:rsidR="00470AE4" w:rsidRPr="00C63860" w14:paraId="6B121904" w14:textId="77777777" w:rsidTr="00C63860">
        <w:trPr>
          <w:cantSplit/>
        </w:trPr>
        <w:tc>
          <w:tcPr>
            <w:tcW w:w="0" w:type="auto"/>
            <w:shd w:val="clear" w:color="auto" w:fill="auto"/>
          </w:tcPr>
          <w:p w14:paraId="3FE5B945" w14:textId="77777777" w:rsidR="00470AE4" w:rsidRPr="00C63860" w:rsidRDefault="00470AE4" w:rsidP="00470AE4">
            <w:pPr>
              <w:rPr>
                <w:rFonts w:cstheme="minorHAnsi"/>
                <w:b/>
              </w:rPr>
            </w:pPr>
          </w:p>
        </w:tc>
        <w:tc>
          <w:tcPr>
            <w:tcW w:w="0" w:type="auto"/>
            <w:gridSpan w:val="2"/>
            <w:shd w:val="clear" w:color="auto" w:fill="auto"/>
            <w:vAlign w:val="center"/>
          </w:tcPr>
          <w:p w14:paraId="69FF228D" w14:textId="77777777" w:rsidR="00C63860" w:rsidRPr="00C63860" w:rsidRDefault="00470AE4" w:rsidP="00470AE4">
            <w:pPr>
              <w:jc w:val="center"/>
              <w:rPr>
                <w:rFonts w:cstheme="minorHAnsi"/>
                <w:b/>
                <w:bCs/>
              </w:rPr>
            </w:pPr>
            <w:r w:rsidRPr="00C63860">
              <w:rPr>
                <w:rFonts w:cstheme="minorHAnsi"/>
                <w:b/>
                <w:bCs/>
              </w:rPr>
              <w:t>Appendicitis</w:t>
            </w:r>
          </w:p>
          <w:p w14:paraId="2CCF6810" w14:textId="0F84856B" w:rsidR="00470AE4" w:rsidRPr="00C63860" w:rsidRDefault="00470AE4" w:rsidP="00470AE4">
            <w:pPr>
              <w:contextualSpacing/>
              <w:jc w:val="center"/>
              <w:rPr>
                <w:rFonts w:eastAsia="DengXian"/>
                <w:b/>
                <w:bCs/>
                <w:lang w:eastAsia="zh-CN"/>
              </w:rPr>
            </w:pPr>
            <w:r w:rsidRPr="00C63860">
              <w:rPr>
                <w:rFonts w:cstheme="minorHAnsi"/>
                <w:b/>
                <w:bCs/>
              </w:rPr>
              <w:t>(N=268,144)</w:t>
            </w:r>
          </w:p>
        </w:tc>
        <w:tc>
          <w:tcPr>
            <w:tcW w:w="0" w:type="auto"/>
            <w:gridSpan w:val="2"/>
            <w:shd w:val="clear" w:color="auto" w:fill="auto"/>
          </w:tcPr>
          <w:p w14:paraId="762ECBCF" w14:textId="77777777" w:rsidR="00C63860" w:rsidRPr="00C63860" w:rsidRDefault="00470AE4" w:rsidP="00470AE4">
            <w:pPr>
              <w:spacing w:before="100" w:beforeAutospacing="1" w:after="100" w:afterAutospacing="1"/>
              <w:contextualSpacing/>
              <w:jc w:val="center"/>
              <w:rPr>
                <w:rFonts w:cstheme="minorHAnsi"/>
                <w:b/>
                <w:bCs/>
              </w:rPr>
            </w:pPr>
            <w:r w:rsidRPr="00C63860">
              <w:rPr>
                <w:rFonts w:cstheme="minorHAnsi"/>
                <w:b/>
                <w:bCs/>
              </w:rPr>
              <w:t>Cholelithiasis</w:t>
            </w:r>
          </w:p>
          <w:p w14:paraId="16BF04F8" w14:textId="7BDD5C67" w:rsidR="00470AE4" w:rsidRPr="00C63860" w:rsidRDefault="00470AE4" w:rsidP="00470AE4">
            <w:pPr>
              <w:jc w:val="center"/>
              <w:rPr>
                <w:rFonts w:cstheme="minorHAnsi"/>
                <w:b/>
              </w:rPr>
            </w:pPr>
            <w:r w:rsidRPr="00C63860">
              <w:rPr>
                <w:rFonts w:cstheme="minorHAnsi"/>
                <w:b/>
                <w:bCs/>
              </w:rPr>
              <w:t>(N=</w:t>
            </w:r>
            <w:r w:rsidRPr="00C63860">
              <w:rPr>
                <w:b/>
                <w:bCs/>
              </w:rPr>
              <w:t xml:space="preserve"> </w:t>
            </w:r>
            <w:r w:rsidRPr="00C63860">
              <w:rPr>
                <w:rFonts w:cstheme="minorHAnsi"/>
                <w:b/>
                <w:bCs/>
              </w:rPr>
              <w:t>240,977)</w:t>
            </w:r>
          </w:p>
        </w:tc>
        <w:tc>
          <w:tcPr>
            <w:tcW w:w="0" w:type="auto"/>
            <w:gridSpan w:val="2"/>
            <w:shd w:val="clear" w:color="auto" w:fill="auto"/>
          </w:tcPr>
          <w:p w14:paraId="4B5B18DC" w14:textId="77777777" w:rsidR="00C63860" w:rsidRPr="00C63860" w:rsidRDefault="00470AE4" w:rsidP="00470AE4">
            <w:pPr>
              <w:jc w:val="center"/>
              <w:rPr>
                <w:rFonts w:cstheme="minorHAnsi"/>
                <w:b/>
                <w:bCs/>
              </w:rPr>
            </w:pPr>
            <w:r w:rsidRPr="00C63860">
              <w:rPr>
                <w:rFonts w:cstheme="minorHAnsi"/>
                <w:b/>
                <w:bCs/>
              </w:rPr>
              <w:t>Diverticular disease</w:t>
            </w:r>
          </w:p>
          <w:p w14:paraId="40836525" w14:textId="7C4DAFB8" w:rsidR="00470AE4" w:rsidRPr="00C63860" w:rsidRDefault="00470AE4" w:rsidP="00470AE4">
            <w:pPr>
              <w:jc w:val="center"/>
              <w:rPr>
                <w:rFonts w:cstheme="minorHAnsi"/>
                <w:b/>
              </w:rPr>
            </w:pPr>
            <w:r w:rsidRPr="00C63860">
              <w:rPr>
                <w:rFonts w:cstheme="minorHAnsi"/>
                <w:b/>
                <w:bCs/>
              </w:rPr>
              <w:t>(N=138,869)</w:t>
            </w:r>
          </w:p>
        </w:tc>
        <w:tc>
          <w:tcPr>
            <w:tcW w:w="0" w:type="auto"/>
            <w:gridSpan w:val="2"/>
            <w:shd w:val="clear" w:color="auto" w:fill="auto"/>
          </w:tcPr>
          <w:p w14:paraId="1A0A5B6A" w14:textId="77777777" w:rsidR="00C63860" w:rsidRPr="00C63860" w:rsidRDefault="00470AE4" w:rsidP="00470AE4">
            <w:pPr>
              <w:spacing w:before="100" w:beforeAutospacing="1" w:after="100" w:afterAutospacing="1"/>
              <w:contextualSpacing/>
              <w:jc w:val="center"/>
              <w:rPr>
                <w:rFonts w:cstheme="minorHAnsi"/>
                <w:b/>
                <w:bCs/>
              </w:rPr>
            </w:pPr>
            <w:r w:rsidRPr="00C63860">
              <w:rPr>
                <w:rFonts w:cstheme="minorHAnsi"/>
                <w:b/>
                <w:bCs/>
              </w:rPr>
              <w:t>Hernia</w:t>
            </w:r>
          </w:p>
          <w:p w14:paraId="2C9FBAF0" w14:textId="00D582DF" w:rsidR="00470AE4" w:rsidRPr="00C63860" w:rsidRDefault="00470AE4" w:rsidP="00470AE4">
            <w:pPr>
              <w:jc w:val="center"/>
              <w:rPr>
                <w:rFonts w:cstheme="minorHAnsi"/>
                <w:b/>
              </w:rPr>
            </w:pPr>
            <w:r w:rsidRPr="00C63860">
              <w:rPr>
                <w:rFonts w:cstheme="minorHAnsi"/>
                <w:b/>
                <w:bCs/>
              </w:rPr>
              <w:t>(N=106,432)</w:t>
            </w:r>
          </w:p>
        </w:tc>
        <w:tc>
          <w:tcPr>
            <w:tcW w:w="0" w:type="auto"/>
            <w:gridSpan w:val="2"/>
            <w:shd w:val="clear" w:color="auto" w:fill="auto"/>
          </w:tcPr>
          <w:p w14:paraId="2E457D42" w14:textId="77777777" w:rsidR="00C63860" w:rsidRPr="00C63860" w:rsidRDefault="00470AE4" w:rsidP="00470AE4">
            <w:pPr>
              <w:spacing w:before="100" w:beforeAutospacing="1" w:after="100" w:afterAutospacing="1"/>
              <w:contextualSpacing/>
              <w:jc w:val="center"/>
              <w:rPr>
                <w:rFonts w:cstheme="minorHAnsi"/>
                <w:b/>
                <w:bCs/>
              </w:rPr>
            </w:pPr>
            <w:r w:rsidRPr="00C63860">
              <w:rPr>
                <w:rFonts w:cstheme="minorHAnsi"/>
                <w:b/>
                <w:bCs/>
              </w:rPr>
              <w:t>Intestinal obstruction</w:t>
            </w:r>
          </w:p>
          <w:p w14:paraId="7399B718" w14:textId="1A61A00B" w:rsidR="00470AE4" w:rsidRPr="00C63860" w:rsidRDefault="00470AE4" w:rsidP="00470AE4">
            <w:pPr>
              <w:jc w:val="center"/>
              <w:rPr>
                <w:rFonts w:cstheme="minorHAnsi"/>
                <w:b/>
              </w:rPr>
            </w:pPr>
            <w:r w:rsidRPr="00C63860">
              <w:rPr>
                <w:rFonts w:cstheme="minorHAnsi"/>
                <w:b/>
                <w:bCs/>
              </w:rPr>
              <w:t>(N=133,073)</w:t>
            </w:r>
          </w:p>
        </w:tc>
      </w:tr>
      <w:tr w:rsidR="00470AE4" w:rsidRPr="00C63860" w14:paraId="5EC65A66" w14:textId="77777777" w:rsidTr="00C63860">
        <w:trPr>
          <w:cantSplit/>
        </w:trPr>
        <w:tc>
          <w:tcPr>
            <w:tcW w:w="0" w:type="auto"/>
            <w:shd w:val="clear" w:color="auto" w:fill="auto"/>
          </w:tcPr>
          <w:p w14:paraId="30568DB0" w14:textId="77777777" w:rsidR="00470AE4" w:rsidRPr="00C63860" w:rsidRDefault="00470AE4" w:rsidP="00470AE4">
            <w:pPr>
              <w:rPr>
                <w:rFonts w:cstheme="minorHAnsi"/>
                <w:b/>
              </w:rPr>
            </w:pPr>
          </w:p>
        </w:tc>
        <w:tc>
          <w:tcPr>
            <w:tcW w:w="0" w:type="auto"/>
            <w:shd w:val="clear" w:color="auto" w:fill="auto"/>
            <w:vAlign w:val="center"/>
          </w:tcPr>
          <w:p w14:paraId="03866DAF" w14:textId="77777777" w:rsidR="00470AE4" w:rsidRPr="00C63860" w:rsidRDefault="00470AE4" w:rsidP="00470AE4">
            <w:pPr>
              <w:contextualSpacing/>
              <w:jc w:val="center"/>
              <w:rPr>
                <w:rFonts w:eastAsia="DengXian"/>
                <w:b/>
                <w:bCs/>
                <w:lang w:eastAsia="zh-CN"/>
              </w:rPr>
            </w:pPr>
            <w:r w:rsidRPr="00C63860">
              <w:rPr>
                <w:rFonts w:eastAsia="DengXian"/>
                <w:b/>
                <w:bCs/>
                <w:lang w:eastAsia="zh-CN"/>
              </w:rPr>
              <w:t>ES</w:t>
            </w:r>
          </w:p>
          <w:p w14:paraId="572A96C2" w14:textId="77777777" w:rsidR="00470AE4" w:rsidRPr="00C63860" w:rsidRDefault="00470AE4" w:rsidP="00470AE4">
            <w:pPr>
              <w:jc w:val="center"/>
              <w:rPr>
                <w:rFonts w:cstheme="minorHAnsi"/>
                <w:b/>
                <w:bCs/>
                <w:i/>
              </w:rPr>
            </w:pPr>
            <w:r w:rsidRPr="00C63860">
              <w:rPr>
                <w:rFonts w:eastAsia="DengXian"/>
                <w:b/>
                <w:bCs/>
                <w:lang w:eastAsia="zh-CN"/>
              </w:rPr>
              <w:t>(N=247,506)</w:t>
            </w:r>
          </w:p>
        </w:tc>
        <w:tc>
          <w:tcPr>
            <w:tcW w:w="0" w:type="auto"/>
            <w:shd w:val="clear" w:color="auto" w:fill="auto"/>
            <w:vAlign w:val="center"/>
          </w:tcPr>
          <w:p w14:paraId="17E6758F" w14:textId="77777777" w:rsidR="00470AE4" w:rsidRPr="00C63860" w:rsidRDefault="00470AE4" w:rsidP="00470AE4">
            <w:pPr>
              <w:contextualSpacing/>
              <w:jc w:val="center"/>
              <w:rPr>
                <w:rFonts w:eastAsia="DengXian"/>
                <w:b/>
                <w:bCs/>
                <w:lang w:eastAsia="zh-CN"/>
              </w:rPr>
            </w:pPr>
            <w:r w:rsidRPr="00C63860">
              <w:rPr>
                <w:rFonts w:eastAsia="DengXian"/>
                <w:b/>
                <w:bCs/>
                <w:lang w:eastAsia="zh-CN"/>
              </w:rPr>
              <w:t>NES</w:t>
            </w:r>
          </w:p>
          <w:p w14:paraId="7F38A3B2" w14:textId="77777777" w:rsidR="00470AE4" w:rsidRPr="00C63860" w:rsidRDefault="00470AE4" w:rsidP="00470AE4">
            <w:pPr>
              <w:jc w:val="center"/>
              <w:rPr>
                <w:rFonts w:cstheme="minorHAnsi"/>
                <w:b/>
                <w:bCs/>
                <w:i/>
              </w:rPr>
            </w:pPr>
            <w:r w:rsidRPr="00C63860">
              <w:rPr>
                <w:rFonts w:eastAsia="DengXian"/>
                <w:b/>
                <w:bCs/>
                <w:lang w:eastAsia="zh-CN"/>
              </w:rPr>
              <w:t>(N=20,638)</w:t>
            </w:r>
          </w:p>
        </w:tc>
        <w:tc>
          <w:tcPr>
            <w:tcW w:w="0" w:type="auto"/>
            <w:shd w:val="clear" w:color="auto" w:fill="auto"/>
          </w:tcPr>
          <w:p w14:paraId="3AECDF12" w14:textId="77777777" w:rsidR="00470AE4" w:rsidRPr="00C63860" w:rsidRDefault="00470AE4" w:rsidP="00470AE4">
            <w:pPr>
              <w:spacing w:before="100" w:beforeAutospacing="1" w:after="100" w:afterAutospacing="1"/>
              <w:contextualSpacing/>
              <w:jc w:val="center"/>
              <w:rPr>
                <w:rFonts w:cstheme="minorHAnsi"/>
                <w:b/>
              </w:rPr>
            </w:pPr>
            <w:r w:rsidRPr="00C63860">
              <w:rPr>
                <w:rFonts w:cstheme="minorHAnsi"/>
                <w:b/>
              </w:rPr>
              <w:t>ES</w:t>
            </w:r>
          </w:p>
          <w:p w14:paraId="2C3695AC" w14:textId="77777777" w:rsidR="00470AE4" w:rsidRPr="00C63860" w:rsidRDefault="00470AE4" w:rsidP="00470AE4">
            <w:pPr>
              <w:jc w:val="center"/>
              <w:rPr>
                <w:rFonts w:cstheme="minorHAnsi"/>
                <w:b/>
              </w:rPr>
            </w:pPr>
            <w:r w:rsidRPr="00C63860">
              <w:rPr>
                <w:rFonts w:cstheme="minorHAnsi"/>
                <w:b/>
              </w:rPr>
              <w:t>(N</w:t>
            </w:r>
            <w:r w:rsidRPr="00C63860">
              <w:rPr>
                <w:b/>
              </w:rPr>
              <w:t>=</w:t>
            </w:r>
            <w:r w:rsidRPr="00C63860">
              <w:rPr>
                <w:rFonts w:cstheme="minorHAnsi"/>
                <w:b/>
              </w:rPr>
              <w:t>52,004)</w:t>
            </w:r>
          </w:p>
        </w:tc>
        <w:tc>
          <w:tcPr>
            <w:tcW w:w="0" w:type="auto"/>
            <w:shd w:val="clear" w:color="auto" w:fill="auto"/>
          </w:tcPr>
          <w:p w14:paraId="4518C30C" w14:textId="77777777" w:rsidR="00470AE4" w:rsidRPr="00C63860" w:rsidRDefault="00470AE4" w:rsidP="00470AE4">
            <w:pPr>
              <w:spacing w:before="100" w:beforeAutospacing="1" w:after="100" w:afterAutospacing="1"/>
              <w:contextualSpacing/>
              <w:jc w:val="center"/>
              <w:rPr>
                <w:rFonts w:cstheme="minorHAnsi"/>
                <w:b/>
              </w:rPr>
            </w:pPr>
            <w:r w:rsidRPr="00C63860">
              <w:rPr>
                <w:rFonts w:cstheme="minorHAnsi"/>
                <w:b/>
              </w:rPr>
              <w:t>NES</w:t>
            </w:r>
          </w:p>
          <w:p w14:paraId="61FF7BD9" w14:textId="77777777" w:rsidR="00470AE4" w:rsidRPr="00C63860" w:rsidRDefault="00470AE4" w:rsidP="00470AE4">
            <w:pPr>
              <w:jc w:val="center"/>
              <w:rPr>
                <w:rFonts w:cstheme="minorHAnsi"/>
                <w:b/>
              </w:rPr>
            </w:pPr>
            <w:r w:rsidRPr="00C63860">
              <w:rPr>
                <w:rFonts w:cstheme="minorHAnsi"/>
                <w:b/>
              </w:rPr>
              <w:t>(N=188,973)</w:t>
            </w:r>
          </w:p>
        </w:tc>
        <w:tc>
          <w:tcPr>
            <w:tcW w:w="0" w:type="auto"/>
            <w:shd w:val="clear" w:color="auto" w:fill="auto"/>
            <w:vAlign w:val="center"/>
          </w:tcPr>
          <w:p w14:paraId="213F2187" w14:textId="77777777" w:rsidR="00470AE4" w:rsidRPr="00C63860" w:rsidRDefault="00470AE4" w:rsidP="00470AE4">
            <w:pPr>
              <w:contextualSpacing/>
              <w:jc w:val="center"/>
              <w:rPr>
                <w:rFonts w:eastAsia="DengXian"/>
                <w:b/>
                <w:bCs/>
                <w:lang w:eastAsia="zh-CN"/>
              </w:rPr>
            </w:pPr>
            <w:r w:rsidRPr="00C63860">
              <w:rPr>
                <w:rFonts w:eastAsia="DengXian"/>
                <w:b/>
                <w:bCs/>
                <w:lang w:eastAsia="zh-CN"/>
              </w:rPr>
              <w:t>ES</w:t>
            </w:r>
          </w:p>
          <w:p w14:paraId="0DF60EE3" w14:textId="77777777" w:rsidR="00470AE4" w:rsidRPr="00C63860" w:rsidRDefault="00470AE4" w:rsidP="00470AE4">
            <w:pPr>
              <w:jc w:val="center"/>
              <w:rPr>
                <w:rFonts w:cstheme="minorHAnsi"/>
                <w:b/>
              </w:rPr>
            </w:pPr>
            <w:r w:rsidRPr="00C63860">
              <w:rPr>
                <w:rFonts w:eastAsia="DengXian"/>
                <w:b/>
                <w:bCs/>
                <w:lang w:eastAsia="zh-CN"/>
              </w:rPr>
              <w:t>(N=15,772)</w:t>
            </w:r>
          </w:p>
        </w:tc>
        <w:tc>
          <w:tcPr>
            <w:tcW w:w="0" w:type="auto"/>
            <w:shd w:val="clear" w:color="auto" w:fill="auto"/>
            <w:vAlign w:val="center"/>
          </w:tcPr>
          <w:p w14:paraId="33A5E1F3" w14:textId="77777777" w:rsidR="00470AE4" w:rsidRPr="00C63860" w:rsidRDefault="00470AE4" w:rsidP="00470AE4">
            <w:pPr>
              <w:contextualSpacing/>
              <w:jc w:val="center"/>
              <w:rPr>
                <w:rFonts w:eastAsia="DengXian"/>
                <w:b/>
                <w:bCs/>
                <w:lang w:eastAsia="zh-CN"/>
              </w:rPr>
            </w:pPr>
            <w:r w:rsidRPr="00C63860">
              <w:rPr>
                <w:rFonts w:eastAsia="DengXian"/>
                <w:b/>
                <w:bCs/>
                <w:lang w:eastAsia="zh-CN"/>
              </w:rPr>
              <w:t>NES</w:t>
            </w:r>
          </w:p>
          <w:p w14:paraId="7DD9E5B0" w14:textId="77777777" w:rsidR="00470AE4" w:rsidRPr="00C63860" w:rsidRDefault="00470AE4" w:rsidP="00470AE4">
            <w:pPr>
              <w:jc w:val="center"/>
              <w:rPr>
                <w:rFonts w:cstheme="minorHAnsi"/>
                <w:b/>
              </w:rPr>
            </w:pPr>
            <w:r w:rsidRPr="00C63860">
              <w:rPr>
                <w:rFonts w:eastAsia="DengXian"/>
                <w:b/>
                <w:bCs/>
                <w:lang w:eastAsia="zh-CN"/>
              </w:rPr>
              <w:t>(N=123,097)</w:t>
            </w:r>
          </w:p>
        </w:tc>
        <w:tc>
          <w:tcPr>
            <w:tcW w:w="0" w:type="auto"/>
            <w:shd w:val="clear" w:color="auto" w:fill="auto"/>
          </w:tcPr>
          <w:p w14:paraId="343A255B" w14:textId="77777777" w:rsidR="00C63860" w:rsidRPr="00C63860" w:rsidRDefault="00470AE4" w:rsidP="00470AE4">
            <w:pPr>
              <w:spacing w:before="100" w:beforeAutospacing="1" w:after="100" w:afterAutospacing="1"/>
              <w:contextualSpacing/>
              <w:jc w:val="center"/>
              <w:rPr>
                <w:rFonts w:cstheme="minorHAnsi"/>
                <w:b/>
              </w:rPr>
            </w:pPr>
            <w:r w:rsidRPr="00C63860">
              <w:rPr>
                <w:rFonts w:cstheme="minorHAnsi"/>
                <w:b/>
              </w:rPr>
              <w:t>ES</w:t>
            </w:r>
          </w:p>
          <w:p w14:paraId="5B892F72" w14:textId="3AE31219" w:rsidR="00470AE4" w:rsidRPr="00C63860" w:rsidRDefault="00470AE4" w:rsidP="00470AE4">
            <w:pPr>
              <w:jc w:val="center"/>
              <w:rPr>
                <w:rFonts w:cstheme="minorHAnsi"/>
                <w:b/>
              </w:rPr>
            </w:pPr>
            <w:r w:rsidRPr="00C63860">
              <w:rPr>
                <w:rFonts w:cstheme="minorHAnsi"/>
                <w:b/>
              </w:rPr>
              <w:t>(N=62,559)</w:t>
            </w:r>
          </w:p>
        </w:tc>
        <w:tc>
          <w:tcPr>
            <w:tcW w:w="0" w:type="auto"/>
            <w:shd w:val="clear" w:color="auto" w:fill="auto"/>
          </w:tcPr>
          <w:p w14:paraId="6D4535AE" w14:textId="77777777" w:rsidR="00C63860" w:rsidRPr="00C63860" w:rsidRDefault="00470AE4" w:rsidP="00470AE4">
            <w:pPr>
              <w:spacing w:before="100" w:beforeAutospacing="1" w:after="100" w:afterAutospacing="1"/>
              <w:contextualSpacing/>
              <w:jc w:val="center"/>
              <w:rPr>
                <w:rFonts w:cstheme="minorHAnsi"/>
                <w:b/>
              </w:rPr>
            </w:pPr>
            <w:r w:rsidRPr="00C63860">
              <w:rPr>
                <w:rFonts w:cstheme="minorHAnsi"/>
                <w:b/>
              </w:rPr>
              <w:t>NES</w:t>
            </w:r>
          </w:p>
          <w:p w14:paraId="1E8E6124" w14:textId="35B7F52B" w:rsidR="00470AE4" w:rsidRPr="00C63860" w:rsidRDefault="00470AE4" w:rsidP="00470AE4">
            <w:pPr>
              <w:jc w:val="center"/>
              <w:rPr>
                <w:rFonts w:cstheme="minorHAnsi"/>
                <w:b/>
              </w:rPr>
            </w:pPr>
            <w:r w:rsidRPr="00C63860">
              <w:rPr>
                <w:rFonts w:cstheme="minorHAnsi"/>
                <w:b/>
              </w:rPr>
              <w:t>(N=43,873)</w:t>
            </w:r>
          </w:p>
        </w:tc>
        <w:tc>
          <w:tcPr>
            <w:tcW w:w="0" w:type="auto"/>
            <w:shd w:val="clear" w:color="auto" w:fill="auto"/>
          </w:tcPr>
          <w:p w14:paraId="57315E05" w14:textId="77777777" w:rsidR="00470AE4" w:rsidRPr="00C63860" w:rsidRDefault="00470AE4" w:rsidP="00470AE4">
            <w:pPr>
              <w:spacing w:before="100" w:beforeAutospacing="1" w:after="100" w:afterAutospacing="1"/>
              <w:contextualSpacing/>
              <w:jc w:val="center"/>
              <w:rPr>
                <w:rFonts w:cstheme="minorHAnsi"/>
                <w:b/>
              </w:rPr>
            </w:pPr>
            <w:r w:rsidRPr="00C63860">
              <w:rPr>
                <w:rFonts w:cstheme="minorHAnsi"/>
                <w:b/>
              </w:rPr>
              <w:t>ES</w:t>
            </w:r>
          </w:p>
          <w:p w14:paraId="1BF0CBA5" w14:textId="77777777" w:rsidR="00470AE4" w:rsidRPr="00C63860" w:rsidRDefault="00470AE4" w:rsidP="00470AE4">
            <w:pPr>
              <w:jc w:val="center"/>
              <w:rPr>
                <w:rFonts w:cstheme="minorHAnsi"/>
                <w:b/>
              </w:rPr>
            </w:pPr>
            <w:r w:rsidRPr="00C63860">
              <w:rPr>
                <w:rFonts w:cstheme="minorHAnsi"/>
                <w:b/>
              </w:rPr>
              <w:t>(N=40,550)</w:t>
            </w:r>
          </w:p>
        </w:tc>
        <w:tc>
          <w:tcPr>
            <w:tcW w:w="0" w:type="auto"/>
            <w:shd w:val="clear" w:color="auto" w:fill="auto"/>
          </w:tcPr>
          <w:p w14:paraId="7FC14D02" w14:textId="77777777" w:rsidR="00470AE4" w:rsidRPr="00C63860" w:rsidRDefault="00470AE4" w:rsidP="00470AE4">
            <w:pPr>
              <w:spacing w:before="100" w:beforeAutospacing="1" w:after="100" w:afterAutospacing="1"/>
              <w:contextualSpacing/>
              <w:jc w:val="center"/>
              <w:rPr>
                <w:rFonts w:cstheme="minorHAnsi"/>
                <w:b/>
              </w:rPr>
            </w:pPr>
            <w:r w:rsidRPr="00C63860">
              <w:rPr>
                <w:rFonts w:cstheme="minorHAnsi"/>
                <w:b/>
              </w:rPr>
              <w:t>NES</w:t>
            </w:r>
          </w:p>
          <w:p w14:paraId="35B43E4A" w14:textId="77777777" w:rsidR="00470AE4" w:rsidRPr="00C63860" w:rsidRDefault="00470AE4" w:rsidP="00470AE4">
            <w:pPr>
              <w:jc w:val="center"/>
              <w:rPr>
                <w:rFonts w:cstheme="minorHAnsi"/>
                <w:b/>
              </w:rPr>
            </w:pPr>
            <w:r w:rsidRPr="00C63860">
              <w:rPr>
                <w:rFonts w:cstheme="minorHAnsi"/>
                <w:b/>
              </w:rPr>
              <w:t>(N=92,523)</w:t>
            </w:r>
          </w:p>
        </w:tc>
      </w:tr>
      <w:tr w:rsidR="00470AE4" w:rsidRPr="00C63860" w14:paraId="35146370" w14:textId="77777777" w:rsidTr="00C63860">
        <w:trPr>
          <w:cantSplit/>
        </w:trPr>
        <w:tc>
          <w:tcPr>
            <w:tcW w:w="0" w:type="auto"/>
            <w:shd w:val="clear" w:color="auto" w:fill="auto"/>
            <w:vAlign w:val="center"/>
          </w:tcPr>
          <w:p w14:paraId="7A86D9C3" w14:textId="77777777" w:rsidR="00470AE4" w:rsidRPr="00C63860" w:rsidRDefault="00470AE4" w:rsidP="00470AE4">
            <w:pPr>
              <w:rPr>
                <w:rFonts w:cstheme="minorHAnsi"/>
                <w:i/>
                <w:iCs/>
                <w:vertAlign w:val="superscript"/>
              </w:rPr>
            </w:pPr>
            <w:r w:rsidRPr="00C63860">
              <w:rPr>
                <w:rFonts w:cstheme="minorHAnsi"/>
                <w:i/>
                <w:iCs/>
              </w:rPr>
              <w:t>Index admission</w:t>
            </w:r>
          </w:p>
        </w:tc>
        <w:tc>
          <w:tcPr>
            <w:tcW w:w="0" w:type="auto"/>
            <w:shd w:val="clear" w:color="auto" w:fill="auto"/>
            <w:vAlign w:val="center"/>
          </w:tcPr>
          <w:p w14:paraId="225CFE76" w14:textId="77777777" w:rsidR="00470AE4" w:rsidRPr="00C63860" w:rsidRDefault="00470AE4" w:rsidP="00470AE4">
            <w:pPr>
              <w:jc w:val="center"/>
              <w:rPr>
                <w:rFonts w:cstheme="minorHAnsi"/>
                <w:i/>
                <w:iCs/>
              </w:rPr>
            </w:pPr>
          </w:p>
        </w:tc>
        <w:tc>
          <w:tcPr>
            <w:tcW w:w="0" w:type="auto"/>
            <w:shd w:val="clear" w:color="auto" w:fill="auto"/>
            <w:vAlign w:val="center"/>
          </w:tcPr>
          <w:p w14:paraId="649AA8A4" w14:textId="77777777" w:rsidR="00470AE4" w:rsidRPr="00C63860" w:rsidRDefault="00470AE4" w:rsidP="00470AE4">
            <w:pPr>
              <w:jc w:val="center"/>
              <w:rPr>
                <w:rFonts w:cstheme="minorHAnsi"/>
                <w:i/>
                <w:iCs/>
              </w:rPr>
            </w:pPr>
          </w:p>
        </w:tc>
        <w:tc>
          <w:tcPr>
            <w:tcW w:w="0" w:type="auto"/>
            <w:shd w:val="clear" w:color="auto" w:fill="auto"/>
            <w:vAlign w:val="center"/>
          </w:tcPr>
          <w:p w14:paraId="1C448920" w14:textId="77777777" w:rsidR="00470AE4" w:rsidRPr="00C63860" w:rsidRDefault="00470AE4" w:rsidP="00470AE4">
            <w:pPr>
              <w:jc w:val="center"/>
              <w:rPr>
                <w:rFonts w:cstheme="minorHAnsi"/>
                <w:i/>
                <w:iCs/>
              </w:rPr>
            </w:pPr>
          </w:p>
        </w:tc>
        <w:tc>
          <w:tcPr>
            <w:tcW w:w="0" w:type="auto"/>
            <w:shd w:val="clear" w:color="auto" w:fill="auto"/>
            <w:vAlign w:val="center"/>
          </w:tcPr>
          <w:p w14:paraId="0C4D5989" w14:textId="77777777" w:rsidR="00470AE4" w:rsidRPr="00C63860" w:rsidRDefault="00470AE4" w:rsidP="00470AE4">
            <w:pPr>
              <w:jc w:val="center"/>
              <w:rPr>
                <w:rFonts w:cstheme="minorHAnsi"/>
                <w:i/>
                <w:iCs/>
              </w:rPr>
            </w:pPr>
          </w:p>
        </w:tc>
        <w:tc>
          <w:tcPr>
            <w:tcW w:w="0" w:type="auto"/>
            <w:shd w:val="clear" w:color="auto" w:fill="auto"/>
            <w:vAlign w:val="center"/>
          </w:tcPr>
          <w:p w14:paraId="0E708622" w14:textId="77777777" w:rsidR="00470AE4" w:rsidRPr="00C63860" w:rsidRDefault="00470AE4" w:rsidP="00470AE4">
            <w:pPr>
              <w:jc w:val="center"/>
              <w:rPr>
                <w:rFonts w:cstheme="minorHAnsi"/>
                <w:i/>
                <w:iCs/>
              </w:rPr>
            </w:pPr>
          </w:p>
        </w:tc>
        <w:tc>
          <w:tcPr>
            <w:tcW w:w="0" w:type="auto"/>
            <w:shd w:val="clear" w:color="auto" w:fill="auto"/>
            <w:vAlign w:val="center"/>
          </w:tcPr>
          <w:p w14:paraId="0DD68405" w14:textId="77777777" w:rsidR="00470AE4" w:rsidRPr="00C63860" w:rsidRDefault="00470AE4" w:rsidP="00470AE4">
            <w:pPr>
              <w:jc w:val="center"/>
              <w:rPr>
                <w:rFonts w:cstheme="minorHAnsi"/>
                <w:i/>
                <w:iCs/>
              </w:rPr>
            </w:pPr>
          </w:p>
        </w:tc>
        <w:tc>
          <w:tcPr>
            <w:tcW w:w="0" w:type="auto"/>
            <w:shd w:val="clear" w:color="auto" w:fill="auto"/>
            <w:vAlign w:val="center"/>
          </w:tcPr>
          <w:p w14:paraId="79937A19" w14:textId="77777777" w:rsidR="00470AE4" w:rsidRPr="00C63860" w:rsidRDefault="00470AE4" w:rsidP="00470AE4">
            <w:pPr>
              <w:jc w:val="center"/>
              <w:rPr>
                <w:rFonts w:cstheme="minorHAnsi"/>
                <w:i/>
                <w:iCs/>
              </w:rPr>
            </w:pPr>
          </w:p>
        </w:tc>
        <w:tc>
          <w:tcPr>
            <w:tcW w:w="0" w:type="auto"/>
            <w:shd w:val="clear" w:color="auto" w:fill="auto"/>
            <w:vAlign w:val="center"/>
          </w:tcPr>
          <w:p w14:paraId="29BFF975" w14:textId="77777777" w:rsidR="00470AE4" w:rsidRPr="00C63860" w:rsidRDefault="00470AE4" w:rsidP="00470AE4">
            <w:pPr>
              <w:jc w:val="center"/>
              <w:rPr>
                <w:rFonts w:cstheme="minorHAnsi"/>
                <w:i/>
                <w:iCs/>
              </w:rPr>
            </w:pPr>
          </w:p>
        </w:tc>
        <w:tc>
          <w:tcPr>
            <w:tcW w:w="0" w:type="auto"/>
            <w:shd w:val="clear" w:color="auto" w:fill="auto"/>
            <w:vAlign w:val="center"/>
          </w:tcPr>
          <w:p w14:paraId="44D1D864" w14:textId="77777777" w:rsidR="00470AE4" w:rsidRPr="00C63860" w:rsidRDefault="00470AE4" w:rsidP="00470AE4">
            <w:pPr>
              <w:jc w:val="center"/>
              <w:rPr>
                <w:rFonts w:cstheme="minorHAnsi"/>
                <w:i/>
                <w:iCs/>
              </w:rPr>
            </w:pPr>
          </w:p>
        </w:tc>
        <w:tc>
          <w:tcPr>
            <w:tcW w:w="0" w:type="auto"/>
            <w:shd w:val="clear" w:color="auto" w:fill="auto"/>
            <w:vAlign w:val="center"/>
          </w:tcPr>
          <w:p w14:paraId="41675AD5" w14:textId="77777777" w:rsidR="00470AE4" w:rsidRPr="00C63860" w:rsidRDefault="00470AE4" w:rsidP="00470AE4">
            <w:pPr>
              <w:jc w:val="center"/>
              <w:rPr>
                <w:rFonts w:cstheme="minorHAnsi"/>
                <w:i/>
                <w:iCs/>
              </w:rPr>
            </w:pPr>
          </w:p>
        </w:tc>
      </w:tr>
      <w:tr w:rsidR="00470AE4" w:rsidRPr="00C63860" w14:paraId="1368238F" w14:textId="77777777" w:rsidTr="00C63860">
        <w:trPr>
          <w:cantSplit/>
        </w:trPr>
        <w:tc>
          <w:tcPr>
            <w:tcW w:w="0" w:type="auto"/>
            <w:shd w:val="clear" w:color="auto" w:fill="auto"/>
            <w:vAlign w:val="center"/>
          </w:tcPr>
          <w:p w14:paraId="6A379328" w14:textId="692AA206" w:rsidR="00470AE4" w:rsidRPr="00C63860" w:rsidRDefault="00C63860" w:rsidP="00470AE4">
            <w:pPr>
              <w:rPr>
                <w:rFonts w:cstheme="minorHAnsi"/>
              </w:rPr>
            </w:pPr>
            <w:r w:rsidRPr="00C63860">
              <w:rPr>
                <w:rFonts w:cstheme="minorHAnsi"/>
                <w:color w:val="00B0F0"/>
              </w:rPr>
              <w:t>‘</w:t>
            </w:r>
            <w:r w:rsidR="006F6056" w:rsidRPr="00C63860">
              <w:rPr>
                <w:rFonts w:cstheme="minorHAnsi"/>
              </w:rPr>
              <w:t>More common</w:t>
            </w:r>
            <w:r w:rsidRPr="00C63860">
              <w:rPr>
                <w:rFonts w:cstheme="minorHAnsi"/>
                <w:color w:val="00B0F0"/>
              </w:rPr>
              <w:t>’</w:t>
            </w:r>
            <w:r w:rsidR="00470AE4" w:rsidRPr="00C63860">
              <w:rPr>
                <w:rFonts w:cstheme="minorHAnsi"/>
              </w:rPr>
              <w:t xml:space="preserve"> operative procedure</w:t>
            </w:r>
            <w:r w:rsidR="00470AE4" w:rsidRPr="00C63860">
              <w:rPr>
                <w:rFonts w:cstheme="minorHAnsi"/>
                <w:vertAlign w:val="superscript"/>
              </w:rPr>
              <w:t>a</w:t>
            </w:r>
            <w:r w:rsidR="00470AE4" w:rsidRPr="00C63860">
              <w:rPr>
                <w:rFonts w:cstheme="minorHAnsi"/>
              </w:rPr>
              <w:t xml:space="preserve">: </w:t>
            </w:r>
            <w:r w:rsidR="00470AE4" w:rsidRPr="00C63860">
              <w:rPr>
                <w:rFonts w:cstheme="minorHAnsi"/>
                <w:i/>
                <w:color w:val="00B0F0"/>
              </w:rPr>
              <w:t>n</w:t>
            </w:r>
            <w:r w:rsidR="00470AE4" w:rsidRPr="00C63860">
              <w:rPr>
                <w:rFonts w:cstheme="minorHAnsi"/>
              </w:rPr>
              <w:t xml:space="preserve"> (%)</w:t>
            </w:r>
          </w:p>
        </w:tc>
        <w:tc>
          <w:tcPr>
            <w:tcW w:w="0" w:type="auto"/>
            <w:shd w:val="clear" w:color="auto" w:fill="auto"/>
            <w:vAlign w:val="center"/>
          </w:tcPr>
          <w:p w14:paraId="71154CB4" w14:textId="77777777" w:rsidR="00470AE4" w:rsidRPr="00C63860" w:rsidRDefault="00470AE4" w:rsidP="00470AE4">
            <w:pPr>
              <w:jc w:val="center"/>
              <w:rPr>
                <w:rFonts w:cstheme="minorHAnsi"/>
              </w:rPr>
            </w:pPr>
            <w:r w:rsidRPr="00C63860">
              <w:rPr>
                <w:rFonts w:cstheme="minorHAnsi"/>
              </w:rPr>
              <w:t>244,782 (98.9%)</w:t>
            </w:r>
          </w:p>
        </w:tc>
        <w:tc>
          <w:tcPr>
            <w:tcW w:w="0" w:type="auto"/>
            <w:shd w:val="clear" w:color="auto" w:fill="auto"/>
            <w:vAlign w:val="center"/>
          </w:tcPr>
          <w:p w14:paraId="592C9A2A" w14:textId="77777777" w:rsidR="00470AE4" w:rsidRPr="00C63860" w:rsidRDefault="00470AE4" w:rsidP="00470AE4">
            <w:pPr>
              <w:jc w:val="center"/>
              <w:rPr>
                <w:rFonts w:cstheme="minorHAnsi"/>
              </w:rPr>
            </w:pPr>
            <w:r w:rsidRPr="00C63860">
              <w:rPr>
                <w:rFonts w:cstheme="minorHAnsi"/>
              </w:rPr>
              <w:t>3,650 (17.7%)</w:t>
            </w:r>
          </w:p>
        </w:tc>
        <w:tc>
          <w:tcPr>
            <w:tcW w:w="0" w:type="auto"/>
            <w:shd w:val="clear" w:color="auto" w:fill="auto"/>
            <w:vAlign w:val="center"/>
          </w:tcPr>
          <w:p w14:paraId="1F231201" w14:textId="77777777" w:rsidR="00470AE4" w:rsidRPr="00C63860" w:rsidRDefault="00470AE4" w:rsidP="00470AE4">
            <w:pPr>
              <w:jc w:val="center"/>
              <w:rPr>
                <w:rFonts w:cstheme="minorHAnsi"/>
              </w:rPr>
            </w:pPr>
            <w:r w:rsidRPr="00C63860">
              <w:rPr>
                <w:rFonts w:cstheme="minorHAnsi"/>
              </w:rPr>
              <w:t>47,798 (91.9%)</w:t>
            </w:r>
          </w:p>
        </w:tc>
        <w:tc>
          <w:tcPr>
            <w:tcW w:w="0" w:type="auto"/>
            <w:shd w:val="clear" w:color="auto" w:fill="auto"/>
            <w:vAlign w:val="center"/>
          </w:tcPr>
          <w:p w14:paraId="1F76748D" w14:textId="77777777" w:rsidR="00470AE4" w:rsidRPr="00C63860" w:rsidRDefault="00470AE4" w:rsidP="00470AE4">
            <w:pPr>
              <w:jc w:val="center"/>
              <w:rPr>
                <w:rFonts w:cstheme="minorHAnsi"/>
              </w:rPr>
            </w:pPr>
            <w:r w:rsidRPr="00C63860">
              <w:rPr>
                <w:rFonts w:cstheme="minorHAnsi"/>
              </w:rPr>
              <w:t>12,651 (6.7%)</w:t>
            </w:r>
          </w:p>
        </w:tc>
        <w:tc>
          <w:tcPr>
            <w:tcW w:w="0" w:type="auto"/>
            <w:shd w:val="clear" w:color="auto" w:fill="auto"/>
            <w:vAlign w:val="center"/>
          </w:tcPr>
          <w:p w14:paraId="1E6203F1" w14:textId="77777777" w:rsidR="00470AE4" w:rsidRPr="00C63860" w:rsidRDefault="00470AE4" w:rsidP="00470AE4">
            <w:pPr>
              <w:jc w:val="center"/>
              <w:rPr>
                <w:rFonts w:cstheme="minorHAnsi"/>
              </w:rPr>
            </w:pPr>
            <w:r w:rsidRPr="00C63860">
              <w:rPr>
                <w:rFonts w:cstheme="minorHAnsi"/>
              </w:rPr>
              <w:t>14,097 (89.4%)</w:t>
            </w:r>
          </w:p>
        </w:tc>
        <w:tc>
          <w:tcPr>
            <w:tcW w:w="0" w:type="auto"/>
            <w:shd w:val="clear" w:color="auto" w:fill="auto"/>
            <w:vAlign w:val="center"/>
          </w:tcPr>
          <w:p w14:paraId="313DE94D" w14:textId="77777777" w:rsidR="00470AE4" w:rsidRPr="00C63860" w:rsidRDefault="00470AE4" w:rsidP="00470AE4">
            <w:pPr>
              <w:jc w:val="center"/>
              <w:rPr>
                <w:rFonts w:cstheme="minorHAnsi"/>
              </w:rPr>
            </w:pPr>
            <w:r w:rsidRPr="00C63860">
              <w:rPr>
                <w:rFonts w:cstheme="minorHAnsi"/>
              </w:rPr>
              <w:t>406</w:t>
            </w:r>
          </w:p>
          <w:p w14:paraId="2F2C0405" w14:textId="77777777" w:rsidR="00470AE4" w:rsidRPr="00C63860" w:rsidRDefault="00470AE4" w:rsidP="00470AE4">
            <w:pPr>
              <w:jc w:val="center"/>
              <w:rPr>
                <w:rFonts w:cstheme="minorHAnsi"/>
              </w:rPr>
            </w:pPr>
            <w:r w:rsidRPr="00C63860">
              <w:rPr>
                <w:rFonts w:cstheme="minorHAnsi"/>
              </w:rPr>
              <w:t>(0.3%)</w:t>
            </w:r>
          </w:p>
        </w:tc>
        <w:tc>
          <w:tcPr>
            <w:tcW w:w="0" w:type="auto"/>
            <w:shd w:val="clear" w:color="auto" w:fill="auto"/>
            <w:vAlign w:val="center"/>
          </w:tcPr>
          <w:p w14:paraId="46A2ED83" w14:textId="77777777" w:rsidR="00470AE4" w:rsidRPr="00C63860" w:rsidRDefault="00470AE4" w:rsidP="00470AE4">
            <w:pPr>
              <w:jc w:val="center"/>
              <w:rPr>
                <w:rFonts w:cstheme="minorHAnsi"/>
              </w:rPr>
            </w:pPr>
            <w:r w:rsidRPr="00C63860">
              <w:rPr>
                <w:rFonts w:cstheme="minorHAnsi"/>
              </w:rPr>
              <w:t>58,662 (93.8%)</w:t>
            </w:r>
          </w:p>
        </w:tc>
        <w:tc>
          <w:tcPr>
            <w:tcW w:w="0" w:type="auto"/>
            <w:shd w:val="clear" w:color="auto" w:fill="auto"/>
            <w:vAlign w:val="center"/>
          </w:tcPr>
          <w:p w14:paraId="737E8F2E" w14:textId="77777777" w:rsidR="00470AE4" w:rsidRPr="00C63860" w:rsidRDefault="00470AE4" w:rsidP="00470AE4">
            <w:pPr>
              <w:jc w:val="center"/>
              <w:rPr>
                <w:rFonts w:cstheme="minorHAnsi"/>
              </w:rPr>
            </w:pPr>
            <w:r w:rsidRPr="00C63860">
              <w:rPr>
                <w:rFonts w:cstheme="minorHAnsi"/>
              </w:rPr>
              <w:t>2,133 (4.9%)</w:t>
            </w:r>
          </w:p>
        </w:tc>
        <w:tc>
          <w:tcPr>
            <w:tcW w:w="0" w:type="auto"/>
            <w:shd w:val="clear" w:color="auto" w:fill="auto"/>
            <w:vAlign w:val="center"/>
          </w:tcPr>
          <w:p w14:paraId="5947DAAF" w14:textId="77777777" w:rsidR="00470AE4" w:rsidRPr="00C63860" w:rsidRDefault="00470AE4" w:rsidP="00470AE4">
            <w:pPr>
              <w:jc w:val="center"/>
              <w:rPr>
                <w:rFonts w:cstheme="minorHAnsi"/>
              </w:rPr>
            </w:pPr>
            <w:r w:rsidRPr="00C63860">
              <w:rPr>
                <w:rFonts w:cstheme="minorHAnsi"/>
              </w:rPr>
              <w:t>36,846 (90.9%)</w:t>
            </w:r>
          </w:p>
        </w:tc>
        <w:tc>
          <w:tcPr>
            <w:tcW w:w="0" w:type="auto"/>
            <w:shd w:val="clear" w:color="auto" w:fill="auto"/>
            <w:vAlign w:val="center"/>
          </w:tcPr>
          <w:p w14:paraId="349D58E5" w14:textId="77777777" w:rsidR="00470AE4" w:rsidRPr="00C63860" w:rsidRDefault="00470AE4" w:rsidP="00470AE4">
            <w:pPr>
              <w:jc w:val="center"/>
              <w:rPr>
                <w:rFonts w:cstheme="minorHAnsi"/>
              </w:rPr>
            </w:pPr>
            <w:r w:rsidRPr="00C63860">
              <w:rPr>
                <w:rFonts w:cstheme="minorHAnsi"/>
              </w:rPr>
              <w:t>4,209 (4.6%)</w:t>
            </w:r>
          </w:p>
        </w:tc>
      </w:tr>
      <w:tr w:rsidR="00470AE4" w:rsidRPr="00C63860" w14:paraId="2C4E0F7C" w14:textId="77777777" w:rsidTr="00C63860">
        <w:trPr>
          <w:cantSplit/>
        </w:trPr>
        <w:tc>
          <w:tcPr>
            <w:tcW w:w="0" w:type="auto"/>
            <w:shd w:val="clear" w:color="auto" w:fill="auto"/>
            <w:vAlign w:val="center"/>
          </w:tcPr>
          <w:p w14:paraId="1D28DAAD" w14:textId="77777777" w:rsidR="00470AE4" w:rsidRPr="00C63860" w:rsidRDefault="00470AE4" w:rsidP="00470AE4">
            <w:pPr>
              <w:rPr>
                <w:rFonts w:cstheme="minorHAnsi"/>
              </w:rPr>
            </w:pPr>
            <w:r w:rsidRPr="00C63860">
              <w:rPr>
                <w:rFonts w:cstheme="minorHAnsi"/>
              </w:rPr>
              <w:t xml:space="preserve">Critical care: </w:t>
            </w:r>
            <w:r w:rsidRPr="00C63860">
              <w:rPr>
                <w:rFonts w:cstheme="minorHAnsi"/>
                <w:i/>
                <w:color w:val="00B0F0"/>
              </w:rPr>
              <w:t>n</w:t>
            </w:r>
            <w:r w:rsidRPr="00C63860">
              <w:rPr>
                <w:rFonts w:cstheme="minorHAnsi"/>
              </w:rPr>
              <w:t xml:space="preserve"> (%)</w:t>
            </w:r>
          </w:p>
        </w:tc>
        <w:tc>
          <w:tcPr>
            <w:tcW w:w="0" w:type="auto"/>
            <w:shd w:val="clear" w:color="auto" w:fill="auto"/>
            <w:vAlign w:val="center"/>
          </w:tcPr>
          <w:p w14:paraId="4359DB64" w14:textId="77777777" w:rsidR="00470AE4" w:rsidRPr="00C63860" w:rsidRDefault="00470AE4" w:rsidP="00470AE4">
            <w:pPr>
              <w:jc w:val="center"/>
              <w:rPr>
                <w:rFonts w:cstheme="minorHAnsi"/>
              </w:rPr>
            </w:pPr>
            <w:r w:rsidRPr="00C63860">
              <w:rPr>
                <w:rFonts w:cstheme="minorHAnsi"/>
              </w:rPr>
              <w:t>5,249 (2.1%)</w:t>
            </w:r>
          </w:p>
        </w:tc>
        <w:tc>
          <w:tcPr>
            <w:tcW w:w="0" w:type="auto"/>
            <w:shd w:val="clear" w:color="auto" w:fill="auto"/>
            <w:vAlign w:val="center"/>
          </w:tcPr>
          <w:p w14:paraId="69425C2C" w14:textId="77777777" w:rsidR="00470AE4" w:rsidRPr="00C63860" w:rsidRDefault="00470AE4" w:rsidP="00470AE4">
            <w:pPr>
              <w:jc w:val="center"/>
              <w:rPr>
                <w:rFonts w:cstheme="minorHAnsi"/>
              </w:rPr>
            </w:pPr>
            <w:r w:rsidRPr="00C63860">
              <w:rPr>
                <w:rFonts w:cstheme="minorHAnsi"/>
              </w:rPr>
              <w:t>215</w:t>
            </w:r>
          </w:p>
          <w:p w14:paraId="31D703D0" w14:textId="77777777" w:rsidR="00470AE4" w:rsidRPr="00C63860" w:rsidRDefault="00470AE4" w:rsidP="00470AE4">
            <w:pPr>
              <w:jc w:val="center"/>
              <w:rPr>
                <w:rFonts w:cstheme="minorHAnsi"/>
              </w:rPr>
            </w:pPr>
            <w:r w:rsidRPr="00C63860">
              <w:rPr>
                <w:rFonts w:cstheme="minorHAnsi"/>
              </w:rPr>
              <w:t>(1.0%)</w:t>
            </w:r>
          </w:p>
        </w:tc>
        <w:tc>
          <w:tcPr>
            <w:tcW w:w="0" w:type="auto"/>
            <w:shd w:val="clear" w:color="auto" w:fill="auto"/>
            <w:vAlign w:val="center"/>
          </w:tcPr>
          <w:p w14:paraId="20BA17C2" w14:textId="77777777" w:rsidR="00470AE4" w:rsidRPr="00C63860" w:rsidRDefault="00470AE4" w:rsidP="00470AE4">
            <w:pPr>
              <w:jc w:val="center"/>
              <w:rPr>
                <w:rFonts w:cstheme="minorHAnsi"/>
              </w:rPr>
            </w:pPr>
            <w:r w:rsidRPr="00C63860">
              <w:rPr>
                <w:rFonts w:cstheme="minorHAnsi"/>
              </w:rPr>
              <w:t>1,827</w:t>
            </w:r>
          </w:p>
          <w:p w14:paraId="1E2E351C" w14:textId="77777777" w:rsidR="00470AE4" w:rsidRPr="00C63860" w:rsidRDefault="00470AE4" w:rsidP="00470AE4">
            <w:pPr>
              <w:jc w:val="center"/>
              <w:rPr>
                <w:rFonts w:cstheme="minorHAnsi"/>
              </w:rPr>
            </w:pPr>
            <w:r w:rsidRPr="00C63860">
              <w:rPr>
                <w:rFonts w:cstheme="minorHAnsi"/>
              </w:rPr>
              <w:t>(3.5%)</w:t>
            </w:r>
          </w:p>
        </w:tc>
        <w:tc>
          <w:tcPr>
            <w:tcW w:w="0" w:type="auto"/>
            <w:shd w:val="clear" w:color="auto" w:fill="auto"/>
            <w:vAlign w:val="center"/>
          </w:tcPr>
          <w:p w14:paraId="6DB83F85" w14:textId="77777777" w:rsidR="00470AE4" w:rsidRPr="00C63860" w:rsidRDefault="00470AE4" w:rsidP="00470AE4">
            <w:pPr>
              <w:jc w:val="center"/>
              <w:rPr>
                <w:rFonts w:cstheme="minorHAnsi"/>
              </w:rPr>
            </w:pPr>
            <w:r w:rsidRPr="00C63860">
              <w:rPr>
                <w:rFonts w:cstheme="minorHAnsi"/>
              </w:rPr>
              <w:t>1,410</w:t>
            </w:r>
          </w:p>
          <w:p w14:paraId="5069D50A" w14:textId="77777777" w:rsidR="00470AE4" w:rsidRPr="00C63860" w:rsidRDefault="00470AE4" w:rsidP="00470AE4">
            <w:pPr>
              <w:jc w:val="center"/>
              <w:rPr>
                <w:rFonts w:cstheme="minorHAnsi"/>
              </w:rPr>
            </w:pPr>
            <w:r w:rsidRPr="00C63860">
              <w:rPr>
                <w:rFonts w:cstheme="minorHAnsi"/>
              </w:rPr>
              <w:t>(0.8%)</w:t>
            </w:r>
          </w:p>
        </w:tc>
        <w:tc>
          <w:tcPr>
            <w:tcW w:w="0" w:type="auto"/>
            <w:shd w:val="clear" w:color="auto" w:fill="auto"/>
            <w:vAlign w:val="center"/>
          </w:tcPr>
          <w:p w14:paraId="071EC710" w14:textId="77777777" w:rsidR="00470AE4" w:rsidRPr="00C63860" w:rsidRDefault="00470AE4" w:rsidP="00470AE4">
            <w:pPr>
              <w:jc w:val="center"/>
              <w:rPr>
                <w:rFonts w:cstheme="minorHAnsi"/>
              </w:rPr>
            </w:pPr>
            <w:r w:rsidRPr="00C63860">
              <w:rPr>
                <w:rFonts w:cstheme="minorHAnsi"/>
              </w:rPr>
              <w:t>8,543</w:t>
            </w:r>
          </w:p>
          <w:p w14:paraId="42C76FE7" w14:textId="77777777" w:rsidR="00470AE4" w:rsidRPr="00C63860" w:rsidRDefault="00470AE4" w:rsidP="00470AE4">
            <w:pPr>
              <w:jc w:val="center"/>
              <w:rPr>
                <w:rFonts w:cstheme="minorHAnsi"/>
              </w:rPr>
            </w:pPr>
            <w:r w:rsidRPr="00C63860">
              <w:rPr>
                <w:rFonts w:cstheme="minorHAnsi"/>
              </w:rPr>
              <w:t>(54.2%)</w:t>
            </w:r>
          </w:p>
        </w:tc>
        <w:tc>
          <w:tcPr>
            <w:tcW w:w="0" w:type="auto"/>
            <w:shd w:val="clear" w:color="auto" w:fill="auto"/>
            <w:vAlign w:val="center"/>
          </w:tcPr>
          <w:p w14:paraId="781CC882" w14:textId="77777777" w:rsidR="00470AE4" w:rsidRPr="00C63860" w:rsidRDefault="00470AE4" w:rsidP="00470AE4">
            <w:pPr>
              <w:jc w:val="center"/>
              <w:rPr>
                <w:rFonts w:cstheme="minorHAnsi"/>
              </w:rPr>
            </w:pPr>
            <w:r w:rsidRPr="00C63860">
              <w:rPr>
                <w:rFonts w:cstheme="minorHAnsi"/>
              </w:rPr>
              <w:t>792</w:t>
            </w:r>
          </w:p>
          <w:p w14:paraId="03450A08" w14:textId="77777777" w:rsidR="00470AE4" w:rsidRPr="00C63860" w:rsidRDefault="00470AE4" w:rsidP="00470AE4">
            <w:pPr>
              <w:jc w:val="center"/>
              <w:rPr>
                <w:rFonts w:cstheme="minorHAnsi"/>
              </w:rPr>
            </w:pPr>
            <w:r w:rsidRPr="00C63860">
              <w:rPr>
                <w:rFonts w:cstheme="minorHAnsi"/>
              </w:rPr>
              <w:t>(0.6%)</w:t>
            </w:r>
          </w:p>
        </w:tc>
        <w:tc>
          <w:tcPr>
            <w:tcW w:w="0" w:type="auto"/>
            <w:shd w:val="clear" w:color="auto" w:fill="auto"/>
            <w:vAlign w:val="center"/>
          </w:tcPr>
          <w:p w14:paraId="0A9E907A" w14:textId="77777777" w:rsidR="00470AE4" w:rsidRPr="00C63860" w:rsidRDefault="00470AE4" w:rsidP="00470AE4">
            <w:pPr>
              <w:jc w:val="center"/>
              <w:rPr>
                <w:rFonts w:cstheme="minorHAnsi"/>
              </w:rPr>
            </w:pPr>
            <w:r w:rsidRPr="00C63860">
              <w:rPr>
                <w:rFonts w:cstheme="minorHAnsi"/>
              </w:rPr>
              <w:t>4,949</w:t>
            </w:r>
          </w:p>
          <w:p w14:paraId="00195B50" w14:textId="77777777" w:rsidR="00470AE4" w:rsidRPr="00C63860" w:rsidRDefault="00470AE4" w:rsidP="00470AE4">
            <w:pPr>
              <w:jc w:val="center"/>
              <w:rPr>
                <w:rFonts w:cstheme="minorHAnsi"/>
              </w:rPr>
            </w:pPr>
            <w:r w:rsidRPr="00C63860">
              <w:rPr>
                <w:rFonts w:cstheme="minorHAnsi"/>
              </w:rPr>
              <w:t>(7.9%)</w:t>
            </w:r>
          </w:p>
        </w:tc>
        <w:tc>
          <w:tcPr>
            <w:tcW w:w="0" w:type="auto"/>
            <w:shd w:val="clear" w:color="auto" w:fill="auto"/>
            <w:vAlign w:val="center"/>
          </w:tcPr>
          <w:p w14:paraId="67D0BF01" w14:textId="77777777" w:rsidR="00470AE4" w:rsidRPr="00C63860" w:rsidRDefault="00470AE4" w:rsidP="00470AE4">
            <w:pPr>
              <w:jc w:val="center"/>
              <w:rPr>
                <w:rFonts w:cstheme="minorHAnsi"/>
              </w:rPr>
            </w:pPr>
            <w:r w:rsidRPr="00C63860">
              <w:rPr>
                <w:rFonts w:cstheme="minorHAnsi"/>
              </w:rPr>
              <w:t>634</w:t>
            </w:r>
          </w:p>
          <w:p w14:paraId="4E3C67BA" w14:textId="77777777" w:rsidR="00470AE4" w:rsidRPr="00C63860" w:rsidRDefault="00470AE4" w:rsidP="00470AE4">
            <w:pPr>
              <w:jc w:val="center"/>
              <w:rPr>
                <w:rFonts w:cstheme="minorHAnsi"/>
              </w:rPr>
            </w:pPr>
            <w:r w:rsidRPr="00C63860">
              <w:rPr>
                <w:rFonts w:cstheme="minorHAnsi"/>
              </w:rPr>
              <w:t>(1.5%)</w:t>
            </w:r>
          </w:p>
        </w:tc>
        <w:tc>
          <w:tcPr>
            <w:tcW w:w="0" w:type="auto"/>
            <w:shd w:val="clear" w:color="auto" w:fill="auto"/>
            <w:vAlign w:val="center"/>
          </w:tcPr>
          <w:p w14:paraId="7E642D66" w14:textId="77777777" w:rsidR="00470AE4" w:rsidRPr="00C63860" w:rsidRDefault="00470AE4" w:rsidP="00470AE4">
            <w:pPr>
              <w:jc w:val="center"/>
              <w:rPr>
                <w:rFonts w:cstheme="minorHAnsi"/>
              </w:rPr>
            </w:pPr>
            <w:r w:rsidRPr="00C63860">
              <w:rPr>
                <w:rFonts w:cstheme="minorHAnsi"/>
              </w:rPr>
              <w:t>15,497</w:t>
            </w:r>
          </w:p>
          <w:p w14:paraId="642E924C" w14:textId="77777777" w:rsidR="00470AE4" w:rsidRPr="00C63860" w:rsidRDefault="00470AE4" w:rsidP="00470AE4">
            <w:pPr>
              <w:jc w:val="center"/>
              <w:rPr>
                <w:rFonts w:cstheme="minorHAnsi"/>
              </w:rPr>
            </w:pPr>
            <w:r w:rsidRPr="00C63860">
              <w:rPr>
                <w:rFonts w:cstheme="minorHAnsi"/>
              </w:rPr>
              <w:t>(38.2%)</w:t>
            </w:r>
          </w:p>
        </w:tc>
        <w:tc>
          <w:tcPr>
            <w:tcW w:w="0" w:type="auto"/>
            <w:shd w:val="clear" w:color="auto" w:fill="auto"/>
            <w:vAlign w:val="center"/>
          </w:tcPr>
          <w:p w14:paraId="69AF4B58" w14:textId="77777777" w:rsidR="00470AE4" w:rsidRPr="00C63860" w:rsidRDefault="00470AE4" w:rsidP="00470AE4">
            <w:pPr>
              <w:jc w:val="center"/>
              <w:rPr>
                <w:rFonts w:cstheme="minorHAnsi"/>
              </w:rPr>
            </w:pPr>
            <w:r w:rsidRPr="00C63860">
              <w:rPr>
                <w:rFonts w:cstheme="minorHAnsi"/>
              </w:rPr>
              <w:t>3,026</w:t>
            </w:r>
          </w:p>
          <w:p w14:paraId="04EA51BA" w14:textId="77777777" w:rsidR="00470AE4" w:rsidRPr="00C63860" w:rsidRDefault="00470AE4" w:rsidP="00470AE4">
            <w:pPr>
              <w:jc w:val="center"/>
              <w:rPr>
                <w:rFonts w:cstheme="minorHAnsi"/>
              </w:rPr>
            </w:pPr>
            <w:r w:rsidRPr="00C63860">
              <w:rPr>
                <w:rFonts w:cstheme="minorHAnsi"/>
              </w:rPr>
              <w:t>(9.3%)</w:t>
            </w:r>
          </w:p>
        </w:tc>
      </w:tr>
      <w:tr w:rsidR="00470AE4" w:rsidRPr="00C63860" w14:paraId="7CB37145" w14:textId="77777777" w:rsidTr="00C63860">
        <w:trPr>
          <w:cantSplit/>
        </w:trPr>
        <w:tc>
          <w:tcPr>
            <w:tcW w:w="0" w:type="auto"/>
            <w:shd w:val="clear" w:color="auto" w:fill="auto"/>
            <w:vAlign w:val="center"/>
          </w:tcPr>
          <w:p w14:paraId="49B4C364" w14:textId="77777777" w:rsidR="00470AE4" w:rsidRPr="00C63860" w:rsidRDefault="00470AE4" w:rsidP="00470AE4">
            <w:pPr>
              <w:rPr>
                <w:rFonts w:cstheme="minorHAnsi"/>
              </w:rPr>
            </w:pPr>
            <w:r w:rsidRPr="00C63860">
              <w:rPr>
                <w:rFonts w:cstheme="minorHAnsi"/>
              </w:rPr>
              <w:t>Mean days in hospital (SD)</w:t>
            </w:r>
          </w:p>
        </w:tc>
        <w:tc>
          <w:tcPr>
            <w:tcW w:w="0" w:type="auto"/>
            <w:shd w:val="clear" w:color="auto" w:fill="auto"/>
            <w:vAlign w:val="center"/>
          </w:tcPr>
          <w:p w14:paraId="36B8A7C6" w14:textId="77777777" w:rsidR="00470AE4" w:rsidRPr="00C63860" w:rsidRDefault="00470AE4" w:rsidP="00470AE4">
            <w:pPr>
              <w:jc w:val="center"/>
              <w:rPr>
                <w:rFonts w:cstheme="minorHAnsi"/>
              </w:rPr>
            </w:pPr>
            <w:r w:rsidRPr="00C63860">
              <w:rPr>
                <w:rFonts w:cstheme="minorHAnsi"/>
              </w:rPr>
              <w:t>4.4 (3.7)</w:t>
            </w:r>
          </w:p>
        </w:tc>
        <w:tc>
          <w:tcPr>
            <w:tcW w:w="0" w:type="auto"/>
            <w:shd w:val="clear" w:color="auto" w:fill="auto"/>
            <w:vAlign w:val="center"/>
          </w:tcPr>
          <w:p w14:paraId="6509259A" w14:textId="77777777" w:rsidR="00470AE4" w:rsidRPr="00C63860" w:rsidRDefault="00470AE4" w:rsidP="00470AE4">
            <w:pPr>
              <w:jc w:val="center"/>
              <w:rPr>
                <w:rFonts w:cstheme="minorHAnsi"/>
              </w:rPr>
            </w:pPr>
            <w:r w:rsidRPr="00C63860">
              <w:rPr>
                <w:rFonts w:cstheme="minorHAnsi"/>
              </w:rPr>
              <w:t>5.2 (8.1)</w:t>
            </w:r>
          </w:p>
        </w:tc>
        <w:tc>
          <w:tcPr>
            <w:tcW w:w="0" w:type="auto"/>
            <w:shd w:val="clear" w:color="auto" w:fill="auto"/>
            <w:vAlign w:val="center"/>
          </w:tcPr>
          <w:p w14:paraId="2AF47A82" w14:textId="77777777" w:rsidR="00470AE4" w:rsidRPr="00C63860" w:rsidRDefault="00470AE4" w:rsidP="00470AE4">
            <w:pPr>
              <w:jc w:val="center"/>
              <w:rPr>
                <w:rFonts w:cstheme="minorHAnsi"/>
              </w:rPr>
            </w:pPr>
            <w:r w:rsidRPr="00C63860">
              <w:rPr>
                <w:rFonts w:cstheme="minorHAnsi"/>
              </w:rPr>
              <w:t>6.6 (6.5)</w:t>
            </w:r>
          </w:p>
        </w:tc>
        <w:tc>
          <w:tcPr>
            <w:tcW w:w="0" w:type="auto"/>
            <w:shd w:val="clear" w:color="auto" w:fill="auto"/>
            <w:vAlign w:val="center"/>
          </w:tcPr>
          <w:p w14:paraId="000CA6D8" w14:textId="77777777" w:rsidR="00470AE4" w:rsidRPr="00C63860" w:rsidRDefault="00470AE4" w:rsidP="00470AE4">
            <w:pPr>
              <w:jc w:val="center"/>
              <w:rPr>
                <w:rFonts w:cstheme="minorHAnsi"/>
              </w:rPr>
            </w:pPr>
            <w:r w:rsidRPr="00C63860">
              <w:rPr>
                <w:rFonts w:cstheme="minorHAnsi"/>
              </w:rPr>
              <w:t>5.3 (6.3)</w:t>
            </w:r>
          </w:p>
        </w:tc>
        <w:tc>
          <w:tcPr>
            <w:tcW w:w="0" w:type="auto"/>
            <w:shd w:val="clear" w:color="auto" w:fill="auto"/>
            <w:vAlign w:val="center"/>
          </w:tcPr>
          <w:p w14:paraId="0069693D" w14:textId="77777777" w:rsidR="00470AE4" w:rsidRPr="00C63860" w:rsidRDefault="00470AE4" w:rsidP="00470AE4">
            <w:pPr>
              <w:jc w:val="center"/>
              <w:rPr>
                <w:rFonts w:cstheme="minorHAnsi"/>
              </w:rPr>
            </w:pPr>
            <w:r w:rsidRPr="00C63860">
              <w:rPr>
                <w:rFonts w:cstheme="minorHAnsi"/>
              </w:rPr>
              <w:t>19.5 (17.9)</w:t>
            </w:r>
          </w:p>
        </w:tc>
        <w:tc>
          <w:tcPr>
            <w:tcW w:w="0" w:type="auto"/>
            <w:shd w:val="clear" w:color="auto" w:fill="auto"/>
            <w:vAlign w:val="center"/>
          </w:tcPr>
          <w:p w14:paraId="66F7088D" w14:textId="77777777" w:rsidR="00470AE4" w:rsidRPr="00C63860" w:rsidRDefault="00470AE4" w:rsidP="00470AE4">
            <w:pPr>
              <w:jc w:val="center"/>
              <w:rPr>
                <w:rFonts w:cstheme="minorHAnsi"/>
              </w:rPr>
            </w:pPr>
            <w:r w:rsidRPr="00C63860">
              <w:rPr>
                <w:rFonts w:cstheme="minorHAnsi"/>
              </w:rPr>
              <w:t>5.3 (6.4)</w:t>
            </w:r>
          </w:p>
        </w:tc>
        <w:tc>
          <w:tcPr>
            <w:tcW w:w="0" w:type="auto"/>
            <w:shd w:val="clear" w:color="auto" w:fill="auto"/>
            <w:vAlign w:val="center"/>
          </w:tcPr>
          <w:p w14:paraId="2E0FE3FB" w14:textId="77777777" w:rsidR="00470AE4" w:rsidRPr="00C63860" w:rsidRDefault="00470AE4" w:rsidP="00470AE4">
            <w:pPr>
              <w:jc w:val="center"/>
              <w:rPr>
                <w:rFonts w:cstheme="minorHAnsi"/>
              </w:rPr>
            </w:pPr>
            <w:r w:rsidRPr="00C63860">
              <w:rPr>
                <w:rFonts w:cstheme="minorHAnsi"/>
              </w:rPr>
              <w:t>5.6 (18.3)</w:t>
            </w:r>
          </w:p>
        </w:tc>
        <w:tc>
          <w:tcPr>
            <w:tcW w:w="0" w:type="auto"/>
            <w:shd w:val="clear" w:color="auto" w:fill="auto"/>
            <w:vAlign w:val="center"/>
          </w:tcPr>
          <w:p w14:paraId="32A9E209" w14:textId="77777777" w:rsidR="00470AE4" w:rsidRPr="00C63860" w:rsidRDefault="00470AE4" w:rsidP="00470AE4">
            <w:pPr>
              <w:jc w:val="center"/>
              <w:rPr>
                <w:rFonts w:cstheme="minorHAnsi"/>
              </w:rPr>
            </w:pPr>
            <w:r w:rsidRPr="00C63860">
              <w:rPr>
                <w:rFonts w:cstheme="minorHAnsi"/>
              </w:rPr>
              <w:t>3.1 (8.4)</w:t>
            </w:r>
          </w:p>
        </w:tc>
        <w:tc>
          <w:tcPr>
            <w:tcW w:w="0" w:type="auto"/>
            <w:shd w:val="clear" w:color="auto" w:fill="auto"/>
            <w:vAlign w:val="center"/>
          </w:tcPr>
          <w:p w14:paraId="3A51428B" w14:textId="77777777" w:rsidR="00470AE4" w:rsidRPr="00C63860" w:rsidRDefault="00470AE4" w:rsidP="00470AE4">
            <w:pPr>
              <w:jc w:val="center"/>
              <w:rPr>
                <w:rFonts w:cstheme="minorHAnsi"/>
              </w:rPr>
            </w:pPr>
            <w:r w:rsidRPr="00C63860">
              <w:rPr>
                <w:rFonts w:cstheme="minorHAnsi"/>
              </w:rPr>
              <w:t>15.5 (22.9)</w:t>
            </w:r>
          </w:p>
        </w:tc>
        <w:tc>
          <w:tcPr>
            <w:tcW w:w="0" w:type="auto"/>
            <w:shd w:val="clear" w:color="auto" w:fill="auto"/>
            <w:vAlign w:val="center"/>
          </w:tcPr>
          <w:p w14:paraId="5A72AF14" w14:textId="77777777" w:rsidR="00470AE4" w:rsidRPr="00C63860" w:rsidRDefault="00470AE4" w:rsidP="00470AE4">
            <w:pPr>
              <w:jc w:val="center"/>
              <w:rPr>
                <w:rFonts w:cstheme="minorHAnsi"/>
              </w:rPr>
            </w:pPr>
            <w:r w:rsidRPr="00C63860">
              <w:rPr>
                <w:rFonts w:cstheme="minorHAnsi"/>
              </w:rPr>
              <w:t>8.3 (34.1)</w:t>
            </w:r>
          </w:p>
        </w:tc>
      </w:tr>
      <w:tr w:rsidR="00470AE4" w:rsidRPr="00C63860" w14:paraId="58A002AA" w14:textId="77777777" w:rsidTr="00C63860">
        <w:trPr>
          <w:cantSplit/>
        </w:trPr>
        <w:tc>
          <w:tcPr>
            <w:tcW w:w="0" w:type="auto"/>
            <w:shd w:val="clear" w:color="auto" w:fill="auto"/>
            <w:vAlign w:val="center"/>
          </w:tcPr>
          <w:p w14:paraId="0B0D708F" w14:textId="77777777" w:rsidR="00470AE4" w:rsidRPr="00C63860" w:rsidRDefault="00470AE4" w:rsidP="00470AE4">
            <w:pPr>
              <w:rPr>
                <w:rFonts w:cstheme="minorHAnsi"/>
                <w:i/>
                <w:iCs/>
              </w:rPr>
            </w:pPr>
          </w:p>
        </w:tc>
        <w:tc>
          <w:tcPr>
            <w:tcW w:w="0" w:type="auto"/>
            <w:shd w:val="clear" w:color="auto" w:fill="auto"/>
            <w:vAlign w:val="center"/>
          </w:tcPr>
          <w:p w14:paraId="1DA3E79B" w14:textId="77777777" w:rsidR="00470AE4" w:rsidRPr="00C63860" w:rsidRDefault="00470AE4" w:rsidP="00470AE4">
            <w:pPr>
              <w:jc w:val="center"/>
              <w:rPr>
                <w:rFonts w:cstheme="minorHAnsi"/>
                <w:i/>
                <w:iCs/>
              </w:rPr>
            </w:pPr>
          </w:p>
        </w:tc>
        <w:tc>
          <w:tcPr>
            <w:tcW w:w="0" w:type="auto"/>
            <w:shd w:val="clear" w:color="auto" w:fill="auto"/>
            <w:vAlign w:val="center"/>
          </w:tcPr>
          <w:p w14:paraId="33F8EDFD" w14:textId="77777777" w:rsidR="00470AE4" w:rsidRPr="00C63860" w:rsidRDefault="00470AE4" w:rsidP="00470AE4">
            <w:pPr>
              <w:jc w:val="center"/>
              <w:rPr>
                <w:rFonts w:cstheme="minorHAnsi"/>
                <w:i/>
                <w:iCs/>
              </w:rPr>
            </w:pPr>
          </w:p>
        </w:tc>
        <w:tc>
          <w:tcPr>
            <w:tcW w:w="0" w:type="auto"/>
            <w:shd w:val="clear" w:color="auto" w:fill="auto"/>
            <w:vAlign w:val="center"/>
          </w:tcPr>
          <w:p w14:paraId="6FCEE417" w14:textId="77777777" w:rsidR="00470AE4" w:rsidRPr="00C63860" w:rsidRDefault="00470AE4" w:rsidP="00470AE4">
            <w:pPr>
              <w:jc w:val="center"/>
              <w:rPr>
                <w:rFonts w:cstheme="minorHAnsi"/>
                <w:i/>
                <w:iCs/>
              </w:rPr>
            </w:pPr>
          </w:p>
        </w:tc>
        <w:tc>
          <w:tcPr>
            <w:tcW w:w="0" w:type="auto"/>
            <w:shd w:val="clear" w:color="auto" w:fill="auto"/>
            <w:vAlign w:val="center"/>
          </w:tcPr>
          <w:p w14:paraId="6F1136BF" w14:textId="77777777" w:rsidR="00470AE4" w:rsidRPr="00C63860" w:rsidRDefault="00470AE4" w:rsidP="00470AE4">
            <w:pPr>
              <w:jc w:val="center"/>
              <w:rPr>
                <w:rFonts w:cstheme="minorHAnsi"/>
                <w:i/>
                <w:iCs/>
              </w:rPr>
            </w:pPr>
          </w:p>
        </w:tc>
        <w:tc>
          <w:tcPr>
            <w:tcW w:w="0" w:type="auto"/>
            <w:shd w:val="clear" w:color="auto" w:fill="auto"/>
            <w:vAlign w:val="center"/>
          </w:tcPr>
          <w:p w14:paraId="026E28EA" w14:textId="77777777" w:rsidR="00470AE4" w:rsidRPr="00C63860" w:rsidRDefault="00470AE4" w:rsidP="00470AE4">
            <w:pPr>
              <w:jc w:val="center"/>
              <w:rPr>
                <w:rFonts w:cstheme="minorHAnsi"/>
                <w:i/>
                <w:iCs/>
              </w:rPr>
            </w:pPr>
          </w:p>
        </w:tc>
        <w:tc>
          <w:tcPr>
            <w:tcW w:w="0" w:type="auto"/>
            <w:shd w:val="clear" w:color="auto" w:fill="auto"/>
            <w:vAlign w:val="center"/>
          </w:tcPr>
          <w:p w14:paraId="57243F4C" w14:textId="77777777" w:rsidR="00470AE4" w:rsidRPr="00C63860" w:rsidRDefault="00470AE4" w:rsidP="00470AE4">
            <w:pPr>
              <w:jc w:val="center"/>
              <w:rPr>
                <w:rFonts w:cstheme="minorHAnsi"/>
                <w:i/>
                <w:iCs/>
              </w:rPr>
            </w:pPr>
          </w:p>
        </w:tc>
        <w:tc>
          <w:tcPr>
            <w:tcW w:w="0" w:type="auto"/>
            <w:shd w:val="clear" w:color="auto" w:fill="auto"/>
            <w:vAlign w:val="center"/>
          </w:tcPr>
          <w:p w14:paraId="249D197C" w14:textId="77777777" w:rsidR="00470AE4" w:rsidRPr="00C63860" w:rsidRDefault="00470AE4" w:rsidP="00470AE4">
            <w:pPr>
              <w:jc w:val="center"/>
              <w:rPr>
                <w:rFonts w:cstheme="minorHAnsi"/>
                <w:i/>
                <w:iCs/>
              </w:rPr>
            </w:pPr>
          </w:p>
        </w:tc>
        <w:tc>
          <w:tcPr>
            <w:tcW w:w="0" w:type="auto"/>
            <w:shd w:val="clear" w:color="auto" w:fill="auto"/>
            <w:vAlign w:val="center"/>
          </w:tcPr>
          <w:p w14:paraId="39E7707B" w14:textId="77777777" w:rsidR="00470AE4" w:rsidRPr="00C63860" w:rsidRDefault="00470AE4" w:rsidP="00470AE4">
            <w:pPr>
              <w:jc w:val="center"/>
              <w:rPr>
                <w:rFonts w:cstheme="minorHAnsi"/>
                <w:i/>
                <w:iCs/>
              </w:rPr>
            </w:pPr>
          </w:p>
        </w:tc>
        <w:tc>
          <w:tcPr>
            <w:tcW w:w="0" w:type="auto"/>
            <w:shd w:val="clear" w:color="auto" w:fill="auto"/>
            <w:vAlign w:val="center"/>
          </w:tcPr>
          <w:p w14:paraId="7ED2EEA1" w14:textId="77777777" w:rsidR="00470AE4" w:rsidRPr="00C63860" w:rsidRDefault="00470AE4" w:rsidP="00470AE4">
            <w:pPr>
              <w:jc w:val="center"/>
              <w:rPr>
                <w:rFonts w:cstheme="minorHAnsi"/>
                <w:i/>
                <w:iCs/>
              </w:rPr>
            </w:pPr>
          </w:p>
        </w:tc>
        <w:tc>
          <w:tcPr>
            <w:tcW w:w="0" w:type="auto"/>
            <w:shd w:val="clear" w:color="auto" w:fill="auto"/>
            <w:vAlign w:val="center"/>
          </w:tcPr>
          <w:p w14:paraId="7D198F6B" w14:textId="77777777" w:rsidR="00470AE4" w:rsidRPr="00C63860" w:rsidRDefault="00470AE4" w:rsidP="00470AE4">
            <w:pPr>
              <w:jc w:val="center"/>
              <w:rPr>
                <w:rFonts w:cstheme="minorHAnsi"/>
                <w:i/>
                <w:iCs/>
              </w:rPr>
            </w:pPr>
          </w:p>
        </w:tc>
      </w:tr>
      <w:tr w:rsidR="00470AE4" w:rsidRPr="00C63860" w14:paraId="7C1D3121" w14:textId="77777777" w:rsidTr="00C63860">
        <w:trPr>
          <w:cantSplit/>
        </w:trPr>
        <w:tc>
          <w:tcPr>
            <w:tcW w:w="0" w:type="auto"/>
            <w:shd w:val="clear" w:color="auto" w:fill="auto"/>
            <w:vAlign w:val="center"/>
          </w:tcPr>
          <w:p w14:paraId="0D932B46" w14:textId="77777777" w:rsidR="00470AE4" w:rsidRPr="00C63860" w:rsidRDefault="00470AE4" w:rsidP="00470AE4">
            <w:pPr>
              <w:rPr>
                <w:rFonts w:cstheme="minorHAnsi"/>
                <w:i/>
                <w:iCs/>
              </w:rPr>
            </w:pPr>
            <w:r w:rsidRPr="00C63860">
              <w:rPr>
                <w:rFonts w:cstheme="minorHAnsi"/>
                <w:i/>
                <w:iCs/>
              </w:rPr>
              <w:t>Readmissions</w:t>
            </w:r>
          </w:p>
        </w:tc>
        <w:tc>
          <w:tcPr>
            <w:tcW w:w="0" w:type="auto"/>
            <w:shd w:val="clear" w:color="auto" w:fill="auto"/>
            <w:vAlign w:val="center"/>
          </w:tcPr>
          <w:p w14:paraId="61EFC50A" w14:textId="77777777" w:rsidR="00470AE4" w:rsidRPr="00C63860" w:rsidRDefault="00470AE4" w:rsidP="00470AE4">
            <w:pPr>
              <w:jc w:val="center"/>
              <w:rPr>
                <w:rFonts w:cstheme="minorHAnsi"/>
                <w:i/>
                <w:iCs/>
              </w:rPr>
            </w:pPr>
          </w:p>
        </w:tc>
        <w:tc>
          <w:tcPr>
            <w:tcW w:w="0" w:type="auto"/>
            <w:shd w:val="clear" w:color="auto" w:fill="auto"/>
            <w:vAlign w:val="center"/>
          </w:tcPr>
          <w:p w14:paraId="4666FBB5" w14:textId="77777777" w:rsidR="00470AE4" w:rsidRPr="00C63860" w:rsidRDefault="00470AE4" w:rsidP="00470AE4">
            <w:pPr>
              <w:jc w:val="center"/>
              <w:rPr>
                <w:rFonts w:cstheme="minorHAnsi"/>
                <w:i/>
                <w:iCs/>
              </w:rPr>
            </w:pPr>
          </w:p>
        </w:tc>
        <w:tc>
          <w:tcPr>
            <w:tcW w:w="0" w:type="auto"/>
            <w:shd w:val="clear" w:color="auto" w:fill="auto"/>
            <w:vAlign w:val="center"/>
          </w:tcPr>
          <w:p w14:paraId="77D317E1" w14:textId="77777777" w:rsidR="00470AE4" w:rsidRPr="00C63860" w:rsidRDefault="00470AE4" w:rsidP="00470AE4">
            <w:pPr>
              <w:jc w:val="center"/>
              <w:rPr>
                <w:rFonts w:cstheme="minorHAnsi"/>
                <w:i/>
                <w:iCs/>
              </w:rPr>
            </w:pPr>
          </w:p>
        </w:tc>
        <w:tc>
          <w:tcPr>
            <w:tcW w:w="0" w:type="auto"/>
            <w:shd w:val="clear" w:color="auto" w:fill="auto"/>
            <w:vAlign w:val="center"/>
          </w:tcPr>
          <w:p w14:paraId="78481DBA" w14:textId="77777777" w:rsidR="00470AE4" w:rsidRPr="00C63860" w:rsidRDefault="00470AE4" w:rsidP="00470AE4">
            <w:pPr>
              <w:jc w:val="center"/>
              <w:rPr>
                <w:rFonts w:cstheme="minorHAnsi"/>
                <w:i/>
                <w:iCs/>
              </w:rPr>
            </w:pPr>
          </w:p>
        </w:tc>
        <w:tc>
          <w:tcPr>
            <w:tcW w:w="0" w:type="auto"/>
            <w:shd w:val="clear" w:color="auto" w:fill="auto"/>
            <w:vAlign w:val="center"/>
          </w:tcPr>
          <w:p w14:paraId="01A966AE" w14:textId="77777777" w:rsidR="00470AE4" w:rsidRPr="00C63860" w:rsidRDefault="00470AE4" w:rsidP="00470AE4">
            <w:pPr>
              <w:jc w:val="center"/>
              <w:rPr>
                <w:rFonts w:cstheme="minorHAnsi"/>
                <w:i/>
                <w:iCs/>
              </w:rPr>
            </w:pPr>
          </w:p>
        </w:tc>
        <w:tc>
          <w:tcPr>
            <w:tcW w:w="0" w:type="auto"/>
            <w:shd w:val="clear" w:color="auto" w:fill="auto"/>
            <w:vAlign w:val="center"/>
          </w:tcPr>
          <w:p w14:paraId="5AD4C94C" w14:textId="77777777" w:rsidR="00470AE4" w:rsidRPr="00C63860" w:rsidRDefault="00470AE4" w:rsidP="00470AE4">
            <w:pPr>
              <w:jc w:val="center"/>
              <w:rPr>
                <w:rFonts w:cstheme="minorHAnsi"/>
                <w:i/>
                <w:iCs/>
              </w:rPr>
            </w:pPr>
          </w:p>
        </w:tc>
        <w:tc>
          <w:tcPr>
            <w:tcW w:w="0" w:type="auto"/>
            <w:shd w:val="clear" w:color="auto" w:fill="auto"/>
            <w:vAlign w:val="center"/>
          </w:tcPr>
          <w:p w14:paraId="303B4945" w14:textId="77777777" w:rsidR="00470AE4" w:rsidRPr="00C63860" w:rsidRDefault="00470AE4" w:rsidP="00470AE4">
            <w:pPr>
              <w:jc w:val="center"/>
              <w:rPr>
                <w:rFonts w:cstheme="minorHAnsi"/>
                <w:i/>
                <w:iCs/>
              </w:rPr>
            </w:pPr>
          </w:p>
        </w:tc>
        <w:tc>
          <w:tcPr>
            <w:tcW w:w="0" w:type="auto"/>
            <w:shd w:val="clear" w:color="auto" w:fill="auto"/>
            <w:vAlign w:val="center"/>
          </w:tcPr>
          <w:p w14:paraId="6D76A724" w14:textId="77777777" w:rsidR="00470AE4" w:rsidRPr="00C63860" w:rsidRDefault="00470AE4" w:rsidP="00470AE4">
            <w:pPr>
              <w:jc w:val="center"/>
              <w:rPr>
                <w:rFonts w:cstheme="minorHAnsi"/>
                <w:i/>
                <w:iCs/>
              </w:rPr>
            </w:pPr>
          </w:p>
        </w:tc>
        <w:tc>
          <w:tcPr>
            <w:tcW w:w="0" w:type="auto"/>
            <w:shd w:val="clear" w:color="auto" w:fill="auto"/>
            <w:vAlign w:val="center"/>
          </w:tcPr>
          <w:p w14:paraId="7BF7106D" w14:textId="77777777" w:rsidR="00470AE4" w:rsidRPr="00C63860" w:rsidRDefault="00470AE4" w:rsidP="00470AE4">
            <w:pPr>
              <w:jc w:val="center"/>
              <w:rPr>
                <w:rFonts w:cstheme="minorHAnsi"/>
                <w:i/>
                <w:iCs/>
              </w:rPr>
            </w:pPr>
          </w:p>
        </w:tc>
        <w:tc>
          <w:tcPr>
            <w:tcW w:w="0" w:type="auto"/>
            <w:shd w:val="clear" w:color="auto" w:fill="auto"/>
            <w:vAlign w:val="center"/>
          </w:tcPr>
          <w:p w14:paraId="503E2BA5" w14:textId="77777777" w:rsidR="00470AE4" w:rsidRPr="00C63860" w:rsidRDefault="00470AE4" w:rsidP="00470AE4">
            <w:pPr>
              <w:jc w:val="center"/>
              <w:rPr>
                <w:rFonts w:cstheme="minorHAnsi"/>
                <w:i/>
                <w:iCs/>
              </w:rPr>
            </w:pPr>
          </w:p>
        </w:tc>
      </w:tr>
      <w:tr w:rsidR="00470AE4" w:rsidRPr="00C63860" w14:paraId="7E444B7B" w14:textId="77777777" w:rsidTr="00C63860">
        <w:trPr>
          <w:cantSplit/>
        </w:trPr>
        <w:tc>
          <w:tcPr>
            <w:tcW w:w="0" w:type="auto"/>
            <w:shd w:val="clear" w:color="auto" w:fill="auto"/>
            <w:vAlign w:val="center"/>
          </w:tcPr>
          <w:p w14:paraId="06F2B72D" w14:textId="77777777" w:rsidR="00470AE4" w:rsidRPr="00C63860" w:rsidRDefault="00470AE4" w:rsidP="00470AE4">
            <w:pPr>
              <w:rPr>
                <w:rFonts w:cstheme="minorHAnsi"/>
              </w:rPr>
            </w:pPr>
            <w:r w:rsidRPr="00C63860">
              <w:rPr>
                <w:rFonts w:cstheme="minorHAnsi"/>
              </w:rPr>
              <w:t xml:space="preserve">Readmission(any time prior to 1 year): </w:t>
            </w:r>
            <w:r w:rsidRPr="00C63860">
              <w:rPr>
                <w:rFonts w:cstheme="minorHAnsi"/>
                <w:i/>
                <w:color w:val="00B0F0"/>
              </w:rPr>
              <w:t>n</w:t>
            </w:r>
            <w:r w:rsidRPr="00C63860">
              <w:rPr>
                <w:rFonts w:cstheme="minorHAnsi"/>
              </w:rPr>
              <w:t xml:space="preserve"> (%)</w:t>
            </w:r>
          </w:p>
        </w:tc>
        <w:tc>
          <w:tcPr>
            <w:tcW w:w="0" w:type="auto"/>
            <w:shd w:val="clear" w:color="auto" w:fill="auto"/>
            <w:vAlign w:val="center"/>
          </w:tcPr>
          <w:p w14:paraId="2869FA50" w14:textId="77777777" w:rsidR="00470AE4" w:rsidRPr="00C63860" w:rsidRDefault="00470AE4" w:rsidP="00470AE4">
            <w:pPr>
              <w:jc w:val="center"/>
              <w:rPr>
                <w:rFonts w:cstheme="minorHAnsi"/>
              </w:rPr>
            </w:pPr>
            <w:r w:rsidRPr="00C63860">
              <w:rPr>
                <w:rFonts w:cstheme="minorHAnsi"/>
              </w:rPr>
              <w:t>66,615 (26.9%)</w:t>
            </w:r>
          </w:p>
        </w:tc>
        <w:tc>
          <w:tcPr>
            <w:tcW w:w="0" w:type="auto"/>
            <w:shd w:val="clear" w:color="auto" w:fill="auto"/>
            <w:vAlign w:val="center"/>
          </w:tcPr>
          <w:p w14:paraId="04B4950D" w14:textId="77777777" w:rsidR="00470AE4" w:rsidRPr="00C63860" w:rsidRDefault="00470AE4" w:rsidP="00470AE4">
            <w:pPr>
              <w:jc w:val="center"/>
              <w:rPr>
                <w:rFonts w:cstheme="minorHAnsi"/>
              </w:rPr>
            </w:pPr>
            <w:r w:rsidRPr="00C63860">
              <w:rPr>
                <w:rFonts w:cstheme="minorHAnsi"/>
              </w:rPr>
              <w:t>10,970 (53.2%)</w:t>
            </w:r>
          </w:p>
        </w:tc>
        <w:tc>
          <w:tcPr>
            <w:tcW w:w="0" w:type="auto"/>
            <w:shd w:val="clear" w:color="auto" w:fill="auto"/>
            <w:vAlign w:val="center"/>
          </w:tcPr>
          <w:p w14:paraId="1EC6B9DD" w14:textId="77777777" w:rsidR="00470AE4" w:rsidRPr="00C63860" w:rsidRDefault="00470AE4" w:rsidP="00470AE4">
            <w:pPr>
              <w:jc w:val="center"/>
              <w:rPr>
                <w:rFonts w:cstheme="minorHAnsi"/>
              </w:rPr>
            </w:pPr>
            <w:r w:rsidRPr="00C63860">
              <w:rPr>
                <w:rFonts w:cstheme="minorHAnsi"/>
              </w:rPr>
              <w:t>23,294 (44.8%)</w:t>
            </w:r>
          </w:p>
        </w:tc>
        <w:tc>
          <w:tcPr>
            <w:tcW w:w="0" w:type="auto"/>
            <w:shd w:val="clear" w:color="auto" w:fill="auto"/>
            <w:vAlign w:val="center"/>
          </w:tcPr>
          <w:p w14:paraId="48D51838" w14:textId="77777777" w:rsidR="00470AE4" w:rsidRPr="00C63860" w:rsidRDefault="00470AE4" w:rsidP="00470AE4">
            <w:pPr>
              <w:jc w:val="center"/>
              <w:rPr>
                <w:rFonts w:cstheme="minorHAnsi"/>
              </w:rPr>
            </w:pPr>
            <w:r w:rsidRPr="00C63860">
              <w:rPr>
                <w:rFonts w:cstheme="minorHAnsi"/>
              </w:rPr>
              <w:t>152,697 (80.8%)</w:t>
            </w:r>
          </w:p>
        </w:tc>
        <w:tc>
          <w:tcPr>
            <w:tcW w:w="0" w:type="auto"/>
            <w:shd w:val="clear" w:color="auto" w:fill="auto"/>
            <w:vAlign w:val="center"/>
          </w:tcPr>
          <w:p w14:paraId="320EFA61" w14:textId="77777777" w:rsidR="00470AE4" w:rsidRPr="00C63860" w:rsidRDefault="00470AE4" w:rsidP="00470AE4">
            <w:pPr>
              <w:jc w:val="center"/>
              <w:rPr>
                <w:rFonts w:cstheme="minorHAnsi"/>
              </w:rPr>
            </w:pPr>
            <w:r w:rsidRPr="00C63860">
              <w:rPr>
                <w:rFonts w:cstheme="minorHAnsi"/>
              </w:rPr>
              <w:t>10,289 (65.2%)</w:t>
            </w:r>
          </w:p>
        </w:tc>
        <w:tc>
          <w:tcPr>
            <w:tcW w:w="0" w:type="auto"/>
            <w:shd w:val="clear" w:color="auto" w:fill="auto"/>
            <w:vAlign w:val="center"/>
          </w:tcPr>
          <w:p w14:paraId="03A83382" w14:textId="77777777" w:rsidR="00470AE4" w:rsidRPr="00C63860" w:rsidRDefault="00470AE4" w:rsidP="00470AE4">
            <w:pPr>
              <w:jc w:val="center"/>
              <w:rPr>
                <w:rFonts w:cstheme="minorHAnsi"/>
              </w:rPr>
            </w:pPr>
            <w:r w:rsidRPr="00C63860">
              <w:rPr>
                <w:rFonts w:cstheme="minorHAnsi"/>
              </w:rPr>
              <w:t>93,234 (75.7%)</w:t>
            </w:r>
          </w:p>
        </w:tc>
        <w:tc>
          <w:tcPr>
            <w:tcW w:w="0" w:type="auto"/>
            <w:shd w:val="clear" w:color="auto" w:fill="auto"/>
            <w:vAlign w:val="center"/>
          </w:tcPr>
          <w:p w14:paraId="66CCB4A7" w14:textId="77777777" w:rsidR="00470AE4" w:rsidRPr="00C63860" w:rsidRDefault="00470AE4" w:rsidP="00470AE4">
            <w:pPr>
              <w:jc w:val="center"/>
              <w:rPr>
                <w:rFonts w:cstheme="minorHAnsi"/>
              </w:rPr>
            </w:pPr>
            <w:r w:rsidRPr="00C63860">
              <w:rPr>
                <w:rFonts w:cstheme="minorHAnsi"/>
              </w:rPr>
              <w:t>26,428 (42.2%)</w:t>
            </w:r>
          </w:p>
        </w:tc>
        <w:tc>
          <w:tcPr>
            <w:tcW w:w="0" w:type="auto"/>
            <w:shd w:val="clear" w:color="auto" w:fill="auto"/>
            <w:vAlign w:val="center"/>
          </w:tcPr>
          <w:p w14:paraId="563B4DDF" w14:textId="77777777" w:rsidR="00470AE4" w:rsidRPr="00C63860" w:rsidRDefault="00470AE4" w:rsidP="00470AE4">
            <w:pPr>
              <w:jc w:val="center"/>
              <w:rPr>
                <w:rFonts w:cstheme="minorHAnsi"/>
              </w:rPr>
            </w:pPr>
            <w:r w:rsidRPr="00C63860">
              <w:rPr>
                <w:rFonts w:cstheme="minorHAnsi"/>
              </w:rPr>
              <w:t>32,583 (74.3%)</w:t>
            </w:r>
          </w:p>
        </w:tc>
        <w:tc>
          <w:tcPr>
            <w:tcW w:w="0" w:type="auto"/>
            <w:shd w:val="clear" w:color="auto" w:fill="auto"/>
            <w:vAlign w:val="center"/>
          </w:tcPr>
          <w:p w14:paraId="3C2750BC" w14:textId="77777777" w:rsidR="00470AE4" w:rsidRPr="00C63860" w:rsidRDefault="00470AE4" w:rsidP="00470AE4">
            <w:pPr>
              <w:jc w:val="center"/>
              <w:rPr>
                <w:rFonts w:cstheme="minorHAnsi"/>
              </w:rPr>
            </w:pPr>
            <w:r w:rsidRPr="00C63860">
              <w:rPr>
                <w:rFonts w:cstheme="minorHAnsi"/>
              </w:rPr>
              <w:t>22,110 (54.5%)</w:t>
            </w:r>
          </w:p>
        </w:tc>
        <w:tc>
          <w:tcPr>
            <w:tcW w:w="0" w:type="auto"/>
            <w:shd w:val="clear" w:color="auto" w:fill="auto"/>
            <w:vAlign w:val="center"/>
          </w:tcPr>
          <w:p w14:paraId="4B510547" w14:textId="77777777" w:rsidR="00470AE4" w:rsidRPr="00C63860" w:rsidRDefault="00470AE4" w:rsidP="00470AE4">
            <w:pPr>
              <w:jc w:val="center"/>
              <w:rPr>
                <w:rFonts w:cstheme="minorHAnsi"/>
              </w:rPr>
            </w:pPr>
            <w:r w:rsidRPr="00C63860">
              <w:rPr>
                <w:rFonts w:cstheme="minorHAnsi"/>
              </w:rPr>
              <w:t>58,851 (63.6%)</w:t>
            </w:r>
          </w:p>
        </w:tc>
      </w:tr>
      <w:tr w:rsidR="00470AE4" w:rsidRPr="00C63860" w14:paraId="20E178BB" w14:textId="77777777" w:rsidTr="00C63860">
        <w:trPr>
          <w:cantSplit/>
        </w:trPr>
        <w:tc>
          <w:tcPr>
            <w:tcW w:w="0" w:type="auto"/>
            <w:shd w:val="clear" w:color="auto" w:fill="auto"/>
            <w:vAlign w:val="center"/>
          </w:tcPr>
          <w:p w14:paraId="1D10B3F5" w14:textId="46591261" w:rsidR="00470AE4" w:rsidRPr="00C63860" w:rsidRDefault="00C63860" w:rsidP="00470AE4">
            <w:pPr>
              <w:rPr>
                <w:rFonts w:cstheme="minorHAnsi"/>
                <w:i/>
                <w:iCs/>
              </w:rPr>
            </w:pPr>
            <w:r w:rsidRPr="00C63860">
              <w:rPr>
                <w:rFonts w:cstheme="minorHAnsi"/>
                <w:color w:val="00B0F0"/>
              </w:rPr>
              <w:t>‘</w:t>
            </w:r>
            <w:r w:rsidR="006F6056" w:rsidRPr="00C63860">
              <w:rPr>
                <w:rFonts w:cstheme="minorHAnsi"/>
              </w:rPr>
              <w:t>More common</w:t>
            </w:r>
            <w:r w:rsidRPr="00C63860">
              <w:rPr>
                <w:rFonts w:cstheme="minorHAnsi"/>
                <w:color w:val="00B0F0"/>
              </w:rPr>
              <w:t>’</w:t>
            </w:r>
            <w:r w:rsidR="00470AE4" w:rsidRPr="00C63860">
              <w:rPr>
                <w:rFonts w:cstheme="minorHAnsi"/>
              </w:rPr>
              <w:t xml:space="preserve"> operative procedure* (within any readmission): </w:t>
            </w:r>
            <w:r w:rsidR="00470AE4" w:rsidRPr="00C63860">
              <w:rPr>
                <w:rFonts w:cstheme="minorHAnsi"/>
                <w:i/>
                <w:color w:val="00B0F0"/>
              </w:rPr>
              <w:t>n</w:t>
            </w:r>
            <w:r w:rsidR="00470AE4" w:rsidRPr="00C63860">
              <w:rPr>
                <w:rFonts w:cstheme="minorHAnsi"/>
              </w:rPr>
              <w:t xml:space="preserve"> (%)</w:t>
            </w:r>
          </w:p>
        </w:tc>
        <w:tc>
          <w:tcPr>
            <w:tcW w:w="0" w:type="auto"/>
            <w:shd w:val="clear" w:color="auto" w:fill="auto"/>
            <w:vAlign w:val="center"/>
          </w:tcPr>
          <w:p w14:paraId="24D484AA" w14:textId="77777777" w:rsidR="00470AE4" w:rsidRPr="00C63860" w:rsidRDefault="00470AE4" w:rsidP="00470AE4">
            <w:pPr>
              <w:jc w:val="center"/>
              <w:rPr>
                <w:rFonts w:cstheme="minorHAnsi"/>
              </w:rPr>
            </w:pPr>
            <w:r w:rsidRPr="00C63860">
              <w:rPr>
                <w:rFonts w:cstheme="minorHAnsi"/>
              </w:rPr>
              <w:t>5,578 (2.3%)</w:t>
            </w:r>
          </w:p>
        </w:tc>
        <w:tc>
          <w:tcPr>
            <w:tcW w:w="0" w:type="auto"/>
            <w:shd w:val="clear" w:color="auto" w:fill="auto"/>
            <w:vAlign w:val="center"/>
          </w:tcPr>
          <w:p w14:paraId="07F22C40" w14:textId="77777777" w:rsidR="00470AE4" w:rsidRPr="00C63860" w:rsidRDefault="00470AE4" w:rsidP="00470AE4">
            <w:pPr>
              <w:jc w:val="center"/>
              <w:rPr>
                <w:rFonts w:cstheme="minorHAnsi"/>
              </w:rPr>
            </w:pPr>
            <w:r w:rsidRPr="00C63860">
              <w:rPr>
                <w:rFonts w:cstheme="minorHAnsi"/>
              </w:rPr>
              <w:t>3,338 (16.2%)</w:t>
            </w:r>
          </w:p>
        </w:tc>
        <w:tc>
          <w:tcPr>
            <w:tcW w:w="0" w:type="auto"/>
            <w:shd w:val="clear" w:color="auto" w:fill="auto"/>
            <w:vAlign w:val="center"/>
          </w:tcPr>
          <w:p w14:paraId="70985975" w14:textId="77777777" w:rsidR="00470AE4" w:rsidRPr="00C63860" w:rsidRDefault="00470AE4" w:rsidP="00470AE4">
            <w:pPr>
              <w:jc w:val="center"/>
              <w:rPr>
                <w:rFonts w:cstheme="minorHAnsi"/>
              </w:rPr>
            </w:pPr>
            <w:r w:rsidRPr="00C63860">
              <w:rPr>
                <w:rFonts w:cstheme="minorHAnsi"/>
              </w:rPr>
              <w:t>7,220 (13.9%)</w:t>
            </w:r>
          </w:p>
        </w:tc>
        <w:tc>
          <w:tcPr>
            <w:tcW w:w="0" w:type="auto"/>
            <w:shd w:val="clear" w:color="auto" w:fill="auto"/>
            <w:vAlign w:val="center"/>
          </w:tcPr>
          <w:p w14:paraId="1FACBEEA" w14:textId="77777777" w:rsidR="00470AE4" w:rsidRPr="00C63860" w:rsidRDefault="00470AE4" w:rsidP="00470AE4">
            <w:pPr>
              <w:jc w:val="center"/>
              <w:rPr>
                <w:rFonts w:cstheme="minorHAnsi"/>
              </w:rPr>
            </w:pPr>
            <w:r w:rsidRPr="00C63860">
              <w:rPr>
                <w:rFonts w:cstheme="minorHAnsi"/>
              </w:rPr>
              <w:t>112,849 (59.7%)</w:t>
            </w:r>
          </w:p>
        </w:tc>
        <w:tc>
          <w:tcPr>
            <w:tcW w:w="0" w:type="auto"/>
            <w:shd w:val="clear" w:color="auto" w:fill="auto"/>
            <w:vAlign w:val="center"/>
          </w:tcPr>
          <w:p w14:paraId="4124CF94" w14:textId="77777777" w:rsidR="00470AE4" w:rsidRPr="00C63860" w:rsidRDefault="00470AE4" w:rsidP="00470AE4">
            <w:pPr>
              <w:jc w:val="center"/>
              <w:rPr>
                <w:rFonts w:cstheme="minorHAnsi"/>
              </w:rPr>
            </w:pPr>
            <w:r w:rsidRPr="00C63860">
              <w:rPr>
                <w:rFonts w:cstheme="minorHAnsi"/>
              </w:rPr>
              <w:t>3,289 (20.9%)</w:t>
            </w:r>
          </w:p>
        </w:tc>
        <w:tc>
          <w:tcPr>
            <w:tcW w:w="0" w:type="auto"/>
            <w:shd w:val="clear" w:color="auto" w:fill="auto"/>
            <w:vAlign w:val="center"/>
          </w:tcPr>
          <w:p w14:paraId="3C3C3FED" w14:textId="77777777" w:rsidR="00470AE4" w:rsidRPr="00C63860" w:rsidRDefault="00470AE4" w:rsidP="00470AE4">
            <w:pPr>
              <w:jc w:val="center"/>
              <w:rPr>
                <w:rFonts w:cstheme="minorHAnsi"/>
              </w:rPr>
            </w:pPr>
            <w:r w:rsidRPr="00C63860">
              <w:rPr>
                <w:rFonts w:cstheme="minorHAnsi"/>
              </w:rPr>
              <w:t>16,248 (13.2%)</w:t>
            </w:r>
          </w:p>
        </w:tc>
        <w:tc>
          <w:tcPr>
            <w:tcW w:w="0" w:type="auto"/>
            <w:shd w:val="clear" w:color="auto" w:fill="auto"/>
            <w:vAlign w:val="center"/>
          </w:tcPr>
          <w:p w14:paraId="6E6D34CC" w14:textId="77777777" w:rsidR="00470AE4" w:rsidRPr="00C63860" w:rsidRDefault="00470AE4" w:rsidP="00470AE4">
            <w:pPr>
              <w:jc w:val="center"/>
              <w:rPr>
                <w:rFonts w:cstheme="minorHAnsi"/>
              </w:rPr>
            </w:pPr>
            <w:r w:rsidRPr="00C63860">
              <w:rPr>
                <w:rFonts w:cstheme="minorHAnsi"/>
              </w:rPr>
              <w:t>5,053 (8.1%)</w:t>
            </w:r>
          </w:p>
        </w:tc>
        <w:tc>
          <w:tcPr>
            <w:tcW w:w="0" w:type="auto"/>
            <w:shd w:val="clear" w:color="auto" w:fill="auto"/>
            <w:vAlign w:val="center"/>
          </w:tcPr>
          <w:p w14:paraId="6E8F5DCF" w14:textId="77777777" w:rsidR="00470AE4" w:rsidRPr="00C63860" w:rsidRDefault="00470AE4" w:rsidP="00470AE4">
            <w:pPr>
              <w:jc w:val="center"/>
              <w:rPr>
                <w:rFonts w:cstheme="minorHAnsi"/>
              </w:rPr>
            </w:pPr>
            <w:r w:rsidRPr="00C63860">
              <w:rPr>
                <w:rFonts w:cstheme="minorHAnsi"/>
              </w:rPr>
              <w:t>20,712 (47.2%)</w:t>
            </w:r>
          </w:p>
        </w:tc>
        <w:tc>
          <w:tcPr>
            <w:tcW w:w="0" w:type="auto"/>
            <w:shd w:val="clear" w:color="auto" w:fill="auto"/>
            <w:vAlign w:val="center"/>
          </w:tcPr>
          <w:p w14:paraId="0D0EB707" w14:textId="77777777" w:rsidR="00470AE4" w:rsidRPr="00C63860" w:rsidRDefault="00470AE4" w:rsidP="00470AE4">
            <w:pPr>
              <w:jc w:val="center"/>
              <w:rPr>
                <w:rFonts w:cstheme="minorHAnsi"/>
              </w:rPr>
            </w:pPr>
            <w:r w:rsidRPr="00C63860">
              <w:rPr>
                <w:rFonts w:cstheme="minorHAnsi"/>
              </w:rPr>
              <w:t>2,682 (6.6%)</w:t>
            </w:r>
          </w:p>
        </w:tc>
        <w:tc>
          <w:tcPr>
            <w:tcW w:w="0" w:type="auto"/>
            <w:shd w:val="clear" w:color="auto" w:fill="auto"/>
            <w:vAlign w:val="center"/>
          </w:tcPr>
          <w:p w14:paraId="08903F85" w14:textId="77777777" w:rsidR="00470AE4" w:rsidRPr="00C63860" w:rsidRDefault="00470AE4" w:rsidP="00470AE4">
            <w:pPr>
              <w:jc w:val="center"/>
              <w:rPr>
                <w:rFonts w:cstheme="minorHAnsi"/>
              </w:rPr>
            </w:pPr>
            <w:r w:rsidRPr="00C63860">
              <w:rPr>
                <w:rFonts w:cstheme="minorHAnsi"/>
              </w:rPr>
              <w:t>10,460 (11.3%)</w:t>
            </w:r>
          </w:p>
        </w:tc>
      </w:tr>
      <w:tr w:rsidR="00470AE4" w:rsidRPr="00C63860" w14:paraId="283E7819" w14:textId="77777777" w:rsidTr="00C63860">
        <w:trPr>
          <w:cantSplit/>
        </w:trPr>
        <w:tc>
          <w:tcPr>
            <w:tcW w:w="0" w:type="auto"/>
            <w:shd w:val="clear" w:color="auto" w:fill="auto"/>
            <w:vAlign w:val="center"/>
          </w:tcPr>
          <w:p w14:paraId="04E1663E" w14:textId="77777777" w:rsidR="00470AE4" w:rsidRPr="00C63860" w:rsidRDefault="00470AE4" w:rsidP="00470AE4">
            <w:pPr>
              <w:rPr>
                <w:rFonts w:cstheme="minorHAnsi"/>
                <w:i/>
                <w:iCs/>
              </w:rPr>
            </w:pPr>
          </w:p>
        </w:tc>
        <w:tc>
          <w:tcPr>
            <w:tcW w:w="0" w:type="auto"/>
            <w:shd w:val="clear" w:color="auto" w:fill="auto"/>
            <w:vAlign w:val="center"/>
          </w:tcPr>
          <w:p w14:paraId="561C16DD" w14:textId="77777777" w:rsidR="00470AE4" w:rsidRPr="00C63860" w:rsidRDefault="00470AE4" w:rsidP="00470AE4">
            <w:pPr>
              <w:jc w:val="center"/>
              <w:rPr>
                <w:rFonts w:cstheme="minorHAnsi"/>
              </w:rPr>
            </w:pPr>
          </w:p>
        </w:tc>
        <w:tc>
          <w:tcPr>
            <w:tcW w:w="0" w:type="auto"/>
            <w:shd w:val="clear" w:color="auto" w:fill="auto"/>
            <w:vAlign w:val="center"/>
          </w:tcPr>
          <w:p w14:paraId="0EA5FAEC" w14:textId="77777777" w:rsidR="00470AE4" w:rsidRPr="00C63860" w:rsidRDefault="00470AE4" w:rsidP="00470AE4">
            <w:pPr>
              <w:jc w:val="center"/>
              <w:rPr>
                <w:rFonts w:cstheme="minorHAnsi"/>
              </w:rPr>
            </w:pPr>
          </w:p>
        </w:tc>
        <w:tc>
          <w:tcPr>
            <w:tcW w:w="0" w:type="auto"/>
            <w:shd w:val="clear" w:color="auto" w:fill="auto"/>
            <w:vAlign w:val="center"/>
          </w:tcPr>
          <w:p w14:paraId="1097F306" w14:textId="77777777" w:rsidR="00470AE4" w:rsidRPr="00C63860" w:rsidRDefault="00470AE4" w:rsidP="00470AE4">
            <w:pPr>
              <w:jc w:val="center"/>
              <w:rPr>
                <w:rFonts w:cstheme="minorHAnsi"/>
              </w:rPr>
            </w:pPr>
          </w:p>
        </w:tc>
        <w:tc>
          <w:tcPr>
            <w:tcW w:w="0" w:type="auto"/>
            <w:shd w:val="clear" w:color="auto" w:fill="auto"/>
            <w:vAlign w:val="center"/>
          </w:tcPr>
          <w:p w14:paraId="3052E501" w14:textId="77777777" w:rsidR="00470AE4" w:rsidRPr="00C63860" w:rsidRDefault="00470AE4" w:rsidP="00470AE4">
            <w:pPr>
              <w:jc w:val="center"/>
              <w:rPr>
                <w:rFonts w:cstheme="minorHAnsi"/>
              </w:rPr>
            </w:pPr>
          </w:p>
        </w:tc>
        <w:tc>
          <w:tcPr>
            <w:tcW w:w="0" w:type="auto"/>
            <w:shd w:val="clear" w:color="auto" w:fill="auto"/>
            <w:vAlign w:val="center"/>
          </w:tcPr>
          <w:p w14:paraId="77281733" w14:textId="77777777" w:rsidR="00470AE4" w:rsidRPr="00C63860" w:rsidRDefault="00470AE4" w:rsidP="00470AE4">
            <w:pPr>
              <w:jc w:val="center"/>
              <w:rPr>
                <w:rFonts w:cstheme="minorHAnsi"/>
              </w:rPr>
            </w:pPr>
          </w:p>
        </w:tc>
        <w:tc>
          <w:tcPr>
            <w:tcW w:w="0" w:type="auto"/>
            <w:shd w:val="clear" w:color="auto" w:fill="auto"/>
            <w:vAlign w:val="center"/>
          </w:tcPr>
          <w:p w14:paraId="580EF670" w14:textId="77777777" w:rsidR="00470AE4" w:rsidRPr="00C63860" w:rsidRDefault="00470AE4" w:rsidP="00470AE4">
            <w:pPr>
              <w:jc w:val="center"/>
              <w:rPr>
                <w:rFonts w:cstheme="minorHAnsi"/>
              </w:rPr>
            </w:pPr>
          </w:p>
        </w:tc>
        <w:tc>
          <w:tcPr>
            <w:tcW w:w="0" w:type="auto"/>
            <w:shd w:val="clear" w:color="auto" w:fill="auto"/>
            <w:vAlign w:val="center"/>
          </w:tcPr>
          <w:p w14:paraId="51110AB7" w14:textId="77777777" w:rsidR="00470AE4" w:rsidRPr="00C63860" w:rsidRDefault="00470AE4" w:rsidP="00470AE4">
            <w:pPr>
              <w:jc w:val="center"/>
              <w:rPr>
                <w:rFonts w:cstheme="minorHAnsi"/>
              </w:rPr>
            </w:pPr>
          </w:p>
        </w:tc>
        <w:tc>
          <w:tcPr>
            <w:tcW w:w="0" w:type="auto"/>
            <w:shd w:val="clear" w:color="auto" w:fill="auto"/>
            <w:vAlign w:val="center"/>
          </w:tcPr>
          <w:p w14:paraId="15D4FB21" w14:textId="77777777" w:rsidR="00470AE4" w:rsidRPr="00C63860" w:rsidRDefault="00470AE4" w:rsidP="00470AE4">
            <w:pPr>
              <w:jc w:val="center"/>
              <w:rPr>
                <w:rFonts w:cstheme="minorHAnsi"/>
              </w:rPr>
            </w:pPr>
          </w:p>
        </w:tc>
        <w:tc>
          <w:tcPr>
            <w:tcW w:w="0" w:type="auto"/>
            <w:shd w:val="clear" w:color="auto" w:fill="auto"/>
            <w:vAlign w:val="center"/>
          </w:tcPr>
          <w:p w14:paraId="26B2E301" w14:textId="77777777" w:rsidR="00470AE4" w:rsidRPr="00C63860" w:rsidRDefault="00470AE4" w:rsidP="00470AE4">
            <w:pPr>
              <w:jc w:val="center"/>
              <w:rPr>
                <w:rFonts w:cstheme="minorHAnsi"/>
              </w:rPr>
            </w:pPr>
          </w:p>
        </w:tc>
        <w:tc>
          <w:tcPr>
            <w:tcW w:w="0" w:type="auto"/>
            <w:shd w:val="clear" w:color="auto" w:fill="auto"/>
            <w:vAlign w:val="center"/>
          </w:tcPr>
          <w:p w14:paraId="37BB51D0" w14:textId="77777777" w:rsidR="00470AE4" w:rsidRPr="00C63860" w:rsidRDefault="00470AE4" w:rsidP="00470AE4">
            <w:pPr>
              <w:jc w:val="center"/>
              <w:rPr>
                <w:rFonts w:cstheme="minorHAnsi"/>
              </w:rPr>
            </w:pPr>
          </w:p>
        </w:tc>
      </w:tr>
      <w:tr w:rsidR="00470AE4" w:rsidRPr="00C63860" w14:paraId="10B3FC24" w14:textId="77777777" w:rsidTr="00C63860">
        <w:trPr>
          <w:cantSplit/>
        </w:trPr>
        <w:tc>
          <w:tcPr>
            <w:tcW w:w="0" w:type="auto"/>
            <w:shd w:val="clear" w:color="auto" w:fill="auto"/>
            <w:vAlign w:val="center"/>
          </w:tcPr>
          <w:p w14:paraId="7F922142" w14:textId="77777777" w:rsidR="00470AE4" w:rsidRPr="00C63860" w:rsidRDefault="00470AE4" w:rsidP="00470AE4">
            <w:pPr>
              <w:rPr>
                <w:rFonts w:cstheme="minorHAnsi"/>
                <w:i/>
                <w:iCs/>
              </w:rPr>
            </w:pPr>
            <w:r w:rsidRPr="00C63860">
              <w:rPr>
                <w:rFonts w:cstheme="minorHAnsi"/>
                <w:i/>
                <w:iCs/>
              </w:rPr>
              <w:t>Total hospital days at one year</w:t>
            </w:r>
          </w:p>
        </w:tc>
        <w:tc>
          <w:tcPr>
            <w:tcW w:w="0" w:type="auto"/>
            <w:shd w:val="clear" w:color="auto" w:fill="auto"/>
            <w:vAlign w:val="center"/>
          </w:tcPr>
          <w:p w14:paraId="2412DA70" w14:textId="77777777" w:rsidR="00470AE4" w:rsidRPr="00C63860" w:rsidRDefault="00470AE4" w:rsidP="00470AE4">
            <w:pPr>
              <w:jc w:val="center"/>
              <w:rPr>
                <w:rFonts w:cstheme="minorHAnsi"/>
              </w:rPr>
            </w:pPr>
            <w:r w:rsidRPr="00C63860">
              <w:rPr>
                <w:rFonts w:cstheme="minorHAnsi"/>
              </w:rPr>
              <w:t>5.9 (7.9)</w:t>
            </w:r>
          </w:p>
        </w:tc>
        <w:tc>
          <w:tcPr>
            <w:tcW w:w="0" w:type="auto"/>
            <w:shd w:val="clear" w:color="auto" w:fill="auto"/>
            <w:vAlign w:val="center"/>
          </w:tcPr>
          <w:p w14:paraId="0252BF1A" w14:textId="77777777" w:rsidR="00470AE4" w:rsidRPr="00C63860" w:rsidRDefault="00470AE4" w:rsidP="00470AE4">
            <w:pPr>
              <w:jc w:val="center"/>
              <w:rPr>
                <w:rFonts w:cstheme="minorHAnsi"/>
              </w:rPr>
            </w:pPr>
            <w:r w:rsidRPr="00C63860">
              <w:rPr>
                <w:rFonts w:cstheme="minorHAnsi"/>
              </w:rPr>
              <w:t>8.9 (13.0)</w:t>
            </w:r>
          </w:p>
        </w:tc>
        <w:tc>
          <w:tcPr>
            <w:tcW w:w="0" w:type="auto"/>
            <w:shd w:val="clear" w:color="auto" w:fill="auto"/>
            <w:vAlign w:val="center"/>
          </w:tcPr>
          <w:p w14:paraId="3B79F5B4" w14:textId="77777777" w:rsidR="00470AE4" w:rsidRPr="00C63860" w:rsidRDefault="00470AE4" w:rsidP="00470AE4">
            <w:pPr>
              <w:jc w:val="center"/>
              <w:rPr>
                <w:rFonts w:cstheme="minorHAnsi"/>
              </w:rPr>
            </w:pPr>
            <w:r w:rsidRPr="00C63860">
              <w:rPr>
                <w:rFonts w:cstheme="minorHAnsi"/>
              </w:rPr>
              <w:t>10.2 (13.5)</w:t>
            </w:r>
          </w:p>
        </w:tc>
        <w:tc>
          <w:tcPr>
            <w:tcW w:w="0" w:type="auto"/>
            <w:shd w:val="clear" w:color="auto" w:fill="auto"/>
            <w:vAlign w:val="center"/>
          </w:tcPr>
          <w:p w14:paraId="50D3C924" w14:textId="77777777" w:rsidR="00470AE4" w:rsidRPr="00C63860" w:rsidRDefault="00470AE4" w:rsidP="00470AE4">
            <w:pPr>
              <w:jc w:val="center"/>
              <w:rPr>
                <w:rFonts w:cstheme="minorHAnsi"/>
              </w:rPr>
            </w:pPr>
            <w:r w:rsidRPr="00C63860">
              <w:rPr>
                <w:rFonts w:cstheme="minorHAnsi"/>
              </w:rPr>
              <w:t>12.1 (16.05)</w:t>
            </w:r>
          </w:p>
        </w:tc>
        <w:tc>
          <w:tcPr>
            <w:tcW w:w="0" w:type="auto"/>
            <w:shd w:val="clear" w:color="auto" w:fill="auto"/>
            <w:vAlign w:val="center"/>
          </w:tcPr>
          <w:p w14:paraId="67D8573F" w14:textId="77777777" w:rsidR="00470AE4" w:rsidRPr="00C63860" w:rsidRDefault="00470AE4" w:rsidP="00470AE4">
            <w:pPr>
              <w:jc w:val="center"/>
              <w:rPr>
                <w:rFonts w:cstheme="minorHAnsi"/>
              </w:rPr>
            </w:pPr>
            <w:r w:rsidRPr="00C63860">
              <w:rPr>
                <w:rFonts w:cstheme="minorHAnsi"/>
              </w:rPr>
              <w:t>28.1 (27.4)</w:t>
            </w:r>
          </w:p>
        </w:tc>
        <w:tc>
          <w:tcPr>
            <w:tcW w:w="0" w:type="auto"/>
            <w:shd w:val="clear" w:color="auto" w:fill="auto"/>
            <w:vAlign w:val="center"/>
          </w:tcPr>
          <w:p w14:paraId="7197FEAD" w14:textId="77777777" w:rsidR="00470AE4" w:rsidRPr="00C63860" w:rsidRDefault="00470AE4" w:rsidP="00470AE4">
            <w:pPr>
              <w:jc w:val="center"/>
              <w:rPr>
                <w:rFonts w:cstheme="minorHAnsi"/>
              </w:rPr>
            </w:pPr>
            <w:r w:rsidRPr="00C63860">
              <w:rPr>
                <w:rFonts w:cstheme="minorHAnsi"/>
              </w:rPr>
              <w:t>11.7 (17.3)</w:t>
            </w:r>
          </w:p>
        </w:tc>
        <w:tc>
          <w:tcPr>
            <w:tcW w:w="0" w:type="auto"/>
            <w:shd w:val="clear" w:color="auto" w:fill="auto"/>
            <w:vAlign w:val="center"/>
          </w:tcPr>
          <w:p w14:paraId="6F12172D" w14:textId="77777777" w:rsidR="00470AE4" w:rsidRPr="00C63860" w:rsidRDefault="00470AE4" w:rsidP="00470AE4">
            <w:pPr>
              <w:jc w:val="center"/>
              <w:rPr>
                <w:rFonts w:cstheme="minorHAnsi"/>
              </w:rPr>
            </w:pPr>
            <w:r w:rsidRPr="00C63860">
              <w:rPr>
                <w:rFonts w:cstheme="minorHAnsi"/>
              </w:rPr>
              <w:t>10.2 (17.8)</w:t>
            </w:r>
          </w:p>
        </w:tc>
        <w:tc>
          <w:tcPr>
            <w:tcW w:w="0" w:type="auto"/>
            <w:shd w:val="clear" w:color="auto" w:fill="auto"/>
            <w:vAlign w:val="center"/>
          </w:tcPr>
          <w:p w14:paraId="240FFB95" w14:textId="77777777" w:rsidR="00470AE4" w:rsidRPr="00C63860" w:rsidRDefault="00470AE4" w:rsidP="00470AE4">
            <w:pPr>
              <w:jc w:val="center"/>
              <w:rPr>
                <w:rFonts w:cstheme="minorHAnsi"/>
              </w:rPr>
            </w:pPr>
            <w:r w:rsidRPr="00C63860">
              <w:rPr>
                <w:rFonts w:cstheme="minorHAnsi"/>
              </w:rPr>
              <w:t>9.8 (18.7)</w:t>
            </w:r>
          </w:p>
        </w:tc>
        <w:tc>
          <w:tcPr>
            <w:tcW w:w="0" w:type="auto"/>
            <w:shd w:val="clear" w:color="auto" w:fill="auto"/>
            <w:vAlign w:val="center"/>
          </w:tcPr>
          <w:p w14:paraId="14333BB4" w14:textId="77777777" w:rsidR="00470AE4" w:rsidRPr="00C63860" w:rsidRDefault="00470AE4" w:rsidP="00470AE4">
            <w:pPr>
              <w:jc w:val="center"/>
              <w:rPr>
                <w:rFonts w:cstheme="minorHAnsi"/>
              </w:rPr>
            </w:pPr>
            <w:r w:rsidRPr="00C63860">
              <w:rPr>
                <w:rFonts w:cstheme="minorHAnsi"/>
              </w:rPr>
              <w:t>23.4 (25.8)</w:t>
            </w:r>
          </w:p>
        </w:tc>
        <w:tc>
          <w:tcPr>
            <w:tcW w:w="0" w:type="auto"/>
            <w:shd w:val="clear" w:color="auto" w:fill="auto"/>
            <w:vAlign w:val="center"/>
          </w:tcPr>
          <w:p w14:paraId="0C862131" w14:textId="77777777" w:rsidR="00470AE4" w:rsidRPr="00C63860" w:rsidRDefault="00470AE4" w:rsidP="00470AE4">
            <w:pPr>
              <w:jc w:val="center"/>
              <w:rPr>
                <w:rFonts w:cstheme="minorHAnsi"/>
              </w:rPr>
            </w:pPr>
            <w:r w:rsidRPr="00C63860">
              <w:rPr>
                <w:rFonts w:cstheme="minorHAnsi"/>
              </w:rPr>
              <w:t>18.4 (25.1)</w:t>
            </w:r>
          </w:p>
        </w:tc>
      </w:tr>
      <w:tr w:rsidR="00470AE4" w:rsidRPr="00C63860" w14:paraId="49D756B0" w14:textId="77777777" w:rsidTr="00C63860">
        <w:trPr>
          <w:cantSplit/>
        </w:trPr>
        <w:tc>
          <w:tcPr>
            <w:tcW w:w="0" w:type="auto"/>
            <w:shd w:val="clear" w:color="auto" w:fill="auto"/>
            <w:vAlign w:val="center"/>
          </w:tcPr>
          <w:p w14:paraId="63DCB26A" w14:textId="77777777" w:rsidR="00470AE4" w:rsidRPr="00C63860" w:rsidRDefault="00470AE4" w:rsidP="00470AE4">
            <w:pPr>
              <w:rPr>
                <w:rFonts w:cstheme="minorHAnsi"/>
                <w:i/>
                <w:iCs/>
              </w:rPr>
            </w:pPr>
            <w:r w:rsidRPr="00C63860">
              <w:rPr>
                <w:rFonts w:cstheme="minorHAnsi"/>
                <w:i/>
                <w:iCs/>
              </w:rPr>
              <w:t xml:space="preserve">Total hospital days at one year: incremental effect </w:t>
            </w:r>
            <w:r w:rsidRPr="00C63860">
              <w:rPr>
                <w:rFonts w:cstheme="minorHAnsi"/>
                <w:bCs/>
              </w:rPr>
              <w:t>[95% CI]</w:t>
            </w:r>
          </w:p>
        </w:tc>
        <w:tc>
          <w:tcPr>
            <w:tcW w:w="0" w:type="auto"/>
            <w:gridSpan w:val="2"/>
            <w:shd w:val="clear" w:color="auto" w:fill="auto"/>
            <w:vAlign w:val="center"/>
          </w:tcPr>
          <w:p w14:paraId="24B57556" w14:textId="390216CB" w:rsidR="00470AE4" w:rsidRPr="00C63860" w:rsidRDefault="00C63860" w:rsidP="00470AE4">
            <w:pPr>
              <w:jc w:val="center"/>
              <w:rPr>
                <w:rFonts w:cstheme="minorHAnsi"/>
              </w:rPr>
            </w:pPr>
            <w:r w:rsidRPr="00C63860">
              <w:rPr>
                <w:rFonts w:cstheme="minorHAnsi"/>
                <w:color w:val="00B0F0"/>
              </w:rPr>
              <w:t>–3</w:t>
            </w:r>
            <w:r w:rsidR="00470AE4" w:rsidRPr="00C63860">
              <w:rPr>
                <w:rFonts w:cstheme="minorHAnsi"/>
              </w:rPr>
              <w:t>.1 [</w:t>
            </w:r>
            <w:r w:rsidRPr="00C63860">
              <w:rPr>
                <w:rFonts w:cstheme="minorHAnsi"/>
                <w:color w:val="00B0F0"/>
              </w:rPr>
              <w:t>–3</w:t>
            </w:r>
            <w:r w:rsidR="00470AE4" w:rsidRPr="00C63860">
              <w:rPr>
                <w:rFonts w:cstheme="minorHAnsi"/>
              </w:rPr>
              <w:t>.2</w:t>
            </w:r>
            <w:r w:rsidRPr="00C63860">
              <w:rPr>
                <w:rFonts w:cstheme="minorHAnsi"/>
                <w:color w:val="00B0F0"/>
              </w:rPr>
              <w:t>3, -2</w:t>
            </w:r>
            <w:r w:rsidR="00470AE4" w:rsidRPr="00C63860">
              <w:rPr>
                <w:rFonts w:cstheme="minorHAnsi"/>
              </w:rPr>
              <w:t>.87]</w:t>
            </w:r>
          </w:p>
        </w:tc>
        <w:tc>
          <w:tcPr>
            <w:tcW w:w="0" w:type="auto"/>
            <w:gridSpan w:val="2"/>
            <w:shd w:val="clear" w:color="auto" w:fill="auto"/>
            <w:vAlign w:val="center"/>
          </w:tcPr>
          <w:p w14:paraId="60631C23" w14:textId="55849838" w:rsidR="00470AE4" w:rsidRPr="00C63860" w:rsidRDefault="00C63860" w:rsidP="00470AE4">
            <w:pPr>
              <w:jc w:val="center"/>
              <w:rPr>
                <w:rFonts w:cstheme="minorHAnsi"/>
              </w:rPr>
            </w:pPr>
            <w:r w:rsidRPr="00C63860">
              <w:rPr>
                <w:rFonts w:cstheme="minorHAnsi"/>
                <w:color w:val="00B0F0"/>
              </w:rPr>
              <w:t>–1</w:t>
            </w:r>
            <w:r w:rsidR="00470AE4" w:rsidRPr="00C63860">
              <w:rPr>
                <w:rFonts w:cstheme="minorHAnsi"/>
              </w:rPr>
              <w:t>.91 [</w:t>
            </w:r>
            <w:r w:rsidRPr="00C63860">
              <w:rPr>
                <w:rFonts w:cstheme="minorHAnsi"/>
                <w:color w:val="00B0F0"/>
              </w:rPr>
              <w:t>–2</w:t>
            </w:r>
            <w:r w:rsidR="00470AE4" w:rsidRPr="00C63860">
              <w:rPr>
                <w:rFonts w:cstheme="minorHAnsi"/>
              </w:rPr>
              <w:t>.</w:t>
            </w:r>
            <w:r w:rsidRPr="00C63860">
              <w:rPr>
                <w:rFonts w:cstheme="minorHAnsi"/>
                <w:color w:val="00B0F0"/>
              </w:rPr>
              <w:t>0, -1</w:t>
            </w:r>
            <w:r w:rsidR="00470AE4" w:rsidRPr="00C63860">
              <w:rPr>
                <w:rFonts w:cstheme="minorHAnsi"/>
              </w:rPr>
              <w:t>.8]</w:t>
            </w:r>
          </w:p>
        </w:tc>
        <w:tc>
          <w:tcPr>
            <w:tcW w:w="0" w:type="auto"/>
            <w:gridSpan w:val="2"/>
            <w:shd w:val="clear" w:color="auto" w:fill="auto"/>
            <w:vAlign w:val="center"/>
          </w:tcPr>
          <w:p w14:paraId="553B57E2" w14:textId="77777777" w:rsidR="00470AE4" w:rsidRPr="00C63860" w:rsidRDefault="00470AE4" w:rsidP="00470AE4">
            <w:pPr>
              <w:jc w:val="center"/>
              <w:rPr>
                <w:rFonts w:cstheme="minorHAnsi"/>
              </w:rPr>
            </w:pPr>
            <w:r w:rsidRPr="00C63860">
              <w:rPr>
                <w:rFonts w:cstheme="minorHAnsi"/>
              </w:rPr>
              <w:t>16.5 [16.0, 16.9]</w:t>
            </w:r>
          </w:p>
        </w:tc>
        <w:tc>
          <w:tcPr>
            <w:tcW w:w="0" w:type="auto"/>
            <w:gridSpan w:val="2"/>
            <w:shd w:val="clear" w:color="auto" w:fill="auto"/>
            <w:vAlign w:val="center"/>
          </w:tcPr>
          <w:p w14:paraId="60A76BE4" w14:textId="77777777" w:rsidR="00470AE4" w:rsidRPr="00C63860" w:rsidRDefault="00470AE4" w:rsidP="00470AE4">
            <w:pPr>
              <w:jc w:val="center"/>
              <w:rPr>
                <w:rFonts w:cstheme="minorHAnsi"/>
              </w:rPr>
            </w:pPr>
            <w:r w:rsidRPr="00C63860">
              <w:rPr>
                <w:rFonts w:cstheme="minorHAnsi"/>
              </w:rPr>
              <w:t>0.3 [0.1, 0.5]</w:t>
            </w:r>
          </w:p>
        </w:tc>
        <w:tc>
          <w:tcPr>
            <w:tcW w:w="0" w:type="auto"/>
            <w:gridSpan w:val="2"/>
            <w:shd w:val="clear" w:color="auto" w:fill="auto"/>
            <w:vAlign w:val="center"/>
          </w:tcPr>
          <w:p w14:paraId="11E2EE29" w14:textId="77777777" w:rsidR="00470AE4" w:rsidRPr="00C63860" w:rsidRDefault="00470AE4" w:rsidP="00470AE4">
            <w:pPr>
              <w:jc w:val="center"/>
              <w:rPr>
                <w:rFonts w:cstheme="minorHAnsi"/>
              </w:rPr>
            </w:pPr>
            <w:r w:rsidRPr="00C63860">
              <w:rPr>
                <w:rFonts w:cstheme="minorHAnsi"/>
              </w:rPr>
              <w:t>5.0 [4.7, 5.3]</w:t>
            </w:r>
          </w:p>
        </w:tc>
      </w:tr>
    </w:tbl>
    <w:p w14:paraId="66CCB626" w14:textId="25A53A9F" w:rsidR="00C63860" w:rsidRPr="00C63860" w:rsidRDefault="00470AE4" w:rsidP="00470AE4">
      <w:pPr>
        <w:rPr>
          <w:rFonts w:eastAsia="DengXian"/>
          <w:sz w:val="21"/>
          <w:szCs w:val="21"/>
          <w:lang w:eastAsia="zh-CN"/>
        </w:rPr>
      </w:pPr>
      <w:r w:rsidRPr="00C63860">
        <w:rPr>
          <w:rFonts w:cstheme="minorHAnsi"/>
          <w:sz w:val="21"/>
          <w:szCs w:val="21"/>
        </w:rPr>
        <w:t xml:space="preserve">All results are mean (SD) unless stated. </w:t>
      </w:r>
      <w:r w:rsidRPr="00C63860">
        <w:rPr>
          <w:rFonts w:eastAsia="DengXian"/>
          <w:sz w:val="21"/>
          <w:szCs w:val="21"/>
          <w:vertAlign w:val="superscript"/>
          <w:lang w:eastAsia="zh-CN"/>
        </w:rPr>
        <w:t>a</w:t>
      </w:r>
      <w:r w:rsidRPr="00C63860">
        <w:rPr>
          <w:rFonts w:eastAsia="DengXian"/>
          <w:sz w:val="21"/>
          <w:szCs w:val="21"/>
          <w:lang w:eastAsia="zh-CN"/>
        </w:rPr>
        <w:t xml:space="preserve">Percentage of </w:t>
      </w:r>
      <w:r w:rsidR="00C63860" w:rsidRPr="00C63860">
        <w:rPr>
          <w:rFonts w:eastAsia="DengXian"/>
          <w:color w:val="00B0F0"/>
          <w:sz w:val="21"/>
          <w:szCs w:val="21"/>
          <w:lang w:eastAsia="zh-CN"/>
        </w:rPr>
        <w:t>patients who</w:t>
      </w:r>
      <w:r w:rsidRPr="00C63860">
        <w:rPr>
          <w:rFonts w:eastAsia="DengXian"/>
          <w:sz w:val="21"/>
          <w:szCs w:val="21"/>
          <w:lang w:eastAsia="zh-CN"/>
        </w:rPr>
        <w:t xml:space="preserve"> received a procedure with a prevalence that exceeded 1% in the index admission.</w:t>
      </w:r>
    </w:p>
    <w:p w14:paraId="5DC8575C" w14:textId="359B6268" w:rsidR="00E13E3C" w:rsidRPr="00C63860" w:rsidRDefault="00C63860" w:rsidP="00E13E3C">
      <w:pPr>
        <w:pStyle w:val="Caption"/>
        <w:rPr>
          <w:rFonts w:eastAsia="DengXian"/>
          <w:b/>
          <w:bCs/>
          <w:color w:val="auto"/>
          <w:sz w:val="22"/>
          <w:szCs w:val="22"/>
          <w:lang w:eastAsia="zh-CN"/>
        </w:rPr>
      </w:pPr>
      <w:bookmarkStart w:id="81" w:name="_Toc86670785"/>
      <w:r w:rsidRPr="00C63860">
        <w:rPr>
          <w:b/>
          <w:bCs/>
          <w:color w:val="FF0000"/>
          <w:sz w:val="22"/>
          <w:szCs w:val="22"/>
        </w:rPr>
        <w:t xml:space="preserve">Table </w:t>
      </w:r>
      <w:r w:rsidRPr="00C63860">
        <w:rPr>
          <w:b/>
          <w:bCs/>
          <w:noProof/>
          <w:color w:val="FF0000"/>
          <w:sz w:val="22"/>
          <w:szCs w:val="22"/>
        </w:rPr>
        <w:t>13</w:t>
      </w:r>
      <w:r w:rsidR="00E13E3C" w:rsidRPr="00C63860">
        <w:rPr>
          <w:b/>
          <w:bCs/>
          <w:color w:val="auto"/>
          <w:sz w:val="22"/>
          <w:szCs w:val="22"/>
        </w:rPr>
        <w:t>: Operative procedures during emergency surgery (ES) window for ES and non-emergency surgery (NES) strategies</w:t>
      </w:r>
      <w:bookmarkEnd w:id="81"/>
    </w:p>
    <w:tbl>
      <w:tblPr>
        <w:tblW w:w="0" w:type="auto"/>
        <w:tblInd w:w="-800" w:type="dxa"/>
        <w:tblCellMar>
          <w:top w:w="40" w:type="dxa"/>
          <w:left w:w="60" w:type="dxa"/>
          <w:bottom w:w="40" w:type="dxa"/>
          <w:right w:w="60" w:type="dxa"/>
        </w:tblCellMar>
        <w:tblLook w:val="04A0" w:firstRow="1" w:lastRow="0" w:firstColumn="1" w:lastColumn="0" w:noHBand="0" w:noVBand="1"/>
      </w:tblPr>
      <w:tblGrid>
        <w:gridCol w:w="785"/>
        <w:gridCol w:w="793"/>
        <w:gridCol w:w="968"/>
        <w:gridCol w:w="989"/>
        <w:gridCol w:w="925"/>
        <w:gridCol w:w="1219"/>
        <w:gridCol w:w="896"/>
        <w:gridCol w:w="728"/>
        <w:gridCol w:w="875"/>
        <w:gridCol w:w="752"/>
        <w:gridCol w:w="896"/>
      </w:tblGrid>
      <w:tr w:rsidR="00B65BC2" w:rsidRPr="00C63860" w14:paraId="2C112553" w14:textId="77777777" w:rsidTr="00C63860">
        <w:trPr>
          <w:cantSplit/>
        </w:trPr>
        <w:tc>
          <w:tcPr>
            <w:tcW w:w="0" w:type="auto"/>
            <w:shd w:val="clear" w:color="auto" w:fill="auto"/>
            <w:vAlign w:val="center"/>
            <w:hideMark/>
          </w:tcPr>
          <w:p w14:paraId="1F2649B9" w14:textId="77777777" w:rsidR="00470AE4" w:rsidRPr="00C63860" w:rsidRDefault="00470AE4" w:rsidP="00470AE4">
            <w:pPr>
              <w:contextualSpacing/>
              <w:rPr>
                <w:rFonts w:eastAsia="DengXian"/>
                <w:b/>
                <w:bCs/>
                <w:lang w:eastAsia="zh-CN"/>
              </w:rPr>
            </w:pPr>
          </w:p>
        </w:tc>
        <w:tc>
          <w:tcPr>
            <w:tcW w:w="0" w:type="auto"/>
            <w:gridSpan w:val="2"/>
            <w:shd w:val="clear" w:color="auto" w:fill="auto"/>
            <w:hideMark/>
          </w:tcPr>
          <w:p w14:paraId="66079318" w14:textId="77777777" w:rsidR="00C63860" w:rsidRPr="00C63860" w:rsidRDefault="00470AE4" w:rsidP="00470AE4">
            <w:pPr>
              <w:jc w:val="center"/>
              <w:rPr>
                <w:rFonts w:cstheme="minorHAnsi"/>
                <w:b/>
                <w:bCs/>
              </w:rPr>
            </w:pPr>
            <w:r w:rsidRPr="00C63860">
              <w:rPr>
                <w:rFonts w:cstheme="minorHAnsi"/>
                <w:b/>
                <w:bCs/>
              </w:rPr>
              <w:t>Appendicitis</w:t>
            </w:r>
          </w:p>
          <w:p w14:paraId="28A1BA72" w14:textId="0EF848A5" w:rsidR="00470AE4" w:rsidRPr="00C63860" w:rsidRDefault="00470AE4" w:rsidP="00470AE4">
            <w:pPr>
              <w:jc w:val="center"/>
              <w:rPr>
                <w:rFonts w:eastAsia="DengXian"/>
                <w:b/>
                <w:bCs/>
                <w:lang w:eastAsia="zh-CN"/>
              </w:rPr>
            </w:pPr>
            <w:r w:rsidRPr="00C63860">
              <w:rPr>
                <w:rFonts w:cstheme="minorHAnsi"/>
                <w:b/>
                <w:bCs/>
              </w:rPr>
              <w:t>(N=268,144)</w:t>
            </w:r>
          </w:p>
        </w:tc>
        <w:tc>
          <w:tcPr>
            <w:tcW w:w="0" w:type="auto"/>
            <w:gridSpan w:val="2"/>
            <w:shd w:val="clear" w:color="auto" w:fill="auto"/>
          </w:tcPr>
          <w:p w14:paraId="42670A46" w14:textId="77777777" w:rsidR="00C63860" w:rsidRPr="00C63860" w:rsidRDefault="00470AE4" w:rsidP="00470AE4">
            <w:pPr>
              <w:spacing w:before="100" w:beforeAutospacing="1" w:after="100" w:afterAutospacing="1"/>
              <w:contextualSpacing/>
              <w:jc w:val="center"/>
              <w:rPr>
                <w:rFonts w:cstheme="minorHAnsi"/>
                <w:b/>
                <w:bCs/>
              </w:rPr>
            </w:pPr>
            <w:r w:rsidRPr="00C63860">
              <w:rPr>
                <w:rFonts w:cstheme="minorHAnsi"/>
                <w:b/>
                <w:bCs/>
              </w:rPr>
              <w:t>Cholelithiasis</w:t>
            </w:r>
          </w:p>
          <w:p w14:paraId="78AC5891" w14:textId="4BA2DF8D" w:rsidR="00470AE4" w:rsidRPr="00C63860" w:rsidRDefault="00470AE4" w:rsidP="00470AE4">
            <w:pPr>
              <w:jc w:val="center"/>
              <w:rPr>
                <w:rFonts w:eastAsia="DengXian"/>
                <w:b/>
                <w:bCs/>
                <w:lang w:eastAsia="zh-CN"/>
              </w:rPr>
            </w:pPr>
            <w:r w:rsidRPr="00C63860">
              <w:rPr>
                <w:rFonts w:cstheme="minorHAnsi"/>
                <w:b/>
                <w:bCs/>
              </w:rPr>
              <w:t>(N=</w:t>
            </w:r>
            <w:r w:rsidRPr="00C63860">
              <w:rPr>
                <w:b/>
                <w:bCs/>
              </w:rPr>
              <w:t xml:space="preserve"> </w:t>
            </w:r>
            <w:r w:rsidRPr="00C63860">
              <w:rPr>
                <w:rFonts w:cstheme="minorHAnsi"/>
                <w:b/>
                <w:bCs/>
              </w:rPr>
              <w:t>240,977)</w:t>
            </w:r>
          </w:p>
        </w:tc>
        <w:tc>
          <w:tcPr>
            <w:tcW w:w="0" w:type="auto"/>
            <w:gridSpan w:val="2"/>
            <w:shd w:val="clear" w:color="auto" w:fill="auto"/>
            <w:hideMark/>
          </w:tcPr>
          <w:p w14:paraId="1709439E" w14:textId="77777777" w:rsidR="00C63860" w:rsidRPr="00C63860" w:rsidRDefault="00470AE4" w:rsidP="00470AE4">
            <w:pPr>
              <w:jc w:val="center"/>
              <w:rPr>
                <w:rFonts w:cstheme="minorHAnsi"/>
                <w:b/>
                <w:bCs/>
              </w:rPr>
            </w:pPr>
            <w:r w:rsidRPr="00C63860">
              <w:rPr>
                <w:rFonts w:cstheme="minorHAnsi"/>
                <w:b/>
                <w:bCs/>
              </w:rPr>
              <w:t>Diverticular disease</w:t>
            </w:r>
          </w:p>
          <w:p w14:paraId="43CDC6C2" w14:textId="06020868" w:rsidR="00470AE4" w:rsidRPr="00C63860" w:rsidRDefault="00470AE4" w:rsidP="00470AE4">
            <w:pPr>
              <w:jc w:val="center"/>
              <w:rPr>
                <w:rFonts w:eastAsia="DengXian"/>
                <w:b/>
                <w:bCs/>
                <w:lang w:eastAsia="zh-CN"/>
              </w:rPr>
            </w:pPr>
            <w:r w:rsidRPr="00C63860">
              <w:rPr>
                <w:rFonts w:cstheme="minorHAnsi"/>
                <w:b/>
                <w:bCs/>
              </w:rPr>
              <w:t>(N=138,869)</w:t>
            </w:r>
          </w:p>
        </w:tc>
        <w:tc>
          <w:tcPr>
            <w:tcW w:w="0" w:type="auto"/>
            <w:gridSpan w:val="2"/>
            <w:shd w:val="clear" w:color="auto" w:fill="auto"/>
            <w:hideMark/>
          </w:tcPr>
          <w:p w14:paraId="490B4AE8" w14:textId="77777777" w:rsidR="00C63860" w:rsidRPr="00C63860" w:rsidRDefault="00470AE4" w:rsidP="00470AE4">
            <w:pPr>
              <w:spacing w:before="100" w:beforeAutospacing="1" w:after="100" w:afterAutospacing="1"/>
              <w:contextualSpacing/>
              <w:jc w:val="center"/>
              <w:rPr>
                <w:rFonts w:cstheme="minorHAnsi"/>
                <w:b/>
                <w:bCs/>
              </w:rPr>
            </w:pPr>
            <w:r w:rsidRPr="00C63860">
              <w:rPr>
                <w:rFonts w:cstheme="minorHAnsi"/>
                <w:b/>
                <w:bCs/>
              </w:rPr>
              <w:t>Hernia</w:t>
            </w:r>
          </w:p>
          <w:p w14:paraId="127959DA" w14:textId="5973C2F6" w:rsidR="00470AE4" w:rsidRPr="00C63860" w:rsidRDefault="00470AE4" w:rsidP="00470AE4">
            <w:pPr>
              <w:jc w:val="center"/>
              <w:rPr>
                <w:rFonts w:eastAsia="DengXian"/>
                <w:b/>
                <w:bCs/>
                <w:lang w:eastAsia="zh-CN"/>
              </w:rPr>
            </w:pPr>
            <w:r w:rsidRPr="00C63860">
              <w:rPr>
                <w:rFonts w:cstheme="minorHAnsi"/>
                <w:b/>
                <w:bCs/>
              </w:rPr>
              <w:t>(N=106,432)</w:t>
            </w:r>
          </w:p>
        </w:tc>
        <w:tc>
          <w:tcPr>
            <w:tcW w:w="0" w:type="auto"/>
            <w:gridSpan w:val="2"/>
            <w:shd w:val="clear" w:color="auto" w:fill="auto"/>
            <w:hideMark/>
          </w:tcPr>
          <w:p w14:paraId="72D530FB" w14:textId="77777777" w:rsidR="00C63860" w:rsidRPr="00C63860" w:rsidRDefault="00470AE4" w:rsidP="00470AE4">
            <w:pPr>
              <w:spacing w:before="100" w:beforeAutospacing="1" w:after="100" w:afterAutospacing="1"/>
              <w:contextualSpacing/>
              <w:jc w:val="center"/>
              <w:rPr>
                <w:rFonts w:cstheme="minorHAnsi"/>
                <w:b/>
                <w:bCs/>
              </w:rPr>
            </w:pPr>
            <w:r w:rsidRPr="00C63860">
              <w:rPr>
                <w:rFonts w:cstheme="minorHAnsi"/>
                <w:b/>
                <w:bCs/>
              </w:rPr>
              <w:t>Intestinal obstruction</w:t>
            </w:r>
          </w:p>
          <w:p w14:paraId="38D059C8" w14:textId="51458391" w:rsidR="00470AE4" w:rsidRPr="00C63860" w:rsidRDefault="00470AE4" w:rsidP="00470AE4">
            <w:pPr>
              <w:jc w:val="center"/>
              <w:rPr>
                <w:rFonts w:eastAsia="DengXian"/>
                <w:b/>
                <w:bCs/>
                <w:lang w:eastAsia="zh-CN"/>
              </w:rPr>
            </w:pPr>
            <w:r w:rsidRPr="00C63860">
              <w:rPr>
                <w:rFonts w:cstheme="minorHAnsi"/>
                <w:b/>
                <w:bCs/>
              </w:rPr>
              <w:t>(N=133,073)</w:t>
            </w:r>
          </w:p>
        </w:tc>
      </w:tr>
      <w:tr w:rsidR="00C15B66" w:rsidRPr="00C63860" w14:paraId="0F1523EB" w14:textId="77777777" w:rsidTr="00C63860">
        <w:trPr>
          <w:cantSplit/>
        </w:trPr>
        <w:tc>
          <w:tcPr>
            <w:tcW w:w="0" w:type="auto"/>
            <w:shd w:val="clear" w:color="auto" w:fill="auto"/>
            <w:vAlign w:val="center"/>
            <w:hideMark/>
          </w:tcPr>
          <w:p w14:paraId="28D1A890" w14:textId="189A918E" w:rsidR="00470AE4" w:rsidRPr="00C63860" w:rsidRDefault="00C63860" w:rsidP="00470AE4">
            <w:pPr>
              <w:rPr>
                <w:rFonts w:eastAsia="DengXian"/>
                <w:b/>
                <w:bCs/>
                <w:lang w:eastAsia="zh-CN"/>
              </w:rPr>
            </w:pPr>
            <w:r w:rsidRPr="00C63860">
              <w:rPr>
                <w:rFonts w:eastAsia="DengXian"/>
                <w:b/>
                <w:bCs/>
                <w:lang w:eastAsia="zh-CN"/>
              </w:rPr>
              <w:t xml:space="preserve"> </w:t>
            </w:r>
          </w:p>
        </w:tc>
        <w:tc>
          <w:tcPr>
            <w:tcW w:w="0" w:type="auto"/>
            <w:shd w:val="clear" w:color="auto" w:fill="auto"/>
            <w:vAlign w:val="center"/>
            <w:hideMark/>
          </w:tcPr>
          <w:p w14:paraId="0E3C53C3" w14:textId="77777777" w:rsidR="00470AE4" w:rsidRPr="00C63860" w:rsidRDefault="00470AE4" w:rsidP="00470AE4">
            <w:pPr>
              <w:contextualSpacing/>
              <w:jc w:val="center"/>
              <w:rPr>
                <w:rFonts w:eastAsia="DengXian"/>
                <w:lang w:eastAsia="zh-CN"/>
              </w:rPr>
            </w:pPr>
            <w:r w:rsidRPr="00C63860">
              <w:rPr>
                <w:rFonts w:eastAsia="DengXian"/>
                <w:lang w:eastAsia="zh-CN"/>
              </w:rPr>
              <w:t>ES</w:t>
            </w:r>
          </w:p>
          <w:p w14:paraId="3B662333" w14:textId="77777777" w:rsidR="00470AE4" w:rsidRPr="00C63860" w:rsidRDefault="00470AE4" w:rsidP="00470AE4">
            <w:pPr>
              <w:contextualSpacing/>
              <w:jc w:val="center"/>
              <w:rPr>
                <w:rFonts w:eastAsia="DengXian"/>
                <w:lang w:eastAsia="zh-CN"/>
              </w:rPr>
            </w:pPr>
            <w:r w:rsidRPr="00C63860">
              <w:rPr>
                <w:rFonts w:eastAsia="DengXian"/>
                <w:lang w:eastAsia="zh-CN"/>
              </w:rPr>
              <w:t>(N=247,506)</w:t>
            </w:r>
          </w:p>
        </w:tc>
        <w:tc>
          <w:tcPr>
            <w:tcW w:w="0" w:type="auto"/>
            <w:shd w:val="clear" w:color="auto" w:fill="auto"/>
            <w:vAlign w:val="center"/>
            <w:hideMark/>
          </w:tcPr>
          <w:p w14:paraId="586140AE" w14:textId="77777777" w:rsidR="00470AE4" w:rsidRPr="00C63860" w:rsidRDefault="00470AE4" w:rsidP="00470AE4">
            <w:pPr>
              <w:contextualSpacing/>
              <w:jc w:val="center"/>
              <w:rPr>
                <w:rFonts w:eastAsia="DengXian"/>
                <w:lang w:eastAsia="zh-CN"/>
              </w:rPr>
            </w:pPr>
            <w:r w:rsidRPr="00C63860">
              <w:rPr>
                <w:rFonts w:eastAsia="DengXian"/>
                <w:lang w:eastAsia="zh-CN"/>
              </w:rPr>
              <w:t>NES</w:t>
            </w:r>
          </w:p>
          <w:p w14:paraId="25FB354B" w14:textId="77777777" w:rsidR="00470AE4" w:rsidRPr="00C63860" w:rsidRDefault="00470AE4" w:rsidP="00470AE4">
            <w:pPr>
              <w:contextualSpacing/>
              <w:jc w:val="center"/>
              <w:rPr>
                <w:rFonts w:eastAsia="DengXian"/>
                <w:lang w:eastAsia="zh-CN"/>
              </w:rPr>
            </w:pPr>
            <w:r w:rsidRPr="00C63860">
              <w:rPr>
                <w:rFonts w:eastAsia="DengXian"/>
                <w:lang w:eastAsia="zh-CN"/>
              </w:rPr>
              <w:t>(N=20,638)</w:t>
            </w:r>
          </w:p>
        </w:tc>
        <w:tc>
          <w:tcPr>
            <w:tcW w:w="0" w:type="auto"/>
            <w:shd w:val="clear" w:color="auto" w:fill="auto"/>
          </w:tcPr>
          <w:p w14:paraId="31384F2B" w14:textId="77777777" w:rsidR="00470AE4" w:rsidRPr="00C63860" w:rsidRDefault="00470AE4" w:rsidP="00470AE4">
            <w:pPr>
              <w:spacing w:before="100" w:beforeAutospacing="1" w:after="100" w:afterAutospacing="1"/>
              <w:contextualSpacing/>
              <w:jc w:val="center"/>
              <w:rPr>
                <w:rFonts w:cstheme="minorHAnsi"/>
                <w:bCs/>
              </w:rPr>
            </w:pPr>
            <w:r w:rsidRPr="00C63860">
              <w:rPr>
                <w:rFonts w:cstheme="minorHAnsi"/>
                <w:bCs/>
              </w:rPr>
              <w:t>ES</w:t>
            </w:r>
          </w:p>
          <w:p w14:paraId="5842050D" w14:textId="77777777" w:rsidR="00470AE4" w:rsidRPr="00C63860" w:rsidRDefault="00470AE4" w:rsidP="00470AE4">
            <w:pPr>
              <w:contextualSpacing/>
              <w:jc w:val="center"/>
              <w:rPr>
                <w:rFonts w:eastAsia="DengXian"/>
                <w:lang w:eastAsia="zh-CN"/>
              </w:rPr>
            </w:pPr>
            <w:r w:rsidRPr="00C63860">
              <w:rPr>
                <w:rFonts w:cstheme="minorHAnsi"/>
                <w:bCs/>
              </w:rPr>
              <w:t>(N</w:t>
            </w:r>
            <w:r w:rsidRPr="00C63860">
              <w:t>=</w:t>
            </w:r>
            <w:r w:rsidRPr="00C63860">
              <w:rPr>
                <w:rFonts w:cstheme="minorHAnsi"/>
                <w:bCs/>
              </w:rPr>
              <w:t>52,004)</w:t>
            </w:r>
          </w:p>
        </w:tc>
        <w:tc>
          <w:tcPr>
            <w:tcW w:w="0" w:type="auto"/>
            <w:shd w:val="clear" w:color="auto" w:fill="auto"/>
          </w:tcPr>
          <w:p w14:paraId="77C8BB28" w14:textId="77777777" w:rsidR="00470AE4" w:rsidRPr="00C63860" w:rsidRDefault="00470AE4" w:rsidP="00470AE4">
            <w:pPr>
              <w:spacing w:before="100" w:beforeAutospacing="1" w:after="100" w:afterAutospacing="1"/>
              <w:contextualSpacing/>
              <w:jc w:val="center"/>
              <w:rPr>
                <w:rFonts w:cstheme="minorHAnsi"/>
                <w:bCs/>
              </w:rPr>
            </w:pPr>
            <w:r w:rsidRPr="00C63860">
              <w:rPr>
                <w:rFonts w:cstheme="minorHAnsi"/>
                <w:bCs/>
              </w:rPr>
              <w:t>NES</w:t>
            </w:r>
          </w:p>
          <w:p w14:paraId="6AC0DBE6" w14:textId="77777777" w:rsidR="00470AE4" w:rsidRPr="00C63860" w:rsidRDefault="00470AE4" w:rsidP="00470AE4">
            <w:pPr>
              <w:contextualSpacing/>
              <w:jc w:val="center"/>
              <w:rPr>
                <w:rFonts w:eastAsia="DengXian"/>
                <w:lang w:eastAsia="zh-CN"/>
              </w:rPr>
            </w:pPr>
            <w:r w:rsidRPr="00C63860">
              <w:rPr>
                <w:rFonts w:cstheme="minorHAnsi"/>
                <w:bCs/>
              </w:rPr>
              <w:t>(N=188,973)</w:t>
            </w:r>
          </w:p>
        </w:tc>
        <w:tc>
          <w:tcPr>
            <w:tcW w:w="0" w:type="auto"/>
            <w:shd w:val="clear" w:color="auto" w:fill="auto"/>
            <w:vAlign w:val="center"/>
            <w:hideMark/>
          </w:tcPr>
          <w:p w14:paraId="03C0F5D4" w14:textId="77777777" w:rsidR="00470AE4" w:rsidRPr="00C63860" w:rsidRDefault="00470AE4" w:rsidP="00470AE4">
            <w:pPr>
              <w:contextualSpacing/>
              <w:jc w:val="center"/>
              <w:rPr>
                <w:rFonts w:eastAsia="DengXian"/>
                <w:lang w:eastAsia="zh-CN"/>
              </w:rPr>
            </w:pPr>
            <w:r w:rsidRPr="00C63860">
              <w:rPr>
                <w:rFonts w:eastAsia="DengXian"/>
                <w:lang w:eastAsia="zh-CN"/>
              </w:rPr>
              <w:t>ES</w:t>
            </w:r>
          </w:p>
          <w:p w14:paraId="1CA36F61" w14:textId="77777777" w:rsidR="00470AE4" w:rsidRPr="00C63860" w:rsidRDefault="00470AE4" w:rsidP="00470AE4">
            <w:pPr>
              <w:contextualSpacing/>
              <w:jc w:val="center"/>
              <w:rPr>
                <w:rFonts w:eastAsia="DengXian"/>
                <w:lang w:eastAsia="zh-CN"/>
              </w:rPr>
            </w:pPr>
            <w:r w:rsidRPr="00C63860">
              <w:rPr>
                <w:rFonts w:eastAsia="DengXian"/>
                <w:lang w:eastAsia="zh-CN"/>
              </w:rPr>
              <w:t>(N=15,772)</w:t>
            </w:r>
          </w:p>
        </w:tc>
        <w:tc>
          <w:tcPr>
            <w:tcW w:w="0" w:type="auto"/>
            <w:shd w:val="clear" w:color="auto" w:fill="auto"/>
            <w:vAlign w:val="center"/>
            <w:hideMark/>
          </w:tcPr>
          <w:p w14:paraId="44F499E7" w14:textId="77777777" w:rsidR="00470AE4" w:rsidRPr="00C63860" w:rsidRDefault="00470AE4" w:rsidP="00470AE4">
            <w:pPr>
              <w:contextualSpacing/>
              <w:jc w:val="center"/>
              <w:rPr>
                <w:rFonts w:eastAsia="DengXian"/>
                <w:lang w:eastAsia="zh-CN"/>
              </w:rPr>
            </w:pPr>
            <w:r w:rsidRPr="00C63860">
              <w:rPr>
                <w:rFonts w:eastAsia="DengXian"/>
                <w:lang w:eastAsia="zh-CN"/>
              </w:rPr>
              <w:t>NES</w:t>
            </w:r>
          </w:p>
          <w:p w14:paraId="76C11F90" w14:textId="77777777" w:rsidR="00470AE4" w:rsidRPr="00C63860" w:rsidRDefault="00470AE4" w:rsidP="00470AE4">
            <w:pPr>
              <w:contextualSpacing/>
              <w:jc w:val="center"/>
              <w:rPr>
                <w:rFonts w:eastAsia="DengXian"/>
                <w:lang w:eastAsia="zh-CN"/>
              </w:rPr>
            </w:pPr>
            <w:r w:rsidRPr="00C63860">
              <w:rPr>
                <w:rFonts w:eastAsia="DengXian"/>
                <w:lang w:eastAsia="zh-CN"/>
              </w:rPr>
              <w:t>(N=123,097)</w:t>
            </w:r>
          </w:p>
        </w:tc>
        <w:tc>
          <w:tcPr>
            <w:tcW w:w="0" w:type="auto"/>
            <w:shd w:val="clear" w:color="auto" w:fill="auto"/>
            <w:hideMark/>
          </w:tcPr>
          <w:p w14:paraId="5DE45D9B" w14:textId="77777777" w:rsidR="00C63860" w:rsidRPr="00C63860" w:rsidRDefault="00470AE4" w:rsidP="00470AE4">
            <w:pPr>
              <w:spacing w:before="100" w:beforeAutospacing="1" w:after="100" w:afterAutospacing="1"/>
              <w:contextualSpacing/>
              <w:jc w:val="center"/>
              <w:rPr>
                <w:rFonts w:cstheme="minorHAnsi"/>
                <w:bCs/>
              </w:rPr>
            </w:pPr>
            <w:r w:rsidRPr="00C63860">
              <w:rPr>
                <w:rFonts w:cstheme="minorHAnsi"/>
                <w:bCs/>
              </w:rPr>
              <w:t>ES</w:t>
            </w:r>
          </w:p>
          <w:p w14:paraId="079A9DD4" w14:textId="77C50F2E" w:rsidR="00470AE4" w:rsidRPr="00C63860" w:rsidRDefault="00470AE4" w:rsidP="00470AE4">
            <w:pPr>
              <w:contextualSpacing/>
              <w:jc w:val="center"/>
              <w:rPr>
                <w:rFonts w:eastAsia="DengXian"/>
                <w:lang w:eastAsia="zh-CN"/>
              </w:rPr>
            </w:pPr>
            <w:r w:rsidRPr="00C63860">
              <w:rPr>
                <w:rFonts w:cstheme="minorHAnsi"/>
                <w:bCs/>
              </w:rPr>
              <w:t>(N=62,559)</w:t>
            </w:r>
          </w:p>
        </w:tc>
        <w:tc>
          <w:tcPr>
            <w:tcW w:w="0" w:type="auto"/>
            <w:shd w:val="clear" w:color="auto" w:fill="auto"/>
            <w:hideMark/>
          </w:tcPr>
          <w:p w14:paraId="0985A52A" w14:textId="77777777" w:rsidR="00C63860" w:rsidRPr="00C63860" w:rsidRDefault="00470AE4" w:rsidP="00470AE4">
            <w:pPr>
              <w:spacing w:before="100" w:beforeAutospacing="1" w:after="100" w:afterAutospacing="1"/>
              <w:contextualSpacing/>
              <w:jc w:val="center"/>
              <w:rPr>
                <w:rFonts w:cstheme="minorHAnsi"/>
                <w:bCs/>
              </w:rPr>
            </w:pPr>
            <w:r w:rsidRPr="00C63860">
              <w:rPr>
                <w:rFonts w:cstheme="minorHAnsi"/>
                <w:bCs/>
              </w:rPr>
              <w:t>NES</w:t>
            </w:r>
          </w:p>
          <w:p w14:paraId="574B5A97" w14:textId="1CE7F3EE" w:rsidR="00470AE4" w:rsidRPr="00C63860" w:rsidRDefault="00470AE4" w:rsidP="00470AE4">
            <w:pPr>
              <w:contextualSpacing/>
              <w:jc w:val="center"/>
              <w:rPr>
                <w:rFonts w:eastAsia="DengXian"/>
                <w:lang w:eastAsia="zh-CN"/>
              </w:rPr>
            </w:pPr>
            <w:r w:rsidRPr="00C63860">
              <w:rPr>
                <w:rFonts w:cstheme="minorHAnsi"/>
                <w:bCs/>
              </w:rPr>
              <w:t>(N=43,873)</w:t>
            </w:r>
          </w:p>
        </w:tc>
        <w:tc>
          <w:tcPr>
            <w:tcW w:w="0" w:type="auto"/>
            <w:shd w:val="clear" w:color="auto" w:fill="auto"/>
            <w:hideMark/>
          </w:tcPr>
          <w:p w14:paraId="00DF2654" w14:textId="77777777" w:rsidR="00470AE4" w:rsidRPr="00C63860" w:rsidRDefault="00470AE4" w:rsidP="00470AE4">
            <w:pPr>
              <w:spacing w:before="100" w:beforeAutospacing="1" w:after="100" w:afterAutospacing="1"/>
              <w:contextualSpacing/>
              <w:jc w:val="center"/>
              <w:rPr>
                <w:rFonts w:cstheme="minorHAnsi"/>
                <w:bCs/>
              </w:rPr>
            </w:pPr>
            <w:r w:rsidRPr="00C63860">
              <w:rPr>
                <w:rFonts w:cstheme="minorHAnsi"/>
                <w:bCs/>
              </w:rPr>
              <w:t>ES</w:t>
            </w:r>
          </w:p>
          <w:p w14:paraId="0BCE2555" w14:textId="77777777" w:rsidR="00470AE4" w:rsidRPr="00C63860" w:rsidRDefault="00470AE4" w:rsidP="00470AE4">
            <w:pPr>
              <w:contextualSpacing/>
              <w:jc w:val="center"/>
              <w:rPr>
                <w:rFonts w:eastAsia="DengXian"/>
                <w:lang w:eastAsia="zh-CN"/>
              </w:rPr>
            </w:pPr>
            <w:r w:rsidRPr="00C63860">
              <w:rPr>
                <w:rFonts w:cstheme="minorHAnsi"/>
                <w:bCs/>
              </w:rPr>
              <w:t>(N=40,550)</w:t>
            </w:r>
          </w:p>
        </w:tc>
        <w:tc>
          <w:tcPr>
            <w:tcW w:w="0" w:type="auto"/>
            <w:shd w:val="clear" w:color="auto" w:fill="auto"/>
            <w:hideMark/>
          </w:tcPr>
          <w:p w14:paraId="7E7AE5EC" w14:textId="77777777" w:rsidR="00470AE4" w:rsidRPr="00C63860" w:rsidRDefault="00470AE4" w:rsidP="00470AE4">
            <w:pPr>
              <w:spacing w:before="100" w:beforeAutospacing="1" w:after="100" w:afterAutospacing="1"/>
              <w:contextualSpacing/>
              <w:jc w:val="center"/>
              <w:rPr>
                <w:rFonts w:cstheme="minorHAnsi"/>
                <w:bCs/>
              </w:rPr>
            </w:pPr>
            <w:r w:rsidRPr="00C63860">
              <w:rPr>
                <w:rFonts w:cstheme="minorHAnsi"/>
                <w:bCs/>
              </w:rPr>
              <w:t>NES</w:t>
            </w:r>
          </w:p>
          <w:p w14:paraId="4BD39558" w14:textId="77777777" w:rsidR="00470AE4" w:rsidRPr="00C63860" w:rsidRDefault="00470AE4" w:rsidP="00470AE4">
            <w:pPr>
              <w:contextualSpacing/>
              <w:jc w:val="center"/>
              <w:rPr>
                <w:rFonts w:eastAsia="DengXian"/>
                <w:lang w:eastAsia="zh-CN"/>
              </w:rPr>
            </w:pPr>
            <w:r w:rsidRPr="00C63860">
              <w:rPr>
                <w:rFonts w:cstheme="minorHAnsi"/>
                <w:bCs/>
              </w:rPr>
              <w:t>(N=92,523)</w:t>
            </w:r>
          </w:p>
        </w:tc>
      </w:tr>
      <w:tr w:rsidR="00C15B66" w:rsidRPr="00C63860" w14:paraId="361935A7" w14:textId="77777777" w:rsidTr="00C63860">
        <w:trPr>
          <w:cantSplit/>
        </w:trPr>
        <w:tc>
          <w:tcPr>
            <w:tcW w:w="0" w:type="auto"/>
            <w:shd w:val="clear" w:color="auto" w:fill="auto"/>
            <w:hideMark/>
          </w:tcPr>
          <w:p w14:paraId="390FA4C5" w14:textId="372469AD" w:rsidR="00470AE4" w:rsidRPr="00C63860" w:rsidRDefault="00C63860" w:rsidP="00470AE4">
            <w:pPr>
              <w:rPr>
                <w:rFonts w:eastAsia="DengXian"/>
                <w:b/>
                <w:bCs/>
                <w:lang w:eastAsia="zh-CN"/>
              </w:rPr>
            </w:pPr>
            <w:r w:rsidRPr="00C63860">
              <w:rPr>
                <w:rFonts w:eastAsia="DengXian"/>
                <w:b/>
                <w:bCs/>
                <w:color w:val="00B0F0"/>
                <w:lang w:eastAsia="zh-CN"/>
              </w:rPr>
              <w:t>‘</w:t>
            </w:r>
            <w:r w:rsidR="006F6056" w:rsidRPr="00C63860">
              <w:rPr>
                <w:rFonts w:eastAsia="DengXian"/>
                <w:b/>
                <w:bCs/>
                <w:lang w:eastAsia="zh-CN"/>
              </w:rPr>
              <w:t>More common</w:t>
            </w:r>
            <w:r w:rsidRPr="00C63860">
              <w:rPr>
                <w:rFonts w:eastAsia="DengXian"/>
                <w:b/>
                <w:bCs/>
                <w:color w:val="00B0F0"/>
                <w:lang w:eastAsia="zh-CN"/>
              </w:rPr>
              <w:t>’</w:t>
            </w:r>
            <w:r w:rsidR="00470AE4" w:rsidRPr="00C63860">
              <w:rPr>
                <w:rFonts w:eastAsia="DengXian"/>
                <w:b/>
                <w:bCs/>
                <w:lang w:eastAsia="zh-CN"/>
              </w:rPr>
              <w:t xml:space="preserve"> operative procedures</w:t>
            </w:r>
            <w:r w:rsidR="00470AE4" w:rsidRPr="00C63860">
              <w:rPr>
                <w:rFonts w:eastAsia="DengXian"/>
                <w:b/>
                <w:bCs/>
                <w:vertAlign w:val="superscript"/>
                <w:lang w:eastAsia="zh-CN"/>
              </w:rPr>
              <w:t>a</w:t>
            </w:r>
            <w:r w:rsidR="00470AE4" w:rsidRPr="00C63860">
              <w:rPr>
                <w:rFonts w:eastAsia="DengXian"/>
                <w:b/>
                <w:bCs/>
                <w:lang w:eastAsia="zh-CN"/>
              </w:rPr>
              <w:t xml:space="preserve"> (%)</w:t>
            </w:r>
          </w:p>
        </w:tc>
        <w:tc>
          <w:tcPr>
            <w:tcW w:w="0" w:type="auto"/>
            <w:shd w:val="clear" w:color="auto" w:fill="auto"/>
            <w:hideMark/>
          </w:tcPr>
          <w:p w14:paraId="2830EE76" w14:textId="77777777" w:rsidR="00470AE4" w:rsidRPr="00C63860" w:rsidRDefault="00470AE4" w:rsidP="00470AE4">
            <w:pPr>
              <w:spacing w:after="80"/>
              <w:jc w:val="center"/>
              <w:rPr>
                <w:rFonts w:eastAsia="DengXian"/>
                <w:lang w:eastAsia="zh-CN"/>
              </w:rPr>
            </w:pPr>
            <w:r w:rsidRPr="00C63860">
              <w:rPr>
                <w:rFonts w:eastAsia="DengXian"/>
                <w:lang w:eastAsia="zh-CN"/>
              </w:rPr>
              <w:t>Emergency excision of abnormal appendix (63.0)</w:t>
            </w:r>
          </w:p>
          <w:p w14:paraId="7838F6FC" w14:textId="77777777" w:rsidR="00470AE4" w:rsidRPr="00C63860" w:rsidRDefault="00470AE4" w:rsidP="00470AE4">
            <w:pPr>
              <w:spacing w:after="80"/>
              <w:jc w:val="center"/>
              <w:rPr>
                <w:rFonts w:eastAsia="DengXian"/>
                <w:lang w:eastAsia="zh-CN"/>
              </w:rPr>
            </w:pPr>
            <w:r w:rsidRPr="00C63860">
              <w:rPr>
                <w:rFonts w:eastAsia="DengXian"/>
                <w:lang w:eastAsia="zh-CN"/>
              </w:rPr>
              <w:t>Unspecified other excision of appendix (16.6)</w:t>
            </w:r>
          </w:p>
          <w:p w14:paraId="3C6824BF" w14:textId="77777777" w:rsidR="00470AE4" w:rsidRPr="00C63860" w:rsidRDefault="00470AE4" w:rsidP="00470AE4">
            <w:pPr>
              <w:spacing w:after="80"/>
              <w:jc w:val="center"/>
              <w:rPr>
                <w:rFonts w:eastAsia="DengXian"/>
                <w:lang w:eastAsia="zh-CN"/>
              </w:rPr>
            </w:pPr>
            <w:r w:rsidRPr="00C63860">
              <w:rPr>
                <w:rFonts w:eastAsia="DengXian"/>
                <w:lang w:eastAsia="zh-CN"/>
              </w:rPr>
              <w:t>Emergency excision of abnormal appendix and drainage (9.9)</w:t>
            </w:r>
          </w:p>
          <w:p w14:paraId="02568F54" w14:textId="77777777" w:rsidR="00470AE4" w:rsidRPr="00C63860" w:rsidRDefault="00470AE4" w:rsidP="00470AE4">
            <w:pPr>
              <w:spacing w:after="80"/>
              <w:jc w:val="center"/>
              <w:rPr>
                <w:rFonts w:eastAsia="DengXian"/>
                <w:lang w:eastAsia="zh-CN"/>
              </w:rPr>
            </w:pPr>
            <w:r w:rsidRPr="00C63860">
              <w:rPr>
                <w:rFonts w:eastAsia="DengXian"/>
                <w:lang w:eastAsia="zh-CN"/>
              </w:rPr>
              <w:t>Other (5.6)</w:t>
            </w:r>
          </w:p>
        </w:tc>
        <w:tc>
          <w:tcPr>
            <w:tcW w:w="0" w:type="auto"/>
            <w:shd w:val="clear" w:color="auto" w:fill="auto"/>
            <w:hideMark/>
          </w:tcPr>
          <w:p w14:paraId="4DC5381F" w14:textId="77777777" w:rsidR="00470AE4" w:rsidRPr="00C63860" w:rsidRDefault="00470AE4" w:rsidP="00470AE4">
            <w:pPr>
              <w:spacing w:after="80"/>
              <w:jc w:val="center"/>
              <w:rPr>
                <w:rFonts w:eastAsia="DengXian"/>
                <w:lang w:eastAsia="zh-CN"/>
              </w:rPr>
            </w:pPr>
            <w:r w:rsidRPr="00C63860">
              <w:rPr>
                <w:rFonts w:eastAsia="DengXian"/>
                <w:lang w:eastAsia="zh-CN"/>
              </w:rPr>
              <w:t>Interval appendicectomy (6.7)</w:t>
            </w:r>
          </w:p>
          <w:p w14:paraId="2206D65B" w14:textId="77777777" w:rsidR="00470AE4" w:rsidRPr="00C63860" w:rsidRDefault="00470AE4" w:rsidP="00470AE4">
            <w:pPr>
              <w:spacing w:after="80"/>
              <w:jc w:val="center"/>
              <w:rPr>
                <w:rFonts w:eastAsia="DengXian"/>
                <w:lang w:eastAsia="zh-CN"/>
              </w:rPr>
            </w:pPr>
            <w:r w:rsidRPr="00C63860">
              <w:rPr>
                <w:rFonts w:eastAsia="DengXian"/>
                <w:lang w:eastAsia="zh-CN"/>
              </w:rPr>
              <w:t>Other specified other excision of appendix (4.2)</w:t>
            </w:r>
          </w:p>
          <w:p w14:paraId="7B5A2A69" w14:textId="77777777" w:rsidR="00470AE4" w:rsidRPr="00C63860" w:rsidRDefault="00470AE4" w:rsidP="00470AE4">
            <w:pPr>
              <w:spacing w:after="80"/>
              <w:jc w:val="center"/>
              <w:rPr>
                <w:rFonts w:eastAsia="DengXian"/>
                <w:lang w:eastAsia="zh-CN"/>
              </w:rPr>
            </w:pPr>
            <w:r w:rsidRPr="00C63860">
              <w:rPr>
                <w:rFonts w:eastAsia="DengXian"/>
                <w:lang w:eastAsia="zh-CN"/>
              </w:rPr>
              <w:t>Planned delayed appendicectomy (1.6)</w:t>
            </w:r>
          </w:p>
          <w:p w14:paraId="4D19F7AE" w14:textId="77777777" w:rsidR="00470AE4" w:rsidRPr="00C63860" w:rsidRDefault="00470AE4" w:rsidP="00470AE4">
            <w:pPr>
              <w:spacing w:after="80"/>
              <w:jc w:val="center"/>
              <w:rPr>
                <w:rFonts w:eastAsia="DengXian"/>
                <w:lang w:eastAsia="zh-CN"/>
              </w:rPr>
            </w:pPr>
            <w:r w:rsidRPr="00C63860">
              <w:rPr>
                <w:rFonts w:eastAsia="DengXian"/>
                <w:lang w:eastAsia="zh-CN"/>
              </w:rPr>
              <w:t>Other (2.5)</w:t>
            </w:r>
          </w:p>
        </w:tc>
        <w:tc>
          <w:tcPr>
            <w:tcW w:w="0" w:type="auto"/>
            <w:shd w:val="clear" w:color="auto" w:fill="auto"/>
          </w:tcPr>
          <w:p w14:paraId="783F99A9" w14:textId="77777777" w:rsidR="00470AE4" w:rsidRPr="00C63860" w:rsidRDefault="00470AE4" w:rsidP="00470AE4">
            <w:pPr>
              <w:spacing w:after="80"/>
              <w:jc w:val="center"/>
              <w:rPr>
                <w:rFonts w:eastAsia="DengXian"/>
                <w:lang w:eastAsia="zh-CN"/>
              </w:rPr>
            </w:pPr>
            <w:r w:rsidRPr="00C63860">
              <w:rPr>
                <w:rFonts w:eastAsia="DengXian"/>
                <w:lang w:eastAsia="zh-CN"/>
              </w:rPr>
              <w:t>Total cholecystectomy (66.8)</w:t>
            </w:r>
          </w:p>
          <w:p w14:paraId="3AF6E53A" w14:textId="77777777" w:rsidR="00470AE4" w:rsidRPr="00C63860" w:rsidRDefault="00470AE4" w:rsidP="00470AE4">
            <w:pPr>
              <w:spacing w:after="80"/>
              <w:jc w:val="center"/>
              <w:rPr>
                <w:rFonts w:eastAsia="DengXian"/>
                <w:lang w:eastAsia="zh-CN"/>
              </w:rPr>
            </w:pPr>
            <w:r w:rsidRPr="00C63860">
              <w:rPr>
                <w:rFonts w:eastAsia="DengXian"/>
                <w:lang w:eastAsia="zh-CN"/>
              </w:rPr>
              <w:t>Percutaneous drainage of gall bladder (3.52)</w:t>
            </w:r>
          </w:p>
          <w:p w14:paraId="587F83DE" w14:textId="77777777" w:rsidR="00C63860" w:rsidRPr="00C63860" w:rsidRDefault="00470AE4" w:rsidP="00470AE4">
            <w:pPr>
              <w:spacing w:after="80"/>
              <w:jc w:val="center"/>
              <w:rPr>
                <w:rFonts w:eastAsia="DengXian"/>
                <w:lang w:eastAsia="zh-CN"/>
              </w:rPr>
            </w:pPr>
            <w:r w:rsidRPr="00C63860">
              <w:rPr>
                <w:rFonts w:eastAsia="DengXian"/>
                <w:lang w:eastAsia="zh-CN"/>
              </w:rPr>
              <w:t>Partial cholecystectomy (2.58)</w:t>
            </w:r>
          </w:p>
          <w:p w14:paraId="0CF50940" w14:textId="5674C391" w:rsidR="00470AE4" w:rsidRPr="00C63860" w:rsidRDefault="00470AE4" w:rsidP="00470AE4">
            <w:pPr>
              <w:spacing w:after="80"/>
              <w:jc w:val="center"/>
              <w:rPr>
                <w:rFonts w:eastAsia="DengXian"/>
                <w:lang w:eastAsia="zh-CN"/>
              </w:rPr>
            </w:pPr>
            <w:r w:rsidRPr="00C63860">
              <w:rPr>
                <w:rFonts w:eastAsia="DengXian"/>
                <w:lang w:eastAsia="zh-CN"/>
              </w:rPr>
              <w:t>Other (4.2)</w:t>
            </w:r>
          </w:p>
        </w:tc>
        <w:tc>
          <w:tcPr>
            <w:tcW w:w="0" w:type="auto"/>
            <w:shd w:val="clear" w:color="auto" w:fill="auto"/>
          </w:tcPr>
          <w:p w14:paraId="2F708769" w14:textId="77777777" w:rsidR="00470AE4" w:rsidRPr="00C63860" w:rsidRDefault="00470AE4" w:rsidP="00470AE4">
            <w:pPr>
              <w:spacing w:after="80"/>
              <w:jc w:val="center"/>
              <w:rPr>
                <w:rFonts w:eastAsia="DengXian"/>
                <w:lang w:eastAsia="zh-CN"/>
              </w:rPr>
            </w:pPr>
            <w:r w:rsidRPr="00C63860">
              <w:rPr>
                <w:rFonts w:eastAsia="DengXian"/>
                <w:lang w:eastAsia="zh-CN"/>
              </w:rPr>
              <w:t>Endoscopic sphincterotomy of sphincter of Oddi and removal of calculus (1.8)</w:t>
            </w:r>
          </w:p>
          <w:p w14:paraId="0B07929A" w14:textId="77777777" w:rsidR="00470AE4" w:rsidRPr="00C63860" w:rsidRDefault="00470AE4" w:rsidP="00470AE4">
            <w:pPr>
              <w:spacing w:after="80"/>
              <w:jc w:val="center"/>
              <w:rPr>
                <w:rFonts w:eastAsia="DengXian"/>
                <w:lang w:eastAsia="zh-CN"/>
              </w:rPr>
            </w:pPr>
            <w:r w:rsidRPr="00C63860">
              <w:rPr>
                <w:rFonts w:eastAsia="DengXian"/>
                <w:lang w:eastAsia="zh-CN"/>
              </w:rPr>
              <w:t>Unspecified urethral catheterisation of bladder (0.3)</w:t>
            </w:r>
          </w:p>
          <w:p w14:paraId="3C8FCE0D" w14:textId="77777777" w:rsidR="00470AE4" w:rsidRPr="00C63860" w:rsidRDefault="00470AE4" w:rsidP="00470AE4">
            <w:pPr>
              <w:spacing w:after="80"/>
              <w:jc w:val="center"/>
              <w:rPr>
                <w:rFonts w:eastAsia="DengXian"/>
                <w:lang w:eastAsia="zh-CN"/>
              </w:rPr>
            </w:pPr>
            <w:r w:rsidRPr="00C63860">
              <w:rPr>
                <w:rFonts w:eastAsia="DengXian"/>
                <w:lang w:eastAsia="zh-CN"/>
              </w:rPr>
              <w:t>Other (0.0)</w:t>
            </w:r>
          </w:p>
        </w:tc>
        <w:tc>
          <w:tcPr>
            <w:tcW w:w="0" w:type="auto"/>
            <w:shd w:val="clear" w:color="auto" w:fill="auto"/>
            <w:hideMark/>
          </w:tcPr>
          <w:p w14:paraId="73E093B9" w14:textId="77777777" w:rsidR="00470AE4" w:rsidRPr="00C63860" w:rsidRDefault="00470AE4" w:rsidP="00470AE4">
            <w:pPr>
              <w:spacing w:after="80"/>
              <w:jc w:val="center"/>
              <w:rPr>
                <w:rFonts w:eastAsia="DengXian"/>
                <w:lang w:eastAsia="zh-CN"/>
              </w:rPr>
            </w:pPr>
            <w:r w:rsidRPr="00C63860">
              <w:rPr>
                <w:rFonts w:eastAsia="DengXian"/>
                <w:lang w:eastAsia="zh-CN"/>
              </w:rPr>
              <w:t>Rectosigmoidectomy and closure of rectal stump and exteriorisation of bowel (55.6)</w:t>
            </w:r>
          </w:p>
          <w:p w14:paraId="09901998" w14:textId="77777777" w:rsidR="00470AE4" w:rsidRPr="00C63860" w:rsidRDefault="00470AE4" w:rsidP="00470AE4">
            <w:pPr>
              <w:spacing w:after="80"/>
              <w:jc w:val="center"/>
              <w:rPr>
                <w:rFonts w:eastAsia="DengXian"/>
                <w:lang w:eastAsia="zh-CN"/>
              </w:rPr>
            </w:pPr>
            <w:r w:rsidRPr="00C63860">
              <w:rPr>
                <w:rFonts w:eastAsia="DengXian"/>
                <w:lang w:eastAsia="zh-CN"/>
              </w:rPr>
              <w:t>Irrigation of peritoneal cavity (7.7)</w:t>
            </w:r>
          </w:p>
          <w:p w14:paraId="78329995" w14:textId="77777777" w:rsidR="00470AE4" w:rsidRPr="00C63860" w:rsidRDefault="00470AE4" w:rsidP="00470AE4">
            <w:pPr>
              <w:spacing w:after="80"/>
              <w:jc w:val="center"/>
              <w:rPr>
                <w:rFonts w:eastAsia="DengXian"/>
                <w:lang w:eastAsia="zh-CN"/>
              </w:rPr>
            </w:pPr>
            <w:r w:rsidRPr="00C63860">
              <w:rPr>
                <w:rFonts w:eastAsia="DengXian"/>
                <w:lang w:eastAsia="zh-CN"/>
              </w:rPr>
              <w:t>Sigmoid colectomy and exteriorisation of bowel (6.6)</w:t>
            </w:r>
          </w:p>
          <w:p w14:paraId="483AE044" w14:textId="77777777" w:rsidR="00470AE4" w:rsidRPr="00C63860" w:rsidRDefault="00470AE4" w:rsidP="00470AE4">
            <w:pPr>
              <w:spacing w:after="80"/>
              <w:contextualSpacing/>
              <w:jc w:val="center"/>
              <w:rPr>
                <w:rFonts w:eastAsia="DengXian"/>
                <w:lang w:eastAsia="zh-CN"/>
              </w:rPr>
            </w:pPr>
            <w:r w:rsidRPr="00C63860">
              <w:rPr>
                <w:rFonts w:eastAsia="DengXian"/>
                <w:lang w:eastAsia="zh-CN"/>
              </w:rPr>
              <w:t>Other (19.5)</w:t>
            </w:r>
          </w:p>
        </w:tc>
        <w:tc>
          <w:tcPr>
            <w:tcW w:w="0" w:type="auto"/>
            <w:shd w:val="clear" w:color="auto" w:fill="auto"/>
            <w:hideMark/>
          </w:tcPr>
          <w:p w14:paraId="15BA635A" w14:textId="77777777" w:rsidR="00470AE4" w:rsidRPr="00C63860" w:rsidRDefault="00470AE4" w:rsidP="00470AE4">
            <w:pPr>
              <w:spacing w:after="80"/>
              <w:jc w:val="center"/>
              <w:rPr>
                <w:rFonts w:eastAsia="DengXian"/>
                <w:lang w:eastAsia="zh-CN"/>
              </w:rPr>
            </w:pPr>
            <w:r w:rsidRPr="00C63860">
              <w:rPr>
                <w:rFonts w:eastAsia="DengXian"/>
                <w:lang w:eastAsia="zh-CN"/>
              </w:rPr>
              <w:t>Fibreoptic endoscopic snare resection of lesion of colon (0.1)</w:t>
            </w:r>
          </w:p>
          <w:p w14:paraId="2A823496" w14:textId="77777777" w:rsidR="00470AE4" w:rsidRPr="00C63860" w:rsidRDefault="00470AE4" w:rsidP="00470AE4">
            <w:pPr>
              <w:spacing w:after="80"/>
              <w:jc w:val="center"/>
              <w:rPr>
                <w:rFonts w:eastAsia="DengXian"/>
                <w:lang w:eastAsia="zh-CN"/>
              </w:rPr>
            </w:pPr>
            <w:r w:rsidRPr="00C63860">
              <w:rPr>
                <w:rFonts w:eastAsia="DengXian"/>
                <w:lang w:eastAsia="zh-CN"/>
              </w:rPr>
              <w:t>Endoscopic division of adhesions of peritoneum (0.1)</w:t>
            </w:r>
          </w:p>
          <w:p w14:paraId="60281D81" w14:textId="77777777" w:rsidR="00470AE4" w:rsidRPr="00C63860" w:rsidRDefault="00470AE4" w:rsidP="00470AE4">
            <w:pPr>
              <w:spacing w:after="80"/>
              <w:jc w:val="center"/>
              <w:rPr>
                <w:rFonts w:eastAsia="DengXian"/>
                <w:lang w:eastAsia="zh-CN"/>
              </w:rPr>
            </w:pPr>
            <w:r w:rsidRPr="00C63860">
              <w:rPr>
                <w:rFonts w:eastAsia="DengXian"/>
                <w:lang w:eastAsia="zh-CN"/>
              </w:rPr>
              <w:t>Endoscopic snare resection of lesion of lower bowel using fibreoptic sigmoidoscope (0.1)</w:t>
            </w:r>
          </w:p>
          <w:p w14:paraId="7E00D4D9" w14:textId="77777777" w:rsidR="00470AE4" w:rsidRPr="00C63860" w:rsidRDefault="00470AE4" w:rsidP="00470AE4">
            <w:pPr>
              <w:spacing w:after="80"/>
              <w:contextualSpacing/>
              <w:jc w:val="center"/>
              <w:rPr>
                <w:rFonts w:eastAsia="DengXian"/>
                <w:lang w:eastAsia="zh-CN"/>
              </w:rPr>
            </w:pPr>
            <w:r w:rsidRPr="00C63860">
              <w:rPr>
                <w:rFonts w:eastAsia="DengXian"/>
                <w:lang w:eastAsia="zh-CN"/>
              </w:rPr>
              <w:t>Other (0.0)</w:t>
            </w:r>
          </w:p>
        </w:tc>
        <w:tc>
          <w:tcPr>
            <w:tcW w:w="0" w:type="auto"/>
            <w:shd w:val="clear" w:color="auto" w:fill="auto"/>
            <w:hideMark/>
          </w:tcPr>
          <w:p w14:paraId="00F273C2" w14:textId="77777777" w:rsidR="00470AE4" w:rsidRPr="00C63860" w:rsidRDefault="00470AE4" w:rsidP="00470AE4">
            <w:pPr>
              <w:spacing w:after="80"/>
              <w:jc w:val="center"/>
              <w:rPr>
                <w:rFonts w:eastAsia="DengXian"/>
                <w:lang w:eastAsia="zh-CN"/>
              </w:rPr>
            </w:pPr>
            <w:r w:rsidRPr="00C63860">
              <w:rPr>
                <w:rFonts w:eastAsia="DengXian"/>
                <w:lang w:eastAsia="zh-CN"/>
              </w:rPr>
              <w:t>Primary repair of inguinal hernia using insert of prosthetic material (27.6)</w:t>
            </w:r>
          </w:p>
          <w:p w14:paraId="704F94BE" w14:textId="77777777" w:rsidR="00470AE4" w:rsidRPr="00C63860" w:rsidRDefault="00470AE4" w:rsidP="00470AE4">
            <w:pPr>
              <w:spacing w:after="80"/>
              <w:jc w:val="center"/>
              <w:rPr>
                <w:rFonts w:eastAsia="DengXian"/>
                <w:lang w:eastAsia="zh-CN"/>
              </w:rPr>
            </w:pPr>
            <w:r w:rsidRPr="00C63860">
              <w:rPr>
                <w:rFonts w:eastAsia="DengXian"/>
                <w:lang w:eastAsia="zh-CN"/>
              </w:rPr>
              <w:t>Repair of umbilical hernia using sutures (17.9)</w:t>
            </w:r>
          </w:p>
          <w:p w14:paraId="380A30DD" w14:textId="77777777" w:rsidR="00470AE4" w:rsidRPr="00C63860" w:rsidRDefault="00470AE4" w:rsidP="00470AE4">
            <w:pPr>
              <w:spacing w:after="80"/>
              <w:jc w:val="center"/>
              <w:rPr>
                <w:rFonts w:eastAsia="DengXian"/>
                <w:lang w:eastAsia="zh-CN"/>
              </w:rPr>
            </w:pPr>
            <w:r w:rsidRPr="00C63860">
              <w:rPr>
                <w:rFonts w:eastAsia="DengXian"/>
                <w:lang w:eastAsia="zh-CN"/>
              </w:rPr>
              <w:t>Repair of umbilical hernia using insert of prosthetic material (12.3)</w:t>
            </w:r>
          </w:p>
          <w:p w14:paraId="7A016C9E" w14:textId="77777777" w:rsidR="00470AE4" w:rsidRPr="00C63860" w:rsidRDefault="00470AE4" w:rsidP="00470AE4">
            <w:pPr>
              <w:spacing w:after="80"/>
              <w:jc w:val="center"/>
              <w:rPr>
                <w:rFonts w:eastAsia="DengXian"/>
                <w:lang w:eastAsia="zh-CN"/>
              </w:rPr>
            </w:pPr>
            <w:r w:rsidRPr="00C63860">
              <w:rPr>
                <w:rFonts w:eastAsia="DengXian"/>
                <w:lang w:eastAsia="zh-CN"/>
              </w:rPr>
              <w:t>Other (31.7)</w:t>
            </w:r>
          </w:p>
        </w:tc>
        <w:tc>
          <w:tcPr>
            <w:tcW w:w="0" w:type="auto"/>
            <w:shd w:val="clear" w:color="auto" w:fill="auto"/>
            <w:hideMark/>
          </w:tcPr>
          <w:p w14:paraId="23B0DD8A" w14:textId="77777777" w:rsidR="00470AE4" w:rsidRPr="00C63860" w:rsidRDefault="00470AE4" w:rsidP="00470AE4">
            <w:pPr>
              <w:spacing w:after="80"/>
              <w:jc w:val="center"/>
              <w:rPr>
                <w:rFonts w:eastAsia="DengXian"/>
                <w:lang w:eastAsia="zh-CN"/>
              </w:rPr>
            </w:pPr>
            <w:r w:rsidRPr="00C63860">
              <w:rPr>
                <w:rFonts w:eastAsia="DengXian"/>
                <w:lang w:eastAsia="zh-CN"/>
              </w:rPr>
              <w:t>Unspecified urethral catheterisation of bladder (0.5)</w:t>
            </w:r>
          </w:p>
          <w:p w14:paraId="532FBF96" w14:textId="77777777" w:rsidR="00470AE4" w:rsidRPr="00C63860" w:rsidRDefault="00470AE4" w:rsidP="00470AE4">
            <w:pPr>
              <w:spacing w:after="80"/>
              <w:jc w:val="center"/>
              <w:rPr>
                <w:rFonts w:eastAsia="DengXian"/>
                <w:lang w:eastAsia="zh-CN"/>
              </w:rPr>
            </w:pPr>
            <w:r w:rsidRPr="00C63860">
              <w:rPr>
                <w:rFonts w:eastAsia="DengXian"/>
                <w:lang w:eastAsia="zh-CN"/>
              </w:rPr>
              <w:t>Ileectomy and anastomosis of ileum to ileum (0.3)</w:t>
            </w:r>
          </w:p>
          <w:p w14:paraId="69D5D021" w14:textId="77777777" w:rsidR="00470AE4" w:rsidRPr="00C63860" w:rsidRDefault="00470AE4" w:rsidP="00470AE4">
            <w:pPr>
              <w:spacing w:after="80"/>
              <w:jc w:val="center"/>
              <w:rPr>
                <w:rFonts w:eastAsia="DengXian"/>
                <w:lang w:eastAsia="zh-CN"/>
              </w:rPr>
            </w:pPr>
            <w:r w:rsidRPr="00C63860">
              <w:rPr>
                <w:rFonts w:eastAsia="DengXian"/>
                <w:lang w:eastAsia="zh-CN"/>
              </w:rPr>
              <w:t>Unspecified excision of ileum (0.1)</w:t>
            </w:r>
          </w:p>
          <w:p w14:paraId="4A9E7EBE" w14:textId="77777777" w:rsidR="00470AE4" w:rsidRPr="00C63860" w:rsidRDefault="00470AE4" w:rsidP="00470AE4">
            <w:pPr>
              <w:spacing w:after="80"/>
              <w:jc w:val="center"/>
              <w:rPr>
                <w:rFonts w:eastAsia="DengXian"/>
                <w:lang w:eastAsia="zh-CN"/>
              </w:rPr>
            </w:pPr>
            <w:r w:rsidRPr="00C63860">
              <w:rPr>
                <w:rFonts w:eastAsia="DengXian"/>
                <w:lang w:eastAsia="zh-CN"/>
              </w:rPr>
              <w:t>Other (0.0)</w:t>
            </w:r>
          </w:p>
        </w:tc>
        <w:tc>
          <w:tcPr>
            <w:tcW w:w="0" w:type="auto"/>
            <w:shd w:val="clear" w:color="auto" w:fill="auto"/>
            <w:hideMark/>
          </w:tcPr>
          <w:p w14:paraId="3D71296C" w14:textId="77777777" w:rsidR="00470AE4" w:rsidRPr="00C63860" w:rsidRDefault="00470AE4" w:rsidP="00470AE4">
            <w:pPr>
              <w:spacing w:after="80"/>
              <w:jc w:val="center"/>
              <w:rPr>
                <w:rFonts w:eastAsia="DengXian"/>
                <w:lang w:eastAsia="zh-CN"/>
              </w:rPr>
            </w:pPr>
            <w:r w:rsidRPr="00C63860">
              <w:rPr>
                <w:rFonts w:eastAsia="DengXian"/>
                <w:lang w:eastAsia="zh-CN"/>
              </w:rPr>
              <w:t>Freeing of adhesions of peritoneum (28.0)</w:t>
            </w:r>
          </w:p>
          <w:p w14:paraId="394EEB60" w14:textId="77777777" w:rsidR="00470AE4" w:rsidRPr="00C63860" w:rsidRDefault="00470AE4" w:rsidP="00470AE4">
            <w:pPr>
              <w:spacing w:after="80"/>
              <w:jc w:val="center"/>
              <w:rPr>
                <w:rFonts w:eastAsia="DengXian"/>
                <w:lang w:eastAsia="zh-CN"/>
              </w:rPr>
            </w:pPr>
            <w:r w:rsidRPr="00C63860">
              <w:rPr>
                <w:rFonts w:eastAsia="DengXian"/>
                <w:lang w:eastAsia="zh-CN"/>
              </w:rPr>
              <w:t>Ileectomy and anastomosis of ileum to ileum (7.6)</w:t>
            </w:r>
          </w:p>
          <w:p w14:paraId="23A8A53B" w14:textId="77777777" w:rsidR="00470AE4" w:rsidRPr="00C63860" w:rsidRDefault="00470AE4" w:rsidP="00470AE4">
            <w:pPr>
              <w:spacing w:after="80"/>
              <w:jc w:val="center"/>
              <w:rPr>
                <w:rFonts w:eastAsia="DengXian"/>
                <w:lang w:eastAsia="zh-CN"/>
              </w:rPr>
            </w:pPr>
            <w:r w:rsidRPr="00C63860">
              <w:rPr>
                <w:rFonts w:eastAsia="DengXian"/>
                <w:lang w:eastAsia="zh-CN"/>
              </w:rPr>
              <w:t>Endoscopic division of adhesions of peritoneum (6.4)</w:t>
            </w:r>
          </w:p>
          <w:p w14:paraId="17D79CBB" w14:textId="77777777" w:rsidR="00470AE4" w:rsidRPr="00C63860" w:rsidRDefault="00470AE4" w:rsidP="00470AE4">
            <w:pPr>
              <w:spacing w:after="80"/>
              <w:jc w:val="center"/>
              <w:rPr>
                <w:rFonts w:eastAsia="DengXian"/>
                <w:lang w:eastAsia="zh-CN"/>
              </w:rPr>
            </w:pPr>
            <w:r w:rsidRPr="00C63860">
              <w:rPr>
                <w:rFonts w:eastAsia="DengXian"/>
                <w:lang w:eastAsia="zh-CN"/>
              </w:rPr>
              <w:t>Other (37.0)</w:t>
            </w:r>
          </w:p>
        </w:tc>
        <w:tc>
          <w:tcPr>
            <w:tcW w:w="0" w:type="auto"/>
            <w:shd w:val="clear" w:color="auto" w:fill="auto"/>
            <w:hideMark/>
          </w:tcPr>
          <w:p w14:paraId="45A472AC" w14:textId="77777777" w:rsidR="00470AE4" w:rsidRPr="00C63860" w:rsidRDefault="00470AE4" w:rsidP="00470AE4">
            <w:pPr>
              <w:spacing w:after="80"/>
              <w:jc w:val="center"/>
              <w:rPr>
                <w:rFonts w:eastAsia="DengXian"/>
                <w:lang w:eastAsia="zh-CN"/>
              </w:rPr>
            </w:pPr>
            <w:r w:rsidRPr="00C63860">
              <w:rPr>
                <w:rFonts w:eastAsia="DengXian"/>
                <w:lang w:eastAsia="zh-CN"/>
              </w:rPr>
              <w:t>Other specified other therapeutic endoscopic operations on lower bowel using fibreoptic sigmoidoscope</w:t>
            </w:r>
          </w:p>
          <w:p w14:paraId="50D007ED" w14:textId="77777777" w:rsidR="00470AE4" w:rsidRPr="00C63860" w:rsidRDefault="00470AE4" w:rsidP="00470AE4">
            <w:pPr>
              <w:spacing w:after="80"/>
              <w:jc w:val="center"/>
              <w:rPr>
                <w:rFonts w:eastAsia="DengXian"/>
                <w:lang w:eastAsia="zh-CN"/>
              </w:rPr>
            </w:pPr>
            <w:r w:rsidRPr="00C63860">
              <w:rPr>
                <w:rFonts w:eastAsia="DengXian"/>
                <w:lang w:eastAsia="zh-CN"/>
              </w:rPr>
              <w:t>(1.3)</w:t>
            </w:r>
          </w:p>
          <w:p w14:paraId="57CCE7F6" w14:textId="77777777" w:rsidR="00470AE4" w:rsidRPr="00C63860" w:rsidRDefault="00470AE4" w:rsidP="00470AE4">
            <w:pPr>
              <w:spacing w:after="80"/>
              <w:jc w:val="center"/>
              <w:rPr>
                <w:rFonts w:eastAsia="DengXian"/>
                <w:lang w:eastAsia="zh-CN"/>
              </w:rPr>
            </w:pPr>
            <w:r w:rsidRPr="00C63860">
              <w:rPr>
                <w:rFonts w:eastAsia="DengXian"/>
                <w:lang w:eastAsia="zh-CN"/>
              </w:rPr>
              <w:t>Unspecified opening of abdomen (0.5)</w:t>
            </w:r>
          </w:p>
          <w:p w14:paraId="6AEBB28A" w14:textId="77777777" w:rsidR="00470AE4" w:rsidRPr="00C63860" w:rsidRDefault="00470AE4" w:rsidP="00470AE4">
            <w:pPr>
              <w:spacing w:after="80"/>
              <w:jc w:val="center"/>
              <w:rPr>
                <w:rFonts w:eastAsia="DengXian"/>
                <w:lang w:eastAsia="zh-CN"/>
              </w:rPr>
            </w:pPr>
            <w:r w:rsidRPr="00C63860">
              <w:rPr>
                <w:rFonts w:eastAsia="DengXian"/>
                <w:lang w:eastAsia="zh-CN"/>
              </w:rPr>
              <w:t>Other (0.0)</w:t>
            </w:r>
          </w:p>
          <w:p w14:paraId="6F2D40BB" w14:textId="77777777" w:rsidR="00470AE4" w:rsidRPr="00C63860" w:rsidRDefault="00470AE4" w:rsidP="00470AE4">
            <w:pPr>
              <w:spacing w:after="80"/>
              <w:jc w:val="center"/>
              <w:rPr>
                <w:rFonts w:eastAsia="DengXian"/>
                <w:lang w:eastAsia="zh-CN"/>
              </w:rPr>
            </w:pPr>
          </w:p>
        </w:tc>
      </w:tr>
      <w:tr w:rsidR="006C4EF2" w:rsidRPr="00C63860" w14:paraId="6F67AFE4" w14:textId="77777777" w:rsidTr="00C63860">
        <w:trPr>
          <w:cantSplit/>
        </w:trPr>
        <w:tc>
          <w:tcPr>
            <w:tcW w:w="0" w:type="auto"/>
            <w:shd w:val="clear" w:color="auto" w:fill="auto"/>
            <w:vAlign w:val="center"/>
            <w:hideMark/>
          </w:tcPr>
          <w:p w14:paraId="046B7AFD" w14:textId="74103E7F" w:rsidR="00C63860" w:rsidRPr="00C63860" w:rsidRDefault="00470AE4" w:rsidP="00470AE4">
            <w:pPr>
              <w:rPr>
                <w:rFonts w:eastAsia="DengXian"/>
                <w:b/>
                <w:bCs/>
                <w:lang w:eastAsia="zh-CN"/>
              </w:rPr>
            </w:pPr>
            <w:r w:rsidRPr="00C63860">
              <w:rPr>
                <w:rFonts w:eastAsia="DengXian"/>
                <w:b/>
                <w:bCs/>
                <w:lang w:eastAsia="zh-CN"/>
              </w:rPr>
              <w:t xml:space="preserve">% with no </w:t>
            </w:r>
            <w:r w:rsidR="00C63860" w:rsidRPr="00C63860">
              <w:rPr>
                <w:rFonts w:eastAsia="DengXian"/>
                <w:b/>
                <w:bCs/>
                <w:color w:val="00B0F0"/>
                <w:lang w:eastAsia="zh-CN"/>
              </w:rPr>
              <w:t>‘</w:t>
            </w:r>
            <w:r w:rsidR="006F6056" w:rsidRPr="00C63860">
              <w:rPr>
                <w:rFonts w:eastAsia="DengXian"/>
                <w:b/>
                <w:bCs/>
                <w:lang w:eastAsia="zh-CN"/>
              </w:rPr>
              <w:t>more common</w:t>
            </w:r>
            <w:r w:rsidR="00C63860" w:rsidRPr="00C63860">
              <w:rPr>
                <w:rFonts w:eastAsia="DengXian"/>
                <w:b/>
                <w:bCs/>
                <w:color w:val="00B0F0"/>
                <w:lang w:eastAsia="zh-CN"/>
              </w:rPr>
              <w:t>’</w:t>
            </w:r>
          </w:p>
          <w:p w14:paraId="37115548" w14:textId="671DFC78" w:rsidR="00470AE4" w:rsidRPr="00C63860" w:rsidRDefault="00470AE4" w:rsidP="00470AE4">
            <w:pPr>
              <w:rPr>
                <w:rFonts w:eastAsia="DengXian"/>
                <w:b/>
                <w:bCs/>
                <w:lang w:eastAsia="zh-CN"/>
              </w:rPr>
            </w:pPr>
            <w:r w:rsidRPr="00C63860">
              <w:rPr>
                <w:rFonts w:eastAsia="DengXian"/>
                <w:b/>
                <w:bCs/>
                <w:lang w:eastAsia="zh-CN"/>
              </w:rPr>
              <w:t>operative procedures</w:t>
            </w:r>
            <w:r w:rsidRPr="00C63860">
              <w:rPr>
                <w:rFonts w:eastAsia="DengXian"/>
                <w:b/>
                <w:bCs/>
                <w:vertAlign w:val="superscript"/>
                <w:lang w:eastAsia="zh-CN"/>
              </w:rPr>
              <w:t>b</w:t>
            </w:r>
          </w:p>
        </w:tc>
        <w:tc>
          <w:tcPr>
            <w:tcW w:w="0" w:type="auto"/>
            <w:shd w:val="clear" w:color="auto" w:fill="auto"/>
            <w:vAlign w:val="center"/>
            <w:hideMark/>
          </w:tcPr>
          <w:p w14:paraId="2F016F92" w14:textId="77777777" w:rsidR="00470AE4" w:rsidRPr="00C63860" w:rsidRDefault="00470AE4" w:rsidP="00470AE4">
            <w:pPr>
              <w:jc w:val="center"/>
              <w:rPr>
                <w:rFonts w:eastAsia="DengXian"/>
                <w:lang w:eastAsia="zh-CN"/>
              </w:rPr>
            </w:pPr>
            <w:r w:rsidRPr="00C63860">
              <w:rPr>
                <w:rFonts w:eastAsia="DengXian"/>
                <w:lang w:eastAsia="zh-CN"/>
              </w:rPr>
              <w:t>4.9</w:t>
            </w:r>
          </w:p>
        </w:tc>
        <w:tc>
          <w:tcPr>
            <w:tcW w:w="0" w:type="auto"/>
            <w:shd w:val="clear" w:color="auto" w:fill="auto"/>
            <w:vAlign w:val="center"/>
            <w:hideMark/>
          </w:tcPr>
          <w:p w14:paraId="6521EFAE" w14:textId="77777777" w:rsidR="00470AE4" w:rsidRPr="00C63860" w:rsidRDefault="00470AE4" w:rsidP="00470AE4">
            <w:pPr>
              <w:jc w:val="center"/>
              <w:rPr>
                <w:rFonts w:eastAsia="DengXian"/>
                <w:lang w:eastAsia="zh-CN"/>
              </w:rPr>
            </w:pPr>
            <w:r w:rsidRPr="00C63860">
              <w:rPr>
                <w:rFonts w:eastAsia="DengXian"/>
                <w:lang w:eastAsia="zh-CN"/>
              </w:rPr>
              <w:t>84.9</w:t>
            </w:r>
          </w:p>
        </w:tc>
        <w:tc>
          <w:tcPr>
            <w:tcW w:w="0" w:type="auto"/>
            <w:shd w:val="clear" w:color="auto" w:fill="auto"/>
            <w:vAlign w:val="center"/>
          </w:tcPr>
          <w:p w14:paraId="61F4D687" w14:textId="77777777" w:rsidR="00470AE4" w:rsidRPr="00C63860" w:rsidRDefault="00470AE4" w:rsidP="00470AE4">
            <w:pPr>
              <w:jc w:val="center"/>
              <w:rPr>
                <w:rFonts w:eastAsia="DengXian"/>
                <w:lang w:eastAsia="zh-CN"/>
              </w:rPr>
            </w:pPr>
            <w:r w:rsidRPr="00C63860">
              <w:rPr>
                <w:rFonts w:eastAsia="DengXian"/>
                <w:lang w:eastAsia="zh-CN"/>
              </w:rPr>
              <w:t>22.9</w:t>
            </w:r>
          </w:p>
        </w:tc>
        <w:tc>
          <w:tcPr>
            <w:tcW w:w="0" w:type="auto"/>
            <w:shd w:val="clear" w:color="auto" w:fill="auto"/>
            <w:vAlign w:val="center"/>
          </w:tcPr>
          <w:p w14:paraId="08D6DD9A" w14:textId="77777777" w:rsidR="00470AE4" w:rsidRPr="00C63860" w:rsidRDefault="00470AE4" w:rsidP="00470AE4">
            <w:pPr>
              <w:jc w:val="center"/>
              <w:rPr>
                <w:rFonts w:eastAsia="DengXian"/>
                <w:lang w:eastAsia="zh-CN"/>
              </w:rPr>
            </w:pPr>
            <w:r w:rsidRPr="00C63860">
              <w:rPr>
                <w:rFonts w:eastAsia="DengXian"/>
                <w:lang w:eastAsia="zh-CN"/>
              </w:rPr>
              <w:t>97.8</w:t>
            </w:r>
          </w:p>
        </w:tc>
        <w:tc>
          <w:tcPr>
            <w:tcW w:w="0" w:type="auto"/>
            <w:shd w:val="clear" w:color="auto" w:fill="auto"/>
            <w:vAlign w:val="center"/>
            <w:hideMark/>
          </w:tcPr>
          <w:p w14:paraId="36000748" w14:textId="77777777" w:rsidR="00470AE4" w:rsidRPr="00C63860" w:rsidRDefault="00470AE4" w:rsidP="00470AE4">
            <w:pPr>
              <w:jc w:val="center"/>
              <w:rPr>
                <w:rFonts w:eastAsia="DengXian"/>
                <w:lang w:eastAsia="zh-CN"/>
              </w:rPr>
            </w:pPr>
            <w:r w:rsidRPr="00C63860">
              <w:rPr>
                <w:rFonts w:eastAsia="DengXian"/>
                <w:lang w:eastAsia="zh-CN"/>
              </w:rPr>
              <w:t>10.6</w:t>
            </w:r>
          </w:p>
        </w:tc>
        <w:tc>
          <w:tcPr>
            <w:tcW w:w="0" w:type="auto"/>
            <w:shd w:val="clear" w:color="auto" w:fill="auto"/>
            <w:vAlign w:val="center"/>
            <w:hideMark/>
          </w:tcPr>
          <w:p w14:paraId="3A2420AF" w14:textId="77777777" w:rsidR="00470AE4" w:rsidRPr="00C63860" w:rsidRDefault="00470AE4" w:rsidP="00470AE4">
            <w:pPr>
              <w:jc w:val="center"/>
              <w:rPr>
                <w:rFonts w:eastAsia="DengXian"/>
                <w:lang w:eastAsia="zh-CN"/>
              </w:rPr>
            </w:pPr>
            <w:r w:rsidRPr="00C63860">
              <w:rPr>
                <w:rFonts w:eastAsia="DengXian"/>
                <w:lang w:eastAsia="zh-CN"/>
              </w:rPr>
              <w:t>99.7</w:t>
            </w:r>
          </w:p>
        </w:tc>
        <w:tc>
          <w:tcPr>
            <w:tcW w:w="0" w:type="auto"/>
            <w:shd w:val="clear" w:color="auto" w:fill="auto"/>
            <w:vAlign w:val="center"/>
            <w:hideMark/>
          </w:tcPr>
          <w:p w14:paraId="1706B703" w14:textId="77777777" w:rsidR="00470AE4" w:rsidRPr="00C63860" w:rsidRDefault="00470AE4" w:rsidP="00470AE4">
            <w:pPr>
              <w:jc w:val="center"/>
              <w:rPr>
                <w:rFonts w:eastAsia="DengXian"/>
                <w:lang w:eastAsia="zh-CN"/>
              </w:rPr>
            </w:pPr>
            <w:r w:rsidRPr="00C63860">
              <w:rPr>
                <w:rFonts w:eastAsia="DengXian"/>
                <w:lang w:eastAsia="zh-CN"/>
              </w:rPr>
              <w:t>10.5</w:t>
            </w:r>
          </w:p>
        </w:tc>
        <w:tc>
          <w:tcPr>
            <w:tcW w:w="0" w:type="auto"/>
            <w:shd w:val="clear" w:color="auto" w:fill="auto"/>
            <w:vAlign w:val="center"/>
            <w:hideMark/>
          </w:tcPr>
          <w:p w14:paraId="77A7B4F8" w14:textId="77777777" w:rsidR="00470AE4" w:rsidRPr="00C63860" w:rsidRDefault="00470AE4" w:rsidP="00470AE4">
            <w:pPr>
              <w:jc w:val="center"/>
              <w:rPr>
                <w:rFonts w:eastAsia="DengXian"/>
                <w:lang w:eastAsia="zh-CN"/>
              </w:rPr>
            </w:pPr>
            <w:r w:rsidRPr="00C63860">
              <w:rPr>
                <w:rFonts w:eastAsia="DengXian"/>
                <w:lang w:eastAsia="zh-CN"/>
              </w:rPr>
              <w:t>98.9</w:t>
            </w:r>
          </w:p>
        </w:tc>
        <w:tc>
          <w:tcPr>
            <w:tcW w:w="0" w:type="auto"/>
            <w:shd w:val="clear" w:color="auto" w:fill="auto"/>
            <w:vAlign w:val="center"/>
            <w:hideMark/>
          </w:tcPr>
          <w:p w14:paraId="77D687D9" w14:textId="77777777" w:rsidR="00470AE4" w:rsidRPr="00C63860" w:rsidRDefault="00470AE4" w:rsidP="00470AE4">
            <w:pPr>
              <w:jc w:val="center"/>
              <w:rPr>
                <w:rFonts w:eastAsia="DengXian"/>
                <w:lang w:eastAsia="zh-CN"/>
              </w:rPr>
            </w:pPr>
            <w:r w:rsidRPr="00C63860">
              <w:rPr>
                <w:rFonts w:eastAsia="DengXian"/>
                <w:lang w:eastAsia="zh-CN"/>
              </w:rPr>
              <w:t>21.1</w:t>
            </w:r>
          </w:p>
        </w:tc>
        <w:tc>
          <w:tcPr>
            <w:tcW w:w="0" w:type="auto"/>
            <w:shd w:val="clear" w:color="auto" w:fill="auto"/>
            <w:vAlign w:val="center"/>
            <w:hideMark/>
          </w:tcPr>
          <w:p w14:paraId="7C26967A" w14:textId="77777777" w:rsidR="00470AE4" w:rsidRPr="00C63860" w:rsidRDefault="00470AE4" w:rsidP="00470AE4">
            <w:pPr>
              <w:jc w:val="center"/>
              <w:rPr>
                <w:rFonts w:eastAsia="DengXian"/>
                <w:lang w:eastAsia="zh-CN"/>
              </w:rPr>
            </w:pPr>
            <w:r w:rsidRPr="00C63860">
              <w:rPr>
                <w:rFonts w:eastAsia="DengXian"/>
                <w:lang w:eastAsia="zh-CN"/>
              </w:rPr>
              <w:t>98.2</w:t>
            </w:r>
          </w:p>
        </w:tc>
      </w:tr>
    </w:tbl>
    <w:p w14:paraId="73D0362C" w14:textId="605F6960" w:rsidR="00C63860" w:rsidRPr="00C63860" w:rsidRDefault="00470AE4" w:rsidP="00470AE4">
      <w:pPr>
        <w:rPr>
          <w:rFonts w:eastAsia="DengXian"/>
          <w:bCs/>
          <w:lang w:eastAsia="zh-CN"/>
        </w:rPr>
      </w:pPr>
      <w:r w:rsidRPr="00C63860">
        <w:rPr>
          <w:rFonts w:eastAsia="DengXian"/>
          <w:bCs/>
          <w:lang w:eastAsia="zh-CN"/>
        </w:rPr>
        <w:t xml:space="preserve">Denominator is the total number of patients in the group. </w:t>
      </w:r>
      <w:r w:rsidRPr="00C63860">
        <w:rPr>
          <w:rFonts w:eastAsia="DengXian"/>
          <w:bCs/>
          <w:vertAlign w:val="superscript"/>
          <w:lang w:eastAsia="zh-CN"/>
        </w:rPr>
        <w:t>a</w:t>
      </w:r>
      <w:r w:rsidR="00C63860" w:rsidRPr="00C63860">
        <w:rPr>
          <w:rFonts w:eastAsia="DengXian"/>
          <w:bCs/>
          <w:color w:val="00B0F0"/>
          <w:lang w:eastAsia="zh-CN"/>
        </w:rPr>
        <w:t>’</w:t>
      </w:r>
      <w:r w:rsidRPr="00C63860">
        <w:rPr>
          <w:rFonts w:eastAsia="DengXian"/>
          <w:bCs/>
          <w:lang w:eastAsia="zh-CN"/>
        </w:rPr>
        <w:t>Other</w:t>
      </w:r>
      <w:r w:rsidR="00C63860" w:rsidRPr="00C63860">
        <w:rPr>
          <w:rFonts w:eastAsia="DengXian"/>
          <w:bCs/>
          <w:color w:val="00B0F0"/>
          <w:lang w:eastAsia="zh-CN"/>
        </w:rPr>
        <w:t>’</w:t>
      </w:r>
      <w:r w:rsidRPr="00C63860">
        <w:rPr>
          <w:rFonts w:eastAsia="DengXian"/>
          <w:bCs/>
          <w:lang w:eastAsia="zh-CN"/>
        </w:rPr>
        <w:t xml:space="preserve"> includes procedures with </w:t>
      </w:r>
      <w:r w:rsidR="00C63860" w:rsidRPr="00C63860">
        <w:rPr>
          <w:rFonts w:eastAsia="DengXian"/>
          <w:bCs/>
          <w:color w:val="00B0F0"/>
          <w:lang w:eastAsia="zh-CN"/>
        </w:rPr>
        <w:t>&gt; 1</w:t>
      </w:r>
      <w:r w:rsidRPr="00C63860">
        <w:rPr>
          <w:rFonts w:eastAsia="DengXian"/>
          <w:bCs/>
          <w:lang w:eastAsia="zh-CN"/>
        </w:rPr>
        <w:t xml:space="preserve">% volume in index admission appearing in ES window. </w:t>
      </w:r>
      <w:r w:rsidRPr="00C63860">
        <w:rPr>
          <w:rFonts w:eastAsia="DengXian"/>
          <w:bCs/>
          <w:vertAlign w:val="superscript"/>
          <w:lang w:eastAsia="zh-CN"/>
        </w:rPr>
        <w:t>b</w:t>
      </w:r>
      <w:r w:rsidRPr="00C63860">
        <w:rPr>
          <w:rFonts w:eastAsia="DengXian"/>
          <w:bCs/>
          <w:lang w:eastAsia="zh-CN"/>
        </w:rPr>
        <w:t xml:space="preserve">This Includes patients for whom no procedures were recorded and those who had </w:t>
      </w:r>
      <w:r w:rsidR="00C63860" w:rsidRPr="00C63860">
        <w:rPr>
          <w:rFonts w:eastAsia="DengXian"/>
          <w:bCs/>
          <w:color w:val="00B0F0"/>
          <w:lang w:eastAsia="zh-CN"/>
        </w:rPr>
        <w:t>‘</w:t>
      </w:r>
      <w:r w:rsidR="006F6056" w:rsidRPr="00C63860">
        <w:rPr>
          <w:rFonts w:eastAsia="DengXian"/>
          <w:bCs/>
          <w:lang w:eastAsia="zh-CN"/>
        </w:rPr>
        <w:t>low-volume</w:t>
      </w:r>
      <w:r w:rsidR="00C63860" w:rsidRPr="00C63860">
        <w:rPr>
          <w:rFonts w:eastAsia="DengXian"/>
          <w:bCs/>
          <w:color w:val="00B0F0"/>
          <w:lang w:eastAsia="zh-CN"/>
        </w:rPr>
        <w:t>’</w:t>
      </w:r>
      <w:r w:rsidRPr="00C63860">
        <w:rPr>
          <w:rFonts w:eastAsia="DengXian"/>
          <w:bCs/>
          <w:lang w:eastAsia="zh-CN"/>
        </w:rPr>
        <w:t xml:space="preserve"> (</w:t>
      </w:r>
      <w:r w:rsidR="00C63860" w:rsidRPr="00C63860">
        <w:rPr>
          <w:rFonts w:eastAsia="DengXian"/>
          <w:bCs/>
          <w:color w:val="00B0F0"/>
          <w:lang w:eastAsia="zh-CN"/>
        </w:rPr>
        <w:t>&lt; 1</w:t>
      </w:r>
      <w:r w:rsidRPr="00C63860">
        <w:rPr>
          <w:rFonts w:eastAsia="DengXian"/>
          <w:bCs/>
          <w:lang w:eastAsia="zh-CN"/>
        </w:rPr>
        <w:t>%) procedures.</w:t>
      </w:r>
    </w:p>
    <w:p w14:paraId="7E8DABF2" w14:textId="4F853E45" w:rsidR="00AD642D" w:rsidRPr="00C63860" w:rsidRDefault="00C63860" w:rsidP="00BC4F71">
      <w:pPr>
        <w:spacing w:after="160" w:line="259" w:lineRule="auto"/>
        <w:rPr>
          <w:rFonts w:eastAsia="DengXian"/>
          <w:b/>
          <w:bCs/>
          <w:lang w:eastAsia="zh-CN"/>
        </w:rPr>
      </w:pPr>
      <w:bookmarkStart w:id="82" w:name="_Toc86670786"/>
      <w:r w:rsidRPr="00C63860">
        <w:rPr>
          <w:b/>
          <w:bCs/>
          <w:i/>
          <w:color w:val="FF0000"/>
        </w:rPr>
        <w:t xml:space="preserve">Table </w:t>
      </w:r>
      <w:r w:rsidRPr="00C63860">
        <w:rPr>
          <w:b/>
          <w:bCs/>
          <w:i/>
          <w:noProof/>
          <w:color w:val="FF0000"/>
        </w:rPr>
        <w:t>14</w:t>
      </w:r>
      <w:r w:rsidR="00AD642D" w:rsidRPr="00C63860">
        <w:rPr>
          <w:b/>
          <w:bCs/>
        </w:rPr>
        <w:t>: Operative procedures after the ES window and up to one year for ES and non-emergency surgery (NES) strategies</w:t>
      </w:r>
      <w:bookmarkEnd w:id="82"/>
    </w:p>
    <w:tbl>
      <w:tblPr>
        <w:tblW w:w="0" w:type="auto"/>
        <w:tblInd w:w="-930" w:type="dxa"/>
        <w:tblCellMar>
          <w:top w:w="40" w:type="dxa"/>
          <w:left w:w="60" w:type="dxa"/>
          <w:bottom w:w="40" w:type="dxa"/>
          <w:right w:w="60" w:type="dxa"/>
        </w:tblCellMar>
        <w:tblLook w:val="04A0" w:firstRow="1" w:lastRow="0" w:firstColumn="1" w:lastColumn="0" w:noHBand="0" w:noVBand="1"/>
      </w:tblPr>
      <w:tblGrid>
        <w:gridCol w:w="771"/>
        <w:gridCol w:w="780"/>
        <w:gridCol w:w="861"/>
        <w:gridCol w:w="973"/>
        <w:gridCol w:w="973"/>
        <w:gridCol w:w="1199"/>
        <w:gridCol w:w="1199"/>
        <w:gridCol w:w="861"/>
        <w:gridCol w:w="717"/>
        <w:gridCol w:w="741"/>
        <w:gridCol w:w="881"/>
      </w:tblGrid>
      <w:tr w:rsidR="00C15B66" w:rsidRPr="00C63860" w14:paraId="40DE54E8" w14:textId="77777777" w:rsidTr="00C63860">
        <w:trPr>
          <w:cantSplit/>
        </w:trPr>
        <w:tc>
          <w:tcPr>
            <w:tcW w:w="0" w:type="auto"/>
            <w:shd w:val="clear" w:color="auto" w:fill="auto"/>
            <w:vAlign w:val="center"/>
            <w:hideMark/>
          </w:tcPr>
          <w:p w14:paraId="1884D4A0" w14:textId="77777777" w:rsidR="00470AE4" w:rsidRPr="00C63860" w:rsidRDefault="00470AE4" w:rsidP="00470AE4">
            <w:pPr>
              <w:contextualSpacing/>
              <w:rPr>
                <w:rFonts w:eastAsia="DengXian"/>
                <w:b/>
                <w:bCs/>
                <w:lang w:eastAsia="zh-CN"/>
              </w:rPr>
            </w:pPr>
          </w:p>
        </w:tc>
        <w:tc>
          <w:tcPr>
            <w:tcW w:w="0" w:type="auto"/>
            <w:gridSpan w:val="2"/>
            <w:shd w:val="clear" w:color="auto" w:fill="auto"/>
            <w:hideMark/>
          </w:tcPr>
          <w:p w14:paraId="3ADDCAC7" w14:textId="77777777" w:rsidR="00470AE4" w:rsidRPr="00C63860" w:rsidRDefault="00470AE4" w:rsidP="00470AE4">
            <w:pPr>
              <w:contextualSpacing/>
              <w:jc w:val="center"/>
              <w:rPr>
                <w:rFonts w:cstheme="minorHAnsi"/>
                <w:b/>
                <w:bCs/>
              </w:rPr>
            </w:pPr>
            <w:r w:rsidRPr="00C63860">
              <w:rPr>
                <w:rFonts w:cstheme="minorHAnsi"/>
                <w:b/>
                <w:bCs/>
              </w:rPr>
              <w:t>Appendicitis</w:t>
            </w:r>
          </w:p>
          <w:p w14:paraId="69B90729" w14:textId="77777777" w:rsidR="00470AE4" w:rsidRPr="00C63860" w:rsidRDefault="00470AE4" w:rsidP="00470AE4">
            <w:pPr>
              <w:contextualSpacing/>
              <w:jc w:val="center"/>
              <w:rPr>
                <w:rFonts w:cstheme="minorHAnsi"/>
                <w:b/>
                <w:bCs/>
              </w:rPr>
            </w:pPr>
            <w:r w:rsidRPr="00C63860">
              <w:rPr>
                <w:rFonts w:cstheme="minorHAnsi"/>
                <w:b/>
                <w:bCs/>
              </w:rPr>
              <w:t>(N=268,144)</w:t>
            </w:r>
          </w:p>
        </w:tc>
        <w:tc>
          <w:tcPr>
            <w:tcW w:w="0" w:type="auto"/>
            <w:gridSpan w:val="2"/>
            <w:shd w:val="clear" w:color="auto" w:fill="auto"/>
          </w:tcPr>
          <w:p w14:paraId="55AF0CBE" w14:textId="77777777" w:rsidR="00C63860" w:rsidRPr="00C63860" w:rsidRDefault="00470AE4" w:rsidP="00470AE4">
            <w:pPr>
              <w:spacing w:before="100" w:beforeAutospacing="1" w:after="100" w:afterAutospacing="1"/>
              <w:contextualSpacing/>
              <w:jc w:val="center"/>
              <w:rPr>
                <w:rFonts w:cstheme="minorHAnsi"/>
                <w:b/>
                <w:bCs/>
              </w:rPr>
            </w:pPr>
            <w:r w:rsidRPr="00C63860">
              <w:rPr>
                <w:rFonts w:cstheme="minorHAnsi"/>
                <w:b/>
                <w:bCs/>
              </w:rPr>
              <w:t>Cholelithiasis</w:t>
            </w:r>
          </w:p>
          <w:p w14:paraId="1D5947BD" w14:textId="2A59E4E6" w:rsidR="00470AE4" w:rsidRPr="00C63860" w:rsidRDefault="00470AE4" w:rsidP="00470AE4">
            <w:pPr>
              <w:contextualSpacing/>
              <w:jc w:val="center"/>
              <w:rPr>
                <w:rFonts w:eastAsia="DengXian"/>
                <w:b/>
                <w:bCs/>
                <w:lang w:eastAsia="zh-CN"/>
              </w:rPr>
            </w:pPr>
            <w:r w:rsidRPr="00C63860">
              <w:rPr>
                <w:rFonts w:cstheme="minorHAnsi"/>
                <w:b/>
                <w:bCs/>
              </w:rPr>
              <w:t>(N=</w:t>
            </w:r>
            <w:r w:rsidRPr="00C63860">
              <w:rPr>
                <w:b/>
                <w:bCs/>
              </w:rPr>
              <w:t xml:space="preserve"> </w:t>
            </w:r>
            <w:r w:rsidRPr="00C63860">
              <w:rPr>
                <w:rFonts w:cstheme="minorHAnsi"/>
                <w:b/>
                <w:bCs/>
              </w:rPr>
              <w:t>240,977)</w:t>
            </w:r>
          </w:p>
        </w:tc>
        <w:tc>
          <w:tcPr>
            <w:tcW w:w="0" w:type="auto"/>
            <w:gridSpan w:val="2"/>
            <w:shd w:val="clear" w:color="auto" w:fill="auto"/>
            <w:hideMark/>
          </w:tcPr>
          <w:p w14:paraId="0521EF69" w14:textId="77777777" w:rsidR="00470AE4" w:rsidRPr="00C63860" w:rsidRDefault="00470AE4" w:rsidP="00470AE4">
            <w:pPr>
              <w:contextualSpacing/>
              <w:jc w:val="center"/>
              <w:rPr>
                <w:rFonts w:eastAsia="DengXian"/>
                <w:b/>
                <w:bCs/>
                <w:lang w:eastAsia="zh-CN"/>
              </w:rPr>
            </w:pPr>
            <w:r w:rsidRPr="00C63860">
              <w:rPr>
                <w:rFonts w:cstheme="minorHAnsi"/>
                <w:b/>
                <w:bCs/>
              </w:rPr>
              <w:t>Diverticular disease (N=138,869)</w:t>
            </w:r>
          </w:p>
        </w:tc>
        <w:tc>
          <w:tcPr>
            <w:tcW w:w="0" w:type="auto"/>
            <w:gridSpan w:val="2"/>
            <w:shd w:val="clear" w:color="auto" w:fill="auto"/>
            <w:hideMark/>
          </w:tcPr>
          <w:p w14:paraId="11D16426" w14:textId="77777777" w:rsidR="00C63860" w:rsidRPr="00C63860" w:rsidRDefault="00470AE4" w:rsidP="00470AE4">
            <w:pPr>
              <w:spacing w:before="100" w:beforeAutospacing="1" w:after="100" w:afterAutospacing="1"/>
              <w:contextualSpacing/>
              <w:jc w:val="center"/>
              <w:rPr>
                <w:rFonts w:cstheme="minorHAnsi"/>
                <w:b/>
                <w:bCs/>
              </w:rPr>
            </w:pPr>
            <w:r w:rsidRPr="00C63860">
              <w:rPr>
                <w:rFonts w:cstheme="minorHAnsi"/>
                <w:b/>
                <w:bCs/>
              </w:rPr>
              <w:t>Hernia</w:t>
            </w:r>
          </w:p>
          <w:p w14:paraId="1404B42F" w14:textId="3788AFEA" w:rsidR="00470AE4" w:rsidRPr="00C63860" w:rsidRDefault="00470AE4" w:rsidP="00470AE4">
            <w:pPr>
              <w:contextualSpacing/>
              <w:jc w:val="center"/>
              <w:rPr>
                <w:rFonts w:eastAsia="DengXian"/>
                <w:b/>
                <w:bCs/>
                <w:lang w:eastAsia="zh-CN"/>
              </w:rPr>
            </w:pPr>
            <w:r w:rsidRPr="00C63860">
              <w:rPr>
                <w:rFonts w:cstheme="minorHAnsi"/>
                <w:b/>
                <w:bCs/>
              </w:rPr>
              <w:t>(N=106,432)</w:t>
            </w:r>
          </w:p>
        </w:tc>
        <w:tc>
          <w:tcPr>
            <w:tcW w:w="0" w:type="auto"/>
            <w:gridSpan w:val="2"/>
            <w:shd w:val="clear" w:color="auto" w:fill="auto"/>
          </w:tcPr>
          <w:p w14:paraId="5EC8B0C1" w14:textId="77777777" w:rsidR="00C63860" w:rsidRPr="00C63860" w:rsidRDefault="00470AE4" w:rsidP="00470AE4">
            <w:pPr>
              <w:spacing w:before="100" w:beforeAutospacing="1" w:after="100" w:afterAutospacing="1"/>
              <w:contextualSpacing/>
              <w:jc w:val="center"/>
              <w:rPr>
                <w:rFonts w:cstheme="minorHAnsi"/>
                <w:b/>
                <w:bCs/>
              </w:rPr>
            </w:pPr>
            <w:r w:rsidRPr="00C63860">
              <w:rPr>
                <w:rFonts w:cstheme="minorHAnsi"/>
                <w:b/>
                <w:bCs/>
              </w:rPr>
              <w:t>Intestinal obstruction</w:t>
            </w:r>
          </w:p>
          <w:p w14:paraId="5FC91959" w14:textId="28FBCBDD" w:rsidR="00470AE4" w:rsidRPr="00C63860" w:rsidRDefault="00470AE4" w:rsidP="00470AE4">
            <w:pPr>
              <w:contextualSpacing/>
              <w:jc w:val="center"/>
              <w:rPr>
                <w:rFonts w:eastAsia="DengXian"/>
                <w:b/>
                <w:bCs/>
                <w:lang w:eastAsia="zh-CN"/>
              </w:rPr>
            </w:pPr>
            <w:r w:rsidRPr="00C63860">
              <w:rPr>
                <w:rFonts w:cstheme="minorHAnsi"/>
                <w:b/>
                <w:bCs/>
              </w:rPr>
              <w:t>(N=133,073)</w:t>
            </w:r>
          </w:p>
        </w:tc>
      </w:tr>
      <w:tr w:rsidR="00DF6C23" w:rsidRPr="00C63860" w14:paraId="32D2FB73" w14:textId="77777777" w:rsidTr="00C63860">
        <w:trPr>
          <w:cantSplit/>
        </w:trPr>
        <w:tc>
          <w:tcPr>
            <w:tcW w:w="0" w:type="auto"/>
            <w:shd w:val="clear" w:color="auto" w:fill="auto"/>
            <w:vAlign w:val="center"/>
            <w:hideMark/>
          </w:tcPr>
          <w:p w14:paraId="2C6C1F80" w14:textId="22C9B4AE" w:rsidR="00470AE4" w:rsidRPr="00C63860" w:rsidRDefault="00C63860" w:rsidP="00470AE4">
            <w:pPr>
              <w:contextualSpacing/>
              <w:rPr>
                <w:rFonts w:eastAsia="DengXian"/>
                <w:b/>
                <w:bCs/>
                <w:lang w:eastAsia="zh-CN"/>
              </w:rPr>
            </w:pPr>
            <w:r w:rsidRPr="00C63860">
              <w:rPr>
                <w:rFonts w:eastAsia="DengXian"/>
                <w:b/>
                <w:bCs/>
                <w:lang w:eastAsia="zh-CN"/>
              </w:rPr>
              <w:t xml:space="preserve"> </w:t>
            </w:r>
          </w:p>
        </w:tc>
        <w:tc>
          <w:tcPr>
            <w:tcW w:w="0" w:type="auto"/>
            <w:shd w:val="clear" w:color="auto" w:fill="auto"/>
            <w:vAlign w:val="center"/>
            <w:hideMark/>
          </w:tcPr>
          <w:p w14:paraId="4B013576" w14:textId="77777777" w:rsidR="00470AE4" w:rsidRPr="00C63860" w:rsidRDefault="00470AE4" w:rsidP="00470AE4">
            <w:pPr>
              <w:contextualSpacing/>
              <w:jc w:val="center"/>
              <w:rPr>
                <w:rFonts w:eastAsia="DengXian"/>
                <w:lang w:eastAsia="zh-CN"/>
              </w:rPr>
            </w:pPr>
            <w:r w:rsidRPr="00C63860">
              <w:rPr>
                <w:rFonts w:eastAsia="DengXian"/>
                <w:lang w:eastAsia="zh-CN"/>
              </w:rPr>
              <w:t>ES</w:t>
            </w:r>
          </w:p>
          <w:p w14:paraId="086CC00B" w14:textId="77777777" w:rsidR="00470AE4" w:rsidRPr="00C63860" w:rsidRDefault="00470AE4" w:rsidP="00470AE4">
            <w:pPr>
              <w:contextualSpacing/>
              <w:jc w:val="center"/>
              <w:rPr>
                <w:rFonts w:eastAsia="DengXian"/>
                <w:lang w:eastAsia="zh-CN"/>
              </w:rPr>
            </w:pPr>
            <w:r w:rsidRPr="00C63860">
              <w:rPr>
                <w:rFonts w:eastAsia="DengXian"/>
                <w:lang w:eastAsia="zh-CN"/>
              </w:rPr>
              <w:t>(N=247,506)</w:t>
            </w:r>
          </w:p>
        </w:tc>
        <w:tc>
          <w:tcPr>
            <w:tcW w:w="0" w:type="auto"/>
            <w:shd w:val="clear" w:color="auto" w:fill="auto"/>
            <w:vAlign w:val="center"/>
            <w:hideMark/>
          </w:tcPr>
          <w:p w14:paraId="4F10271C" w14:textId="77777777" w:rsidR="00470AE4" w:rsidRPr="00C63860" w:rsidRDefault="00470AE4" w:rsidP="00470AE4">
            <w:pPr>
              <w:contextualSpacing/>
              <w:jc w:val="center"/>
              <w:rPr>
                <w:rFonts w:eastAsia="DengXian"/>
                <w:lang w:eastAsia="zh-CN"/>
              </w:rPr>
            </w:pPr>
            <w:r w:rsidRPr="00C63860">
              <w:rPr>
                <w:rFonts w:eastAsia="DengXian"/>
                <w:lang w:eastAsia="zh-CN"/>
              </w:rPr>
              <w:t>NES</w:t>
            </w:r>
          </w:p>
          <w:p w14:paraId="39B93118" w14:textId="77777777" w:rsidR="00470AE4" w:rsidRPr="00C63860" w:rsidRDefault="00470AE4" w:rsidP="00470AE4">
            <w:pPr>
              <w:contextualSpacing/>
              <w:jc w:val="center"/>
              <w:rPr>
                <w:rFonts w:eastAsia="DengXian"/>
                <w:lang w:eastAsia="zh-CN"/>
              </w:rPr>
            </w:pPr>
            <w:r w:rsidRPr="00C63860">
              <w:rPr>
                <w:rFonts w:eastAsia="DengXian"/>
                <w:lang w:eastAsia="zh-CN"/>
              </w:rPr>
              <w:t>(N=20,638)</w:t>
            </w:r>
          </w:p>
        </w:tc>
        <w:tc>
          <w:tcPr>
            <w:tcW w:w="0" w:type="auto"/>
            <w:shd w:val="clear" w:color="auto" w:fill="auto"/>
          </w:tcPr>
          <w:p w14:paraId="109D29FB" w14:textId="77777777" w:rsidR="00470AE4" w:rsidRPr="00C63860" w:rsidRDefault="00470AE4" w:rsidP="00470AE4">
            <w:pPr>
              <w:spacing w:before="100" w:beforeAutospacing="1" w:after="100" w:afterAutospacing="1"/>
              <w:contextualSpacing/>
              <w:jc w:val="center"/>
              <w:rPr>
                <w:rFonts w:cstheme="minorHAnsi"/>
                <w:bCs/>
              </w:rPr>
            </w:pPr>
            <w:r w:rsidRPr="00C63860">
              <w:rPr>
                <w:rFonts w:cstheme="minorHAnsi"/>
                <w:bCs/>
              </w:rPr>
              <w:t>ES</w:t>
            </w:r>
          </w:p>
          <w:p w14:paraId="786047DD" w14:textId="77777777" w:rsidR="00470AE4" w:rsidRPr="00C63860" w:rsidRDefault="00470AE4" w:rsidP="00470AE4">
            <w:pPr>
              <w:contextualSpacing/>
              <w:jc w:val="center"/>
              <w:rPr>
                <w:rFonts w:eastAsia="DengXian"/>
                <w:lang w:eastAsia="zh-CN"/>
              </w:rPr>
            </w:pPr>
            <w:r w:rsidRPr="00C63860">
              <w:rPr>
                <w:rFonts w:cstheme="minorHAnsi"/>
                <w:bCs/>
              </w:rPr>
              <w:t>(N</w:t>
            </w:r>
            <w:r w:rsidRPr="00C63860">
              <w:t>=</w:t>
            </w:r>
            <w:r w:rsidRPr="00C63860">
              <w:rPr>
                <w:rFonts w:cstheme="minorHAnsi"/>
                <w:bCs/>
              </w:rPr>
              <w:t>52,004)</w:t>
            </w:r>
          </w:p>
        </w:tc>
        <w:tc>
          <w:tcPr>
            <w:tcW w:w="0" w:type="auto"/>
            <w:shd w:val="clear" w:color="auto" w:fill="auto"/>
          </w:tcPr>
          <w:p w14:paraId="20B1E6A4" w14:textId="77777777" w:rsidR="00470AE4" w:rsidRPr="00C63860" w:rsidRDefault="00470AE4" w:rsidP="00470AE4">
            <w:pPr>
              <w:spacing w:before="100" w:beforeAutospacing="1" w:after="100" w:afterAutospacing="1"/>
              <w:contextualSpacing/>
              <w:jc w:val="center"/>
              <w:rPr>
                <w:rFonts w:cstheme="minorHAnsi"/>
                <w:bCs/>
              </w:rPr>
            </w:pPr>
            <w:r w:rsidRPr="00C63860">
              <w:rPr>
                <w:rFonts w:cstheme="minorHAnsi"/>
                <w:bCs/>
              </w:rPr>
              <w:t>NES</w:t>
            </w:r>
          </w:p>
          <w:p w14:paraId="63E9F712" w14:textId="77777777" w:rsidR="00470AE4" w:rsidRPr="00C63860" w:rsidRDefault="00470AE4" w:rsidP="00470AE4">
            <w:pPr>
              <w:contextualSpacing/>
              <w:jc w:val="center"/>
              <w:rPr>
                <w:rFonts w:eastAsia="DengXian"/>
                <w:lang w:eastAsia="zh-CN"/>
              </w:rPr>
            </w:pPr>
            <w:r w:rsidRPr="00C63860">
              <w:rPr>
                <w:rFonts w:cstheme="minorHAnsi"/>
                <w:bCs/>
              </w:rPr>
              <w:t>(N=188,973)</w:t>
            </w:r>
          </w:p>
        </w:tc>
        <w:tc>
          <w:tcPr>
            <w:tcW w:w="0" w:type="auto"/>
            <w:shd w:val="clear" w:color="auto" w:fill="auto"/>
            <w:vAlign w:val="center"/>
            <w:hideMark/>
          </w:tcPr>
          <w:p w14:paraId="21B8510C" w14:textId="77777777" w:rsidR="00470AE4" w:rsidRPr="00C63860" w:rsidRDefault="00470AE4" w:rsidP="00470AE4">
            <w:pPr>
              <w:contextualSpacing/>
              <w:jc w:val="center"/>
              <w:rPr>
                <w:rFonts w:eastAsia="DengXian"/>
                <w:lang w:eastAsia="zh-CN"/>
              </w:rPr>
            </w:pPr>
            <w:r w:rsidRPr="00C63860">
              <w:rPr>
                <w:rFonts w:eastAsia="DengXian"/>
                <w:lang w:eastAsia="zh-CN"/>
              </w:rPr>
              <w:t>ES</w:t>
            </w:r>
          </w:p>
          <w:p w14:paraId="3709F53A" w14:textId="77777777" w:rsidR="00470AE4" w:rsidRPr="00C63860" w:rsidRDefault="00470AE4" w:rsidP="00470AE4">
            <w:pPr>
              <w:contextualSpacing/>
              <w:jc w:val="center"/>
              <w:rPr>
                <w:rFonts w:eastAsia="DengXian"/>
                <w:lang w:eastAsia="zh-CN"/>
              </w:rPr>
            </w:pPr>
            <w:r w:rsidRPr="00C63860">
              <w:rPr>
                <w:rFonts w:eastAsia="DengXian"/>
                <w:lang w:eastAsia="zh-CN"/>
              </w:rPr>
              <w:t>(N=15,772)</w:t>
            </w:r>
          </w:p>
        </w:tc>
        <w:tc>
          <w:tcPr>
            <w:tcW w:w="0" w:type="auto"/>
            <w:shd w:val="clear" w:color="auto" w:fill="auto"/>
            <w:vAlign w:val="center"/>
            <w:hideMark/>
          </w:tcPr>
          <w:p w14:paraId="141190EF" w14:textId="77777777" w:rsidR="00470AE4" w:rsidRPr="00C63860" w:rsidRDefault="00470AE4" w:rsidP="00470AE4">
            <w:pPr>
              <w:contextualSpacing/>
              <w:jc w:val="center"/>
              <w:rPr>
                <w:rFonts w:eastAsia="DengXian"/>
                <w:lang w:eastAsia="zh-CN"/>
              </w:rPr>
            </w:pPr>
            <w:r w:rsidRPr="00C63860">
              <w:rPr>
                <w:rFonts w:eastAsia="DengXian"/>
                <w:lang w:eastAsia="zh-CN"/>
              </w:rPr>
              <w:t>NES</w:t>
            </w:r>
          </w:p>
          <w:p w14:paraId="00F1D2A8" w14:textId="77777777" w:rsidR="00470AE4" w:rsidRPr="00C63860" w:rsidRDefault="00470AE4" w:rsidP="00470AE4">
            <w:pPr>
              <w:contextualSpacing/>
              <w:jc w:val="center"/>
              <w:rPr>
                <w:rFonts w:eastAsia="DengXian"/>
                <w:lang w:eastAsia="zh-CN"/>
              </w:rPr>
            </w:pPr>
            <w:r w:rsidRPr="00C63860">
              <w:rPr>
                <w:rFonts w:eastAsia="DengXian"/>
                <w:lang w:eastAsia="zh-CN"/>
              </w:rPr>
              <w:t>(N=123,097)</w:t>
            </w:r>
          </w:p>
        </w:tc>
        <w:tc>
          <w:tcPr>
            <w:tcW w:w="0" w:type="auto"/>
            <w:shd w:val="clear" w:color="auto" w:fill="auto"/>
            <w:hideMark/>
          </w:tcPr>
          <w:p w14:paraId="141DCC4C" w14:textId="77777777" w:rsidR="00C63860" w:rsidRPr="00C63860" w:rsidRDefault="00470AE4" w:rsidP="00470AE4">
            <w:pPr>
              <w:spacing w:before="100" w:beforeAutospacing="1" w:after="100" w:afterAutospacing="1"/>
              <w:contextualSpacing/>
              <w:jc w:val="center"/>
              <w:rPr>
                <w:rFonts w:cstheme="minorHAnsi"/>
                <w:bCs/>
              </w:rPr>
            </w:pPr>
            <w:r w:rsidRPr="00C63860">
              <w:rPr>
                <w:rFonts w:cstheme="minorHAnsi"/>
                <w:bCs/>
              </w:rPr>
              <w:t>ES</w:t>
            </w:r>
          </w:p>
          <w:p w14:paraId="09D6FCBE" w14:textId="5431C34A" w:rsidR="00470AE4" w:rsidRPr="00C63860" w:rsidRDefault="00470AE4" w:rsidP="00470AE4">
            <w:pPr>
              <w:contextualSpacing/>
              <w:jc w:val="center"/>
              <w:rPr>
                <w:rFonts w:eastAsia="DengXian"/>
                <w:lang w:eastAsia="zh-CN"/>
              </w:rPr>
            </w:pPr>
            <w:r w:rsidRPr="00C63860">
              <w:rPr>
                <w:rFonts w:cstheme="minorHAnsi"/>
                <w:bCs/>
              </w:rPr>
              <w:t>(N=62,559)</w:t>
            </w:r>
          </w:p>
        </w:tc>
        <w:tc>
          <w:tcPr>
            <w:tcW w:w="0" w:type="auto"/>
            <w:shd w:val="clear" w:color="auto" w:fill="auto"/>
            <w:hideMark/>
          </w:tcPr>
          <w:p w14:paraId="04782D76" w14:textId="77777777" w:rsidR="00C63860" w:rsidRPr="00C63860" w:rsidRDefault="00470AE4" w:rsidP="00470AE4">
            <w:pPr>
              <w:spacing w:before="100" w:beforeAutospacing="1" w:after="100" w:afterAutospacing="1"/>
              <w:contextualSpacing/>
              <w:jc w:val="center"/>
              <w:rPr>
                <w:rFonts w:cstheme="minorHAnsi"/>
                <w:bCs/>
              </w:rPr>
            </w:pPr>
            <w:r w:rsidRPr="00C63860">
              <w:rPr>
                <w:rFonts w:cstheme="minorHAnsi"/>
                <w:bCs/>
              </w:rPr>
              <w:t>NES</w:t>
            </w:r>
          </w:p>
          <w:p w14:paraId="0A32E6A9" w14:textId="56332DFD" w:rsidR="00470AE4" w:rsidRPr="00C63860" w:rsidRDefault="00470AE4" w:rsidP="00470AE4">
            <w:pPr>
              <w:contextualSpacing/>
              <w:jc w:val="center"/>
              <w:rPr>
                <w:rFonts w:eastAsia="DengXian"/>
                <w:lang w:eastAsia="zh-CN"/>
              </w:rPr>
            </w:pPr>
            <w:r w:rsidRPr="00C63860">
              <w:rPr>
                <w:rFonts w:cstheme="minorHAnsi"/>
                <w:bCs/>
              </w:rPr>
              <w:t>(N=43,873)</w:t>
            </w:r>
          </w:p>
        </w:tc>
        <w:tc>
          <w:tcPr>
            <w:tcW w:w="0" w:type="auto"/>
            <w:shd w:val="clear" w:color="auto" w:fill="auto"/>
          </w:tcPr>
          <w:p w14:paraId="5DC7959E" w14:textId="77777777" w:rsidR="00470AE4" w:rsidRPr="00C63860" w:rsidRDefault="00470AE4" w:rsidP="00470AE4">
            <w:pPr>
              <w:spacing w:before="100" w:beforeAutospacing="1" w:after="100" w:afterAutospacing="1"/>
              <w:contextualSpacing/>
              <w:jc w:val="center"/>
              <w:rPr>
                <w:rFonts w:cstheme="minorHAnsi"/>
                <w:bCs/>
              </w:rPr>
            </w:pPr>
            <w:r w:rsidRPr="00C63860">
              <w:rPr>
                <w:rFonts w:cstheme="minorHAnsi"/>
                <w:bCs/>
              </w:rPr>
              <w:t>ES</w:t>
            </w:r>
          </w:p>
          <w:p w14:paraId="4CC3BF64" w14:textId="77777777" w:rsidR="00470AE4" w:rsidRPr="00C63860" w:rsidRDefault="00470AE4" w:rsidP="00470AE4">
            <w:pPr>
              <w:contextualSpacing/>
              <w:jc w:val="center"/>
              <w:rPr>
                <w:rFonts w:eastAsia="DengXian"/>
                <w:lang w:eastAsia="zh-CN"/>
              </w:rPr>
            </w:pPr>
            <w:r w:rsidRPr="00C63860">
              <w:rPr>
                <w:rFonts w:cstheme="minorHAnsi"/>
                <w:bCs/>
              </w:rPr>
              <w:t>(N=40,550)</w:t>
            </w:r>
          </w:p>
        </w:tc>
        <w:tc>
          <w:tcPr>
            <w:tcW w:w="0" w:type="auto"/>
            <w:shd w:val="clear" w:color="auto" w:fill="auto"/>
          </w:tcPr>
          <w:p w14:paraId="0C9235E0" w14:textId="77777777" w:rsidR="00470AE4" w:rsidRPr="00C63860" w:rsidRDefault="00470AE4" w:rsidP="00470AE4">
            <w:pPr>
              <w:spacing w:before="100" w:beforeAutospacing="1" w:after="100" w:afterAutospacing="1"/>
              <w:contextualSpacing/>
              <w:jc w:val="center"/>
              <w:rPr>
                <w:rFonts w:cstheme="minorHAnsi"/>
                <w:bCs/>
              </w:rPr>
            </w:pPr>
            <w:r w:rsidRPr="00C63860">
              <w:rPr>
                <w:rFonts w:cstheme="minorHAnsi"/>
                <w:bCs/>
              </w:rPr>
              <w:t>NES</w:t>
            </w:r>
          </w:p>
          <w:p w14:paraId="60297DFB" w14:textId="77777777" w:rsidR="00470AE4" w:rsidRPr="00C63860" w:rsidRDefault="00470AE4" w:rsidP="00470AE4">
            <w:pPr>
              <w:contextualSpacing/>
              <w:jc w:val="center"/>
              <w:rPr>
                <w:rFonts w:eastAsia="DengXian"/>
                <w:lang w:eastAsia="zh-CN"/>
              </w:rPr>
            </w:pPr>
            <w:r w:rsidRPr="00C63860">
              <w:rPr>
                <w:rFonts w:cstheme="minorHAnsi"/>
                <w:bCs/>
              </w:rPr>
              <w:t>(N=92,523)</w:t>
            </w:r>
          </w:p>
        </w:tc>
      </w:tr>
      <w:tr w:rsidR="00DF6C23" w:rsidRPr="00C63860" w14:paraId="724FE1B0" w14:textId="77777777" w:rsidTr="00C63860">
        <w:trPr>
          <w:cantSplit/>
        </w:trPr>
        <w:tc>
          <w:tcPr>
            <w:tcW w:w="0" w:type="auto"/>
            <w:shd w:val="clear" w:color="auto" w:fill="auto"/>
            <w:hideMark/>
          </w:tcPr>
          <w:p w14:paraId="63052884" w14:textId="4D3FC019" w:rsidR="00470AE4" w:rsidRPr="00C63860" w:rsidRDefault="00C63860" w:rsidP="00470AE4">
            <w:pPr>
              <w:rPr>
                <w:rFonts w:eastAsia="DengXian"/>
                <w:b/>
                <w:bCs/>
                <w:lang w:eastAsia="zh-CN"/>
              </w:rPr>
            </w:pPr>
            <w:r w:rsidRPr="00C63860">
              <w:rPr>
                <w:rFonts w:eastAsia="DengXian"/>
                <w:b/>
                <w:bCs/>
                <w:color w:val="00B0F0"/>
                <w:lang w:eastAsia="zh-CN"/>
              </w:rPr>
              <w:t>‘</w:t>
            </w:r>
            <w:r w:rsidR="006F6056" w:rsidRPr="00C63860">
              <w:rPr>
                <w:rFonts w:eastAsia="DengXian"/>
                <w:b/>
                <w:bCs/>
                <w:lang w:eastAsia="zh-CN"/>
              </w:rPr>
              <w:t>More common</w:t>
            </w:r>
            <w:r w:rsidRPr="00C63860">
              <w:rPr>
                <w:rFonts w:eastAsia="DengXian"/>
                <w:b/>
                <w:bCs/>
                <w:color w:val="00B0F0"/>
                <w:lang w:eastAsia="zh-CN"/>
              </w:rPr>
              <w:t>’</w:t>
            </w:r>
            <w:r w:rsidR="00470AE4" w:rsidRPr="00C63860">
              <w:rPr>
                <w:rFonts w:eastAsia="DengXian"/>
                <w:b/>
                <w:bCs/>
                <w:lang w:eastAsia="zh-CN"/>
              </w:rPr>
              <w:t xml:space="preserve"> operative procedures</w:t>
            </w:r>
            <w:r w:rsidR="00470AE4" w:rsidRPr="00C63860">
              <w:rPr>
                <w:rFonts w:eastAsia="DengXian"/>
                <w:b/>
                <w:bCs/>
                <w:vertAlign w:val="superscript"/>
                <w:lang w:eastAsia="zh-CN"/>
              </w:rPr>
              <w:t>a</w:t>
            </w:r>
            <w:r w:rsidR="00470AE4" w:rsidRPr="00C63860">
              <w:rPr>
                <w:rFonts w:eastAsia="DengXian"/>
                <w:b/>
                <w:bCs/>
                <w:lang w:eastAsia="zh-CN"/>
              </w:rPr>
              <w:t xml:space="preserve"> (%)</w:t>
            </w:r>
          </w:p>
        </w:tc>
        <w:tc>
          <w:tcPr>
            <w:tcW w:w="0" w:type="auto"/>
            <w:shd w:val="clear" w:color="auto" w:fill="auto"/>
            <w:hideMark/>
          </w:tcPr>
          <w:p w14:paraId="57F04391" w14:textId="77777777" w:rsidR="00470AE4" w:rsidRPr="00C63860" w:rsidRDefault="00470AE4" w:rsidP="00470AE4">
            <w:pPr>
              <w:spacing w:after="80"/>
              <w:jc w:val="center"/>
              <w:rPr>
                <w:rFonts w:eastAsia="DengXian"/>
                <w:lang w:eastAsia="zh-CN"/>
              </w:rPr>
            </w:pPr>
            <w:r w:rsidRPr="00C63860">
              <w:rPr>
                <w:rFonts w:eastAsia="DengXian"/>
                <w:lang w:eastAsia="zh-CN"/>
              </w:rPr>
              <w:t>Emergency excision of abnormal appendix (2.8)</w:t>
            </w:r>
          </w:p>
          <w:p w14:paraId="375CF5EE" w14:textId="77777777" w:rsidR="00470AE4" w:rsidRPr="00C63860" w:rsidRDefault="00470AE4" w:rsidP="00470AE4">
            <w:pPr>
              <w:spacing w:after="80"/>
              <w:jc w:val="center"/>
              <w:rPr>
                <w:rFonts w:eastAsia="DengXian"/>
                <w:lang w:eastAsia="zh-CN"/>
              </w:rPr>
            </w:pPr>
            <w:r w:rsidRPr="00C63860">
              <w:rPr>
                <w:rFonts w:eastAsia="DengXian"/>
                <w:lang w:eastAsia="zh-CN"/>
              </w:rPr>
              <w:t>Emergency excision of abnormal appendix (0.8)</w:t>
            </w:r>
          </w:p>
          <w:p w14:paraId="045386A7" w14:textId="77777777" w:rsidR="00470AE4" w:rsidRPr="00C63860" w:rsidRDefault="00470AE4" w:rsidP="00470AE4">
            <w:pPr>
              <w:spacing w:after="80"/>
              <w:jc w:val="center"/>
              <w:rPr>
                <w:rFonts w:eastAsia="DengXian"/>
                <w:lang w:eastAsia="zh-CN"/>
              </w:rPr>
            </w:pPr>
            <w:r w:rsidRPr="00C63860">
              <w:rPr>
                <w:rFonts w:eastAsia="DengXian"/>
                <w:lang w:eastAsia="zh-CN"/>
              </w:rPr>
              <w:t>Emergency excision of abnormal appendix (0.45)</w:t>
            </w:r>
          </w:p>
          <w:p w14:paraId="13616A52" w14:textId="77777777" w:rsidR="00470AE4" w:rsidRPr="00C63860" w:rsidRDefault="00470AE4" w:rsidP="00470AE4">
            <w:pPr>
              <w:spacing w:after="80"/>
              <w:jc w:val="center"/>
              <w:rPr>
                <w:rFonts w:eastAsia="DengXian"/>
                <w:lang w:eastAsia="zh-CN"/>
              </w:rPr>
            </w:pPr>
            <w:r w:rsidRPr="00C63860">
              <w:rPr>
                <w:rFonts w:eastAsia="DengXian"/>
                <w:lang w:eastAsia="zh-CN"/>
              </w:rPr>
              <w:t>Other (1.9)</w:t>
            </w:r>
          </w:p>
        </w:tc>
        <w:tc>
          <w:tcPr>
            <w:tcW w:w="0" w:type="auto"/>
            <w:shd w:val="clear" w:color="auto" w:fill="auto"/>
            <w:hideMark/>
          </w:tcPr>
          <w:p w14:paraId="1B38815E" w14:textId="77777777" w:rsidR="00470AE4" w:rsidRPr="00C63860" w:rsidRDefault="00470AE4" w:rsidP="00470AE4">
            <w:pPr>
              <w:spacing w:after="80"/>
              <w:jc w:val="center"/>
              <w:rPr>
                <w:rFonts w:eastAsia="DengXian"/>
                <w:lang w:eastAsia="zh-CN"/>
              </w:rPr>
            </w:pPr>
            <w:r w:rsidRPr="00C63860">
              <w:rPr>
                <w:rFonts w:eastAsia="DengXian"/>
                <w:lang w:eastAsia="zh-CN"/>
              </w:rPr>
              <w:t>Unspecified urethral catheterisation of bladder (4.3)</w:t>
            </w:r>
          </w:p>
          <w:p w14:paraId="61C7A1C1" w14:textId="77777777" w:rsidR="00470AE4" w:rsidRPr="00C63860" w:rsidRDefault="00470AE4" w:rsidP="00470AE4">
            <w:pPr>
              <w:spacing w:after="80"/>
              <w:jc w:val="center"/>
              <w:rPr>
                <w:rFonts w:eastAsia="DengXian"/>
                <w:lang w:eastAsia="zh-CN"/>
              </w:rPr>
            </w:pPr>
            <w:r w:rsidRPr="00C63860">
              <w:rPr>
                <w:rFonts w:eastAsia="DengXian"/>
                <w:lang w:eastAsia="zh-CN"/>
              </w:rPr>
              <w:t>Emergency excision of abnormal appendix (4.3)</w:t>
            </w:r>
          </w:p>
          <w:p w14:paraId="42954234" w14:textId="77777777" w:rsidR="00470AE4" w:rsidRPr="00C63860" w:rsidRDefault="00470AE4" w:rsidP="00470AE4">
            <w:pPr>
              <w:spacing w:after="80"/>
              <w:jc w:val="center"/>
              <w:rPr>
                <w:rFonts w:eastAsia="DengXian"/>
                <w:lang w:eastAsia="zh-CN"/>
              </w:rPr>
            </w:pPr>
            <w:r w:rsidRPr="00C63860">
              <w:rPr>
                <w:rFonts w:eastAsia="DengXian"/>
                <w:lang w:eastAsia="zh-CN"/>
              </w:rPr>
              <w:t>Unspecified other excision of appendix (2.8)</w:t>
            </w:r>
          </w:p>
          <w:p w14:paraId="73199D9A" w14:textId="77777777" w:rsidR="00470AE4" w:rsidRPr="00C63860" w:rsidRDefault="00470AE4" w:rsidP="00470AE4">
            <w:pPr>
              <w:spacing w:after="80"/>
              <w:jc w:val="center"/>
              <w:rPr>
                <w:rFonts w:eastAsia="DengXian"/>
                <w:lang w:eastAsia="zh-CN"/>
              </w:rPr>
            </w:pPr>
            <w:r w:rsidRPr="00C63860">
              <w:rPr>
                <w:rFonts w:eastAsia="DengXian"/>
                <w:lang w:eastAsia="zh-CN"/>
              </w:rPr>
              <w:t>Other (6.8)</w:t>
            </w:r>
          </w:p>
        </w:tc>
        <w:tc>
          <w:tcPr>
            <w:tcW w:w="0" w:type="auto"/>
            <w:shd w:val="clear" w:color="auto" w:fill="auto"/>
          </w:tcPr>
          <w:p w14:paraId="38C01F8C" w14:textId="77777777" w:rsidR="00470AE4" w:rsidRPr="00C63860" w:rsidRDefault="00470AE4" w:rsidP="00470AE4">
            <w:pPr>
              <w:spacing w:after="80"/>
              <w:jc w:val="center"/>
              <w:rPr>
                <w:rFonts w:eastAsia="DengXian"/>
                <w:lang w:eastAsia="zh-CN"/>
              </w:rPr>
            </w:pPr>
            <w:r w:rsidRPr="00C63860">
              <w:rPr>
                <w:rFonts w:eastAsia="DengXian"/>
                <w:lang w:eastAsia="zh-CN"/>
              </w:rPr>
              <w:t>Total cholecystectomy (20.8)</w:t>
            </w:r>
          </w:p>
          <w:p w14:paraId="3D87086A" w14:textId="77777777" w:rsidR="00470AE4" w:rsidRPr="00C63860" w:rsidRDefault="00470AE4" w:rsidP="00470AE4">
            <w:pPr>
              <w:spacing w:after="80"/>
              <w:jc w:val="center"/>
              <w:rPr>
                <w:rFonts w:eastAsia="DengXian"/>
                <w:lang w:eastAsia="zh-CN"/>
              </w:rPr>
            </w:pPr>
            <w:r w:rsidRPr="00C63860">
              <w:rPr>
                <w:rFonts w:eastAsia="DengXian"/>
                <w:lang w:eastAsia="zh-CN"/>
              </w:rPr>
              <w:t>Endoscopic sphincterotomy of sphincter of Oddi and removal of calculus (2.0)</w:t>
            </w:r>
          </w:p>
          <w:p w14:paraId="005A9A16" w14:textId="77777777" w:rsidR="00470AE4" w:rsidRPr="00C63860" w:rsidRDefault="00470AE4" w:rsidP="00470AE4">
            <w:pPr>
              <w:spacing w:after="80"/>
              <w:jc w:val="center"/>
              <w:rPr>
                <w:rFonts w:eastAsia="DengXian"/>
                <w:lang w:eastAsia="zh-CN"/>
              </w:rPr>
            </w:pPr>
            <w:r w:rsidRPr="00C63860">
              <w:rPr>
                <w:rFonts w:eastAsia="DengXian"/>
                <w:lang w:eastAsia="zh-CN"/>
              </w:rPr>
              <w:t>Partial cholecystectomy (1.1)</w:t>
            </w:r>
          </w:p>
          <w:p w14:paraId="2ED5EDB9" w14:textId="77777777" w:rsidR="00470AE4" w:rsidRPr="00C63860" w:rsidRDefault="00470AE4" w:rsidP="00470AE4">
            <w:pPr>
              <w:spacing w:after="80"/>
              <w:jc w:val="center"/>
              <w:rPr>
                <w:rFonts w:eastAsia="DengXian"/>
                <w:lang w:eastAsia="zh-CN"/>
              </w:rPr>
            </w:pPr>
            <w:r w:rsidRPr="00C63860">
              <w:rPr>
                <w:rFonts w:eastAsia="DengXian"/>
                <w:lang w:eastAsia="zh-CN"/>
              </w:rPr>
              <w:t>Other (3.1)</w:t>
            </w:r>
          </w:p>
        </w:tc>
        <w:tc>
          <w:tcPr>
            <w:tcW w:w="0" w:type="auto"/>
            <w:shd w:val="clear" w:color="auto" w:fill="auto"/>
          </w:tcPr>
          <w:p w14:paraId="600DA0BB" w14:textId="77777777" w:rsidR="00470AE4" w:rsidRPr="00C63860" w:rsidRDefault="00470AE4" w:rsidP="00470AE4">
            <w:pPr>
              <w:spacing w:after="80"/>
              <w:jc w:val="center"/>
              <w:rPr>
                <w:rFonts w:eastAsia="DengXian"/>
                <w:lang w:eastAsia="zh-CN"/>
              </w:rPr>
            </w:pPr>
            <w:r w:rsidRPr="00C63860">
              <w:rPr>
                <w:rFonts w:eastAsia="DengXian"/>
                <w:lang w:eastAsia="zh-CN"/>
              </w:rPr>
              <w:t>Total cholecystectomy (48.3)</w:t>
            </w:r>
          </w:p>
          <w:p w14:paraId="05DC1BF3" w14:textId="77777777" w:rsidR="00470AE4" w:rsidRPr="00C63860" w:rsidRDefault="00470AE4" w:rsidP="00470AE4">
            <w:pPr>
              <w:spacing w:after="80"/>
              <w:jc w:val="center"/>
              <w:rPr>
                <w:rFonts w:eastAsia="DengXian"/>
                <w:lang w:eastAsia="zh-CN"/>
              </w:rPr>
            </w:pPr>
            <w:r w:rsidRPr="00C63860">
              <w:rPr>
                <w:rFonts w:eastAsia="DengXian"/>
                <w:lang w:eastAsia="zh-CN"/>
              </w:rPr>
              <w:t>Endoscopic sphincterotomy of sphincter of Oddi and removal of calculus (5.8)</w:t>
            </w:r>
          </w:p>
          <w:p w14:paraId="6828EFF9" w14:textId="77777777" w:rsidR="00470AE4" w:rsidRPr="00C63860" w:rsidRDefault="00470AE4" w:rsidP="00470AE4">
            <w:pPr>
              <w:spacing w:after="80"/>
              <w:jc w:val="center"/>
              <w:rPr>
                <w:rFonts w:eastAsia="DengXian"/>
                <w:lang w:eastAsia="zh-CN"/>
              </w:rPr>
            </w:pPr>
            <w:r w:rsidRPr="00C63860">
              <w:rPr>
                <w:rFonts w:eastAsia="DengXian"/>
                <w:lang w:eastAsia="zh-CN"/>
              </w:rPr>
              <w:t>Partial cholecystectomy (1.4)</w:t>
            </w:r>
          </w:p>
          <w:p w14:paraId="058B143A" w14:textId="77777777" w:rsidR="00470AE4" w:rsidRPr="00C63860" w:rsidRDefault="00470AE4" w:rsidP="00470AE4">
            <w:pPr>
              <w:spacing w:after="80"/>
              <w:jc w:val="center"/>
              <w:rPr>
                <w:rFonts w:eastAsia="DengXian"/>
                <w:lang w:eastAsia="zh-CN"/>
              </w:rPr>
            </w:pPr>
            <w:r w:rsidRPr="00C63860">
              <w:rPr>
                <w:rFonts w:eastAsia="DengXian"/>
                <w:lang w:eastAsia="zh-CN"/>
              </w:rPr>
              <w:t>Other (2.4)</w:t>
            </w:r>
          </w:p>
        </w:tc>
        <w:tc>
          <w:tcPr>
            <w:tcW w:w="0" w:type="auto"/>
            <w:shd w:val="clear" w:color="auto" w:fill="auto"/>
            <w:hideMark/>
          </w:tcPr>
          <w:p w14:paraId="4393B6B5" w14:textId="77777777" w:rsidR="00470AE4" w:rsidRPr="00C63860" w:rsidRDefault="00470AE4" w:rsidP="00470AE4">
            <w:pPr>
              <w:spacing w:after="80"/>
              <w:jc w:val="center"/>
              <w:rPr>
                <w:rFonts w:eastAsia="DengXian"/>
                <w:lang w:eastAsia="zh-CN"/>
              </w:rPr>
            </w:pPr>
            <w:r w:rsidRPr="00C63860">
              <w:rPr>
                <w:rFonts w:eastAsia="DengXian"/>
                <w:lang w:eastAsia="zh-CN"/>
              </w:rPr>
              <w:t>Closure of colostomy (9.4)</w:t>
            </w:r>
          </w:p>
          <w:p w14:paraId="14D51C17" w14:textId="77777777" w:rsidR="00470AE4" w:rsidRPr="00C63860" w:rsidRDefault="00470AE4" w:rsidP="00470AE4">
            <w:pPr>
              <w:spacing w:after="80"/>
              <w:jc w:val="center"/>
              <w:rPr>
                <w:rFonts w:eastAsia="DengXian"/>
                <w:lang w:eastAsia="zh-CN"/>
              </w:rPr>
            </w:pPr>
            <w:r w:rsidRPr="00C63860">
              <w:rPr>
                <w:rFonts w:eastAsia="DengXian"/>
                <w:lang w:eastAsia="zh-CN"/>
              </w:rPr>
              <w:t>Rectosigmoidectomy and closure of rectal stump and exteriorisation of bowel (8.0)</w:t>
            </w:r>
          </w:p>
          <w:p w14:paraId="4EA36C21" w14:textId="77777777" w:rsidR="00470AE4" w:rsidRPr="00C63860" w:rsidRDefault="00470AE4" w:rsidP="00470AE4">
            <w:pPr>
              <w:spacing w:after="80"/>
              <w:jc w:val="center"/>
              <w:rPr>
                <w:rFonts w:eastAsia="DengXian"/>
                <w:lang w:eastAsia="zh-CN"/>
              </w:rPr>
            </w:pPr>
            <w:r w:rsidRPr="00C63860">
              <w:rPr>
                <w:rFonts w:eastAsia="DengXian"/>
                <w:lang w:eastAsia="zh-CN"/>
              </w:rPr>
              <w:t>Freeing of adhesions of peritoneum (1.3)</w:t>
            </w:r>
          </w:p>
          <w:p w14:paraId="6E781CA8" w14:textId="77777777" w:rsidR="00470AE4" w:rsidRPr="00C63860" w:rsidRDefault="00470AE4" w:rsidP="00470AE4">
            <w:pPr>
              <w:spacing w:after="80"/>
              <w:jc w:val="center"/>
              <w:rPr>
                <w:rFonts w:eastAsia="DengXian"/>
                <w:lang w:eastAsia="zh-CN"/>
              </w:rPr>
            </w:pPr>
            <w:r w:rsidRPr="00C63860">
              <w:rPr>
                <w:rFonts w:eastAsia="DengXian"/>
                <w:lang w:eastAsia="zh-CN"/>
              </w:rPr>
              <w:t>Other (9.4)</w:t>
            </w:r>
          </w:p>
        </w:tc>
        <w:tc>
          <w:tcPr>
            <w:tcW w:w="0" w:type="auto"/>
            <w:shd w:val="clear" w:color="auto" w:fill="auto"/>
            <w:hideMark/>
          </w:tcPr>
          <w:p w14:paraId="10F03DBD" w14:textId="77777777" w:rsidR="00470AE4" w:rsidRPr="00C63860" w:rsidRDefault="00470AE4" w:rsidP="00470AE4">
            <w:pPr>
              <w:spacing w:after="80"/>
              <w:jc w:val="center"/>
              <w:rPr>
                <w:rFonts w:eastAsia="DengXian"/>
                <w:lang w:eastAsia="zh-CN"/>
              </w:rPr>
            </w:pPr>
            <w:r w:rsidRPr="00C63860">
              <w:rPr>
                <w:rFonts w:eastAsia="DengXian"/>
                <w:lang w:eastAsia="zh-CN"/>
              </w:rPr>
              <w:t>Fibreoptic endoscopic snare resection of lesion of colon (4.0)</w:t>
            </w:r>
          </w:p>
          <w:p w14:paraId="6B7D33EE" w14:textId="77777777" w:rsidR="00470AE4" w:rsidRPr="00C63860" w:rsidRDefault="00470AE4" w:rsidP="00470AE4">
            <w:pPr>
              <w:spacing w:after="80"/>
              <w:jc w:val="center"/>
              <w:rPr>
                <w:rFonts w:eastAsia="DengXian"/>
                <w:lang w:eastAsia="zh-CN"/>
              </w:rPr>
            </w:pPr>
            <w:r w:rsidRPr="00C63860">
              <w:rPr>
                <w:rFonts w:eastAsia="DengXian"/>
                <w:lang w:eastAsia="zh-CN"/>
              </w:rPr>
              <w:t>Fibreoptic endoscopic resection of lesion of colon (1.7)</w:t>
            </w:r>
          </w:p>
          <w:p w14:paraId="3D3E1B1C" w14:textId="77777777" w:rsidR="00470AE4" w:rsidRPr="00C63860" w:rsidRDefault="00470AE4" w:rsidP="00470AE4">
            <w:pPr>
              <w:spacing w:after="80"/>
              <w:jc w:val="center"/>
              <w:rPr>
                <w:rFonts w:eastAsia="DengXian"/>
                <w:lang w:eastAsia="zh-CN"/>
              </w:rPr>
            </w:pPr>
            <w:r w:rsidRPr="00C63860">
              <w:rPr>
                <w:rFonts w:eastAsia="DengXian"/>
                <w:lang w:eastAsia="zh-CN"/>
              </w:rPr>
              <w:t>Rectosigmoidectomy and closure of rectal stump and exteriorisation of bowel (1.2)</w:t>
            </w:r>
          </w:p>
          <w:p w14:paraId="12A2DF82" w14:textId="77777777" w:rsidR="00470AE4" w:rsidRPr="00C63860" w:rsidRDefault="00470AE4" w:rsidP="00470AE4">
            <w:pPr>
              <w:spacing w:after="80"/>
              <w:jc w:val="center"/>
              <w:rPr>
                <w:rFonts w:eastAsia="DengXian"/>
                <w:lang w:eastAsia="zh-CN"/>
              </w:rPr>
            </w:pPr>
            <w:r w:rsidRPr="00C63860">
              <w:rPr>
                <w:rFonts w:eastAsia="DengXian"/>
                <w:lang w:eastAsia="zh-CN"/>
              </w:rPr>
              <w:t>Other (5.4)</w:t>
            </w:r>
          </w:p>
        </w:tc>
        <w:tc>
          <w:tcPr>
            <w:tcW w:w="0" w:type="auto"/>
            <w:shd w:val="clear" w:color="auto" w:fill="auto"/>
            <w:hideMark/>
          </w:tcPr>
          <w:p w14:paraId="0D654C01" w14:textId="77777777" w:rsidR="00470AE4" w:rsidRPr="00C63860" w:rsidRDefault="00470AE4" w:rsidP="00470AE4">
            <w:pPr>
              <w:spacing w:after="80"/>
              <w:jc w:val="center"/>
              <w:rPr>
                <w:rFonts w:eastAsia="DengXian"/>
                <w:lang w:eastAsia="zh-CN"/>
              </w:rPr>
            </w:pPr>
            <w:r w:rsidRPr="00C63860">
              <w:rPr>
                <w:rFonts w:eastAsia="DengXian"/>
                <w:lang w:eastAsia="zh-CN"/>
              </w:rPr>
              <w:t>Primary repair of inguinal hernia using insert of prosthetic material (3.8)</w:t>
            </w:r>
          </w:p>
          <w:p w14:paraId="02218AAC" w14:textId="77777777" w:rsidR="00470AE4" w:rsidRPr="00C63860" w:rsidRDefault="00470AE4" w:rsidP="00470AE4">
            <w:pPr>
              <w:spacing w:after="80"/>
              <w:jc w:val="center"/>
              <w:rPr>
                <w:rFonts w:eastAsia="DengXian"/>
                <w:lang w:eastAsia="zh-CN"/>
              </w:rPr>
            </w:pPr>
            <w:r w:rsidRPr="00C63860">
              <w:rPr>
                <w:rFonts w:eastAsia="DengXian"/>
                <w:lang w:eastAsia="zh-CN"/>
              </w:rPr>
              <w:t>Repair of umbilical hernia using sutures (1.7)</w:t>
            </w:r>
          </w:p>
          <w:p w14:paraId="5BD1A6D3" w14:textId="77777777" w:rsidR="00470AE4" w:rsidRPr="00C63860" w:rsidRDefault="00470AE4" w:rsidP="00470AE4">
            <w:pPr>
              <w:spacing w:after="80"/>
              <w:jc w:val="center"/>
              <w:rPr>
                <w:rFonts w:eastAsia="DengXian"/>
                <w:lang w:eastAsia="zh-CN"/>
              </w:rPr>
            </w:pPr>
            <w:r w:rsidRPr="00C63860">
              <w:rPr>
                <w:rFonts w:eastAsia="DengXian"/>
                <w:lang w:eastAsia="zh-CN"/>
              </w:rPr>
              <w:t>Unspecified urethral catheterisation of bladder (1.5)</w:t>
            </w:r>
          </w:p>
          <w:p w14:paraId="14F9CB4B" w14:textId="77777777" w:rsidR="00470AE4" w:rsidRPr="00C63860" w:rsidRDefault="00470AE4" w:rsidP="00470AE4">
            <w:pPr>
              <w:spacing w:after="80"/>
              <w:jc w:val="center"/>
              <w:rPr>
                <w:rFonts w:eastAsia="DengXian"/>
                <w:lang w:eastAsia="zh-CN"/>
              </w:rPr>
            </w:pPr>
            <w:r w:rsidRPr="00C63860">
              <w:rPr>
                <w:rFonts w:eastAsia="DengXian"/>
                <w:lang w:eastAsia="zh-CN"/>
              </w:rPr>
              <w:t>Other (4.8)</w:t>
            </w:r>
          </w:p>
        </w:tc>
        <w:tc>
          <w:tcPr>
            <w:tcW w:w="0" w:type="auto"/>
            <w:shd w:val="clear" w:color="auto" w:fill="auto"/>
            <w:hideMark/>
          </w:tcPr>
          <w:p w14:paraId="4DF8B02C" w14:textId="77777777" w:rsidR="00470AE4" w:rsidRPr="00C63860" w:rsidRDefault="00470AE4" w:rsidP="00470AE4">
            <w:pPr>
              <w:spacing w:after="80"/>
              <w:jc w:val="center"/>
              <w:rPr>
                <w:rFonts w:eastAsia="DengXian"/>
                <w:lang w:eastAsia="zh-CN"/>
              </w:rPr>
            </w:pPr>
            <w:r w:rsidRPr="00C63860">
              <w:rPr>
                <w:rFonts w:eastAsia="DengXian"/>
                <w:lang w:eastAsia="zh-CN"/>
              </w:rPr>
              <w:t>Primary repair of inguinal hernia using insert of prosthetic material (26.9)</w:t>
            </w:r>
          </w:p>
          <w:p w14:paraId="588B5D1A" w14:textId="77777777" w:rsidR="00470AE4" w:rsidRPr="00C63860" w:rsidRDefault="00470AE4" w:rsidP="00470AE4">
            <w:pPr>
              <w:spacing w:after="80"/>
              <w:jc w:val="center"/>
              <w:rPr>
                <w:rFonts w:eastAsia="DengXian"/>
                <w:lang w:eastAsia="zh-CN"/>
              </w:rPr>
            </w:pPr>
            <w:r w:rsidRPr="00C63860">
              <w:rPr>
                <w:rFonts w:eastAsia="DengXian"/>
                <w:lang w:eastAsia="zh-CN"/>
              </w:rPr>
              <w:t>Repair of umbilical hernia using insert of prosthetic material (6.2)</w:t>
            </w:r>
          </w:p>
          <w:p w14:paraId="757F9578" w14:textId="77777777" w:rsidR="00470AE4" w:rsidRPr="00C63860" w:rsidRDefault="00470AE4" w:rsidP="00470AE4">
            <w:pPr>
              <w:spacing w:after="80"/>
              <w:jc w:val="center"/>
              <w:rPr>
                <w:rFonts w:eastAsia="DengXian"/>
                <w:lang w:eastAsia="zh-CN"/>
              </w:rPr>
            </w:pPr>
            <w:r w:rsidRPr="00C63860">
              <w:rPr>
                <w:rFonts w:eastAsia="DengXian"/>
                <w:lang w:eastAsia="zh-CN"/>
              </w:rPr>
              <w:t>Repair of umbilical hernia using sutures (5.6)</w:t>
            </w:r>
          </w:p>
          <w:p w14:paraId="3A96136E" w14:textId="77777777" w:rsidR="00470AE4" w:rsidRPr="00C63860" w:rsidRDefault="00470AE4" w:rsidP="00470AE4">
            <w:pPr>
              <w:spacing w:after="80"/>
              <w:jc w:val="center"/>
              <w:rPr>
                <w:rFonts w:eastAsia="DengXian"/>
                <w:lang w:eastAsia="zh-CN"/>
              </w:rPr>
            </w:pPr>
            <w:r w:rsidRPr="00C63860">
              <w:rPr>
                <w:rFonts w:eastAsia="DengXian"/>
                <w:lang w:eastAsia="zh-CN"/>
              </w:rPr>
              <w:t>Other (10.6)</w:t>
            </w:r>
          </w:p>
        </w:tc>
        <w:tc>
          <w:tcPr>
            <w:tcW w:w="0" w:type="auto"/>
            <w:shd w:val="clear" w:color="auto" w:fill="auto"/>
          </w:tcPr>
          <w:p w14:paraId="2A744019" w14:textId="77777777" w:rsidR="00470AE4" w:rsidRPr="00C63860" w:rsidRDefault="00470AE4" w:rsidP="00470AE4">
            <w:pPr>
              <w:spacing w:after="80"/>
              <w:jc w:val="center"/>
              <w:rPr>
                <w:rFonts w:eastAsia="DengXian"/>
                <w:lang w:eastAsia="zh-CN"/>
              </w:rPr>
            </w:pPr>
            <w:r w:rsidRPr="00C63860">
              <w:rPr>
                <w:rFonts w:eastAsia="DengXian"/>
                <w:lang w:eastAsia="zh-CN"/>
              </w:rPr>
              <w:t>Freeing of adhesions of peritoneum (5.7)</w:t>
            </w:r>
          </w:p>
          <w:p w14:paraId="48CBD074" w14:textId="77777777" w:rsidR="00470AE4" w:rsidRPr="00C63860" w:rsidRDefault="00470AE4" w:rsidP="00470AE4">
            <w:pPr>
              <w:spacing w:after="80"/>
              <w:jc w:val="center"/>
              <w:rPr>
                <w:rFonts w:eastAsia="DengXian"/>
                <w:lang w:eastAsia="zh-CN"/>
              </w:rPr>
            </w:pPr>
            <w:r w:rsidRPr="00C63860">
              <w:rPr>
                <w:rFonts w:eastAsia="DengXian"/>
                <w:lang w:eastAsia="zh-CN"/>
              </w:rPr>
              <w:t>Ileectomy and anastomosis of ileum to ileum (1.5)</w:t>
            </w:r>
          </w:p>
          <w:p w14:paraId="4E08D605" w14:textId="77777777" w:rsidR="00470AE4" w:rsidRPr="00C63860" w:rsidRDefault="00470AE4" w:rsidP="00470AE4">
            <w:pPr>
              <w:spacing w:after="80"/>
              <w:jc w:val="center"/>
              <w:rPr>
                <w:rFonts w:eastAsia="DengXian"/>
                <w:lang w:eastAsia="zh-CN"/>
              </w:rPr>
            </w:pPr>
            <w:r w:rsidRPr="00C63860">
              <w:rPr>
                <w:rFonts w:eastAsia="DengXian"/>
                <w:lang w:eastAsia="zh-CN"/>
              </w:rPr>
              <w:t>Endoscopic division of adhesions of peritoneum (1.2)</w:t>
            </w:r>
          </w:p>
          <w:p w14:paraId="44075C87" w14:textId="77777777" w:rsidR="00470AE4" w:rsidRPr="00C63860" w:rsidRDefault="00470AE4" w:rsidP="00470AE4">
            <w:pPr>
              <w:spacing w:after="80"/>
              <w:jc w:val="center"/>
              <w:rPr>
                <w:rFonts w:eastAsia="DengXian"/>
                <w:lang w:eastAsia="zh-CN"/>
              </w:rPr>
            </w:pPr>
            <w:r w:rsidRPr="00C63860">
              <w:rPr>
                <w:rFonts w:eastAsia="DengXian"/>
                <w:lang w:eastAsia="zh-CN"/>
              </w:rPr>
              <w:t>Other (9.2)</w:t>
            </w:r>
          </w:p>
        </w:tc>
        <w:tc>
          <w:tcPr>
            <w:tcW w:w="0" w:type="auto"/>
            <w:shd w:val="clear" w:color="auto" w:fill="auto"/>
          </w:tcPr>
          <w:p w14:paraId="6975714B" w14:textId="77777777" w:rsidR="00470AE4" w:rsidRPr="00C63860" w:rsidRDefault="00470AE4" w:rsidP="00470AE4">
            <w:pPr>
              <w:spacing w:after="80"/>
              <w:jc w:val="center"/>
              <w:rPr>
                <w:rFonts w:eastAsia="DengXian"/>
                <w:lang w:eastAsia="zh-CN"/>
              </w:rPr>
            </w:pPr>
            <w:r w:rsidRPr="00C63860">
              <w:rPr>
                <w:rFonts w:eastAsia="DengXian"/>
                <w:lang w:eastAsia="zh-CN"/>
              </w:rPr>
              <w:t>Freeing of adhesions of peritoneum (2.9)</w:t>
            </w:r>
          </w:p>
          <w:p w14:paraId="59884AAC" w14:textId="77777777" w:rsidR="00470AE4" w:rsidRPr="00C63860" w:rsidRDefault="00470AE4" w:rsidP="00470AE4">
            <w:pPr>
              <w:spacing w:after="80"/>
              <w:jc w:val="center"/>
              <w:rPr>
                <w:rFonts w:eastAsia="DengXian"/>
                <w:lang w:eastAsia="zh-CN"/>
              </w:rPr>
            </w:pPr>
            <w:r w:rsidRPr="00C63860">
              <w:rPr>
                <w:rFonts w:eastAsia="DengXian"/>
                <w:lang w:eastAsia="zh-CN"/>
              </w:rPr>
              <w:t>Other specified other therapeutic endoscopic operations on lower bowel using fibreoptic sigmoidoscope</w:t>
            </w:r>
          </w:p>
          <w:p w14:paraId="5CA58F0F" w14:textId="77777777" w:rsidR="00470AE4" w:rsidRPr="00C63860" w:rsidRDefault="00470AE4" w:rsidP="00470AE4">
            <w:pPr>
              <w:spacing w:after="80"/>
              <w:jc w:val="center"/>
              <w:rPr>
                <w:rFonts w:eastAsia="DengXian"/>
                <w:lang w:eastAsia="zh-CN"/>
              </w:rPr>
            </w:pPr>
            <w:r w:rsidRPr="00C63860">
              <w:rPr>
                <w:rFonts w:eastAsia="DengXian"/>
                <w:lang w:eastAsia="zh-CN"/>
              </w:rPr>
              <w:t>(1.8)</w:t>
            </w:r>
          </w:p>
          <w:p w14:paraId="566E25D6" w14:textId="77777777" w:rsidR="00470AE4" w:rsidRPr="00C63860" w:rsidRDefault="00470AE4" w:rsidP="00470AE4">
            <w:pPr>
              <w:spacing w:after="80"/>
              <w:jc w:val="center"/>
              <w:rPr>
                <w:rFonts w:eastAsia="DengXian"/>
                <w:lang w:eastAsia="zh-CN"/>
              </w:rPr>
            </w:pPr>
            <w:r w:rsidRPr="00C63860">
              <w:rPr>
                <w:rFonts w:eastAsia="DengXian"/>
                <w:lang w:eastAsia="zh-CN"/>
              </w:rPr>
              <w:t>Ileectomy and anastomosis of ileum to ileum (1.1)</w:t>
            </w:r>
          </w:p>
          <w:p w14:paraId="5AAE7874" w14:textId="77777777" w:rsidR="00470AE4" w:rsidRPr="00C63860" w:rsidRDefault="00470AE4" w:rsidP="00470AE4">
            <w:pPr>
              <w:jc w:val="center"/>
              <w:rPr>
                <w:rFonts w:eastAsia="DengXian"/>
                <w:lang w:eastAsia="zh-CN"/>
              </w:rPr>
            </w:pPr>
            <w:r w:rsidRPr="00C63860">
              <w:rPr>
                <w:rFonts w:eastAsia="DengXian"/>
                <w:lang w:eastAsia="zh-CN"/>
              </w:rPr>
              <w:t>Other (7.4)</w:t>
            </w:r>
          </w:p>
        </w:tc>
      </w:tr>
      <w:tr w:rsidR="00860CAF" w:rsidRPr="00C63860" w14:paraId="446BF75E" w14:textId="77777777" w:rsidTr="00C63860">
        <w:trPr>
          <w:cantSplit/>
        </w:trPr>
        <w:tc>
          <w:tcPr>
            <w:tcW w:w="0" w:type="auto"/>
            <w:shd w:val="clear" w:color="auto" w:fill="auto"/>
            <w:vAlign w:val="center"/>
            <w:hideMark/>
          </w:tcPr>
          <w:p w14:paraId="7D921E2F" w14:textId="51A86AD8" w:rsidR="00470AE4" w:rsidRPr="00C63860" w:rsidRDefault="00470AE4" w:rsidP="00470AE4">
            <w:pPr>
              <w:rPr>
                <w:rFonts w:eastAsia="DengXian"/>
                <w:b/>
                <w:bCs/>
                <w:lang w:eastAsia="zh-CN"/>
              </w:rPr>
            </w:pPr>
            <w:r w:rsidRPr="00C63860">
              <w:rPr>
                <w:rFonts w:eastAsia="DengXian"/>
                <w:b/>
                <w:bCs/>
                <w:lang w:eastAsia="zh-CN"/>
              </w:rPr>
              <w:t xml:space="preserve">% with no </w:t>
            </w:r>
            <w:r w:rsidR="00C63860" w:rsidRPr="00C63860">
              <w:rPr>
                <w:rFonts w:eastAsia="DengXian"/>
                <w:b/>
                <w:bCs/>
                <w:color w:val="00B0F0"/>
                <w:lang w:eastAsia="zh-CN"/>
              </w:rPr>
              <w:t>‘</w:t>
            </w:r>
            <w:r w:rsidR="006F6056" w:rsidRPr="00C63860">
              <w:rPr>
                <w:rFonts w:eastAsia="DengXian"/>
                <w:b/>
                <w:bCs/>
                <w:lang w:eastAsia="zh-CN"/>
              </w:rPr>
              <w:t>more common</w:t>
            </w:r>
            <w:r w:rsidR="00C63860" w:rsidRPr="00C63860">
              <w:rPr>
                <w:rFonts w:eastAsia="DengXian"/>
                <w:b/>
                <w:bCs/>
                <w:color w:val="00B0F0"/>
                <w:lang w:eastAsia="zh-CN"/>
              </w:rPr>
              <w:t>’</w:t>
            </w:r>
            <w:r w:rsidRPr="00C63860">
              <w:rPr>
                <w:rFonts w:eastAsia="DengXian"/>
                <w:b/>
                <w:bCs/>
                <w:lang w:eastAsia="zh-CN"/>
              </w:rPr>
              <w:t xml:space="preserve"> opeative procedures</w:t>
            </w:r>
            <w:r w:rsidRPr="00C63860">
              <w:rPr>
                <w:rFonts w:eastAsia="DengXian"/>
                <w:b/>
                <w:bCs/>
                <w:vertAlign w:val="superscript"/>
                <w:lang w:eastAsia="zh-CN"/>
              </w:rPr>
              <w:t>b</w:t>
            </w:r>
          </w:p>
        </w:tc>
        <w:tc>
          <w:tcPr>
            <w:tcW w:w="0" w:type="auto"/>
            <w:shd w:val="clear" w:color="auto" w:fill="auto"/>
            <w:vAlign w:val="center"/>
            <w:hideMark/>
          </w:tcPr>
          <w:p w14:paraId="699CFE03" w14:textId="77777777" w:rsidR="00470AE4" w:rsidRPr="00C63860" w:rsidRDefault="00470AE4" w:rsidP="00470AE4">
            <w:pPr>
              <w:jc w:val="center"/>
              <w:rPr>
                <w:rFonts w:eastAsia="DengXian"/>
                <w:lang w:eastAsia="zh-CN"/>
              </w:rPr>
            </w:pPr>
            <w:r w:rsidRPr="00C63860">
              <w:rPr>
                <w:rFonts w:eastAsia="DengXian"/>
                <w:lang w:eastAsia="zh-CN"/>
              </w:rPr>
              <w:t>94.1</w:t>
            </w:r>
          </w:p>
        </w:tc>
        <w:tc>
          <w:tcPr>
            <w:tcW w:w="0" w:type="auto"/>
            <w:shd w:val="clear" w:color="auto" w:fill="auto"/>
            <w:vAlign w:val="center"/>
            <w:hideMark/>
          </w:tcPr>
          <w:p w14:paraId="46C9AC8E" w14:textId="77777777" w:rsidR="00470AE4" w:rsidRPr="00C63860" w:rsidRDefault="00470AE4" w:rsidP="00470AE4">
            <w:pPr>
              <w:jc w:val="center"/>
              <w:rPr>
                <w:rFonts w:eastAsia="DengXian"/>
                <w:lang w:eastAsia="zh-CN"/>
              </w:rPr>
            </w:pPr>
            <w:r w:rsidRPr="00C63860">
              <w:rPr>
                <w:rFonts w:eastAsia="DengXian"/>
                <w:lang w:eastAsia="zh-CN"/>
              </w:rPr>
              <w:t>81.8</w:t>
            </w:r>
          </w:p>
        </w:tc>
        <w:tc>
          <w:tcPr>
            <w:tcW w:w="0" w:type="auto"/>
            <w:shd w:val="clear" w:color="auto" w:fill="auto"/>
            <w:vAlign w:val="center"/>
          </w:tcPr>
          <w:p w14:paraId="41ED99E7" w14:textId="77777777" w:rsidR="00470AE4" w:rsidRPr="00C63860" w:rsidRDefault="00470AE4" w:rsidP="00470AE4">
            <w:pPr>
              <w:jc w:val="center"/>
              <w:rPr>
                <w:rFonts w:eastAsia="DengXian"/>
                <w:lang w:eastAsia="zh-CN"/>
              </w:rPr>
            </w:pPr>
            <w:r w:rsidRPr="00C63860">
              <w:rPr>
                <w:rFonts w:eastAsia="DengXian"/>
                <w:lang w:eastAsia="zh-CN"/>
              </w:rPr>
              <w:t>73.0</w:t>
            </w:r>
          </w:p>
        </w:tc>
        <w:tc>
          <w:tcPr>
            <w:tcW w:w="0" w:type="auto"/>
            <w:shd w:val="clear" w:color="auto" w:fill="auto"/>
            <w:vAlign w:val="center"/>
          </w:tcPr>
          <w:p w14:paraId="53361659" w14:textId="77777777" w:rsidR="00470AE4" w:rsidRPr="00C63860" w:rsidRDefault="00470AE4" w:rsidP="00470AE4">
            <w:pPr>
              <w:jc w:val="center"/>
              <w:rPr>
                <w:rFonts w:eastAsia="DengXian"/>
                <w:lang w:eastAsia="zh-CN"/>
              </w:rPr>
            </w:pPr>
            <w:r w:rsidRPr="00C63860">
              <w:rPr>
                <w:rFonts w:eastAsia="DengXian"/>
                <w:lang w:eastAsia="zh-CN"/>
              </w:rPr>
              <w:t>42.0</w:t>
            </w:r>
          </w:p>
        </w:tc>
        <w:tc>
          <w:tcPr>
            <w:tcW w:w="0" w:type="auto"/>
            <w:shd w:val="clear" w:color="auto" w:fill="auto"/>
            <w:vAlign w:val="center"/>
            <w:hideMark/>
          </w:tcPr>
          <w:p w14:paraId="5D042F98" w14:textId="77777777" w:rsidR="00470AE4" w:rsidRPr="00C63860" w:rsidRDefault="00470AE4" w:rsidP="00470AE4">
            <w:pPr>
              <w:jc w:val="center"/>
              <w:rPr>
                <w:rFonts w:eastAsia="DengXian"/>
                <w:lang w:eastAsia="zh-CN"/>
              </w:rPr>
            </w:pPr>
            <w:r w:rsidRPr="00C63860">
              <w:rPr>
                <w:rFonts w:eastAsia="DengXian"/>
                <w:lang w:eastAsia="zh-CN"/>
              </w:rPr>
              <w:t>72.0</w:t>
            </w:r>
          </w:p>
        </w:tc>
        <w:tc>
          <w:tcPr>
            <w:tcW w:w="0" w:type="auto"/>
            <w:shd w:val="clear" w:color="auto" w:fill="auto"/>
            <w:vAlign w:val="center"/>
            <w:hideMark/>
          </w:tcPr>
          <w:p w14:paraId="04A2BD34" w14:textId="77777777" w:rsidR="00470AE4" w:rsidRPr="00C63860" w:rsidRDefault="00470AE4" w:rsidP="00470AE4">
            <w:pPr>
              <w:jc w:val="center"/>
              <w:rPr>
                <w:rFonts w:eastAsia="DengXian"/>
                <w:lang w:eastAsia="zh-CN"/>
              </w:rPr>
            </w:pPr>
            <w:r w:rsidRPr="00C63860">
              <w:rPr>
                <w:rFonts w:eastAsia="DengXian"/>
                <w:lang w:eastAsia="zh-CN"/>
              </w:rPr>
              <w:t>87.7</w:t>
            </w:r>
          </w:p>
        </w:tc>
        <w:tc>
          <w:tcPr>
            <w:tcW w:w="0" w:type="auto"/>
            <w:shd w:val="clear" w:color="auto" w:fill="auto"/>
            <w:vAlign w:val="center"/>
            <w:hideMark/>
          </w:tcPr>
          <w:p w14:paraId="72412557" w14:textId="77777777" w:rsidR="00470AE4" w:rsidRPr="00C63860" w:rsidRDefault="00470AE4" w:rsidP="00470AE4">
            <w:pPr>
              <w:jc w:val="center"/>
              <w:rPr>
                <w:rFonts w:eastAsia="DengXian"/>
                <w:lang w:eastAsia="zh-CN"/>
              </w:rPr>
            </w:pPr>
            <w:r w:rsidRPr="00C63860">
              <w:rPr>
                <w:rFonts w:eastAsia="DengXian"/>
                <w:lang w:eastAsia="zh-CN"/>
              </w:rPr>
              <w:t>88.1</w:t>
            </w:r>
          </w:p>
        </w:tc>
        <w:tc>
          <w:tcPr>
            <w:tcW w:w="0" w:type="auto"/>
            <w:shd w:val="clear" w:color="auto" w:fill="auto"/>
            <w:vAlign w:val="center"/>
            <w:hideMark/>
          </w:tcPr>
          <w:p w14:paraId="48427650" w14:textId="77777777" w:rsidR="00470AE4" w:rsidRPr="00C63860" w:rsidRDefault="00470AE4" w:rsidP="00470AE4">
            <w:pPr>
              <w:jc w:val="center"/>
              <w:rPr>
                <w:rFonts w:eastAsia="DengXian"/>
                <w:lang w:eastAsia="zh-CN"/>
              </w:rPr>
            </w:pPr>
            <w:r w:rsidRPr="00C63860">
              <w:rPr>
                <w:rFonts w:eastAsia="DengXian"/>
                <w:lang w:eastAsia="zh-CN"/>
              </w:rPr>
              <w:t>50.7</w:t>
            </w:r>
          </w:p>
        </w:tc>
        <w:tc>
          <w:tcPr>
            <w:tcW w:w="0" w:type="auto"/>
            <w:shd w:val="clear" w:color="auto" w:fill="auto"/>
            <w:vAlign w:val="center"/>
          </w:tcPr>
          <w:p w14:paraId="38C1B0B5" w14:textId="77777777" w:rsidR="00470AE4" w:rsidRPr="00C63860" w:rsidRDefault="00470AE4" w:rsidP="00470AE4">
            <w:pPr>
              <w:jc w:val="center"/>
              <w:rPr>
                <w:rFonts w:eastAsia="DengXian"/>
                <w:lang w:eastAsia="zh-CN"/>
              </w:rPr>
            </w:pPr>
            <w:r w:rsidRPr="00C63860">
              <w:rPr>
                <w:rFonts w:eastAsia="DengXian"/>
                <w:lang w:eastAsia="zh-CN"/>
              </w:rPr>
              <w:t>82.4</w:t>
            </w:r>
          </w:p>
        </w:tc>
        <w:tc>
          <w:tcPr>
            <w:tcW w:w="0" w:type="auto"/>
            <w:shd w:val="clear" w:color="auto" w:fill="auto"/>
            <w:vAlign w:val="center"/>
          </w:tcPr>
          <w:p w14:paraId="79A4DAD4" w14:textId="77777777" w:rsidR="00470AE4" w:rsidRPr="00C63860" w:rsidRDefault="00470AE4" w:rsidP="00470AE4">
            <w:pPr>
              <w:jc w:val="center"/>
              <w:rPr>
                <w:rFonts w:eastAsia="DengXian"/>
                <w:lang w:eastAsia="zh-CN"/>
              </w:rPr>
            </w:pPr>
            <w:r w:rsidRPr="00C63860">
              <w:rPr>
                <w:rFonts w:eastAsia="DengXian"/>
                <w:lang w:eastAsia="zh-CN"/>
              </w:rPr>
              <w:t>86.8</w:t>
            </w:r>
          </w:p>
        </w:tc>
      </w:tr>
    </w:tbl>
    <w:p w14:paraId="4EBB4C3E" w14:textId="275355F2" w:rsidR="004D3DF5" w:rsidRPr="00C63860" w:rsidRDefault="00470AE4" w:rsidP="004D3DF5">
      <w:pPr>
        <w:pStyle w:val="Caption"/>
        <w:rPr>
          <w:b/>
          <w:bCs/>
          <w:iCs w:val="0"/>
          <w:color w:val="auto"/>
          <w:sz w:val="22"/>
          <w:szCs w:val="22"/>
        </w:rPr>
      </w:pPr>
      <w:r w:rsidRPr="00C63860">
        <w:rPr>
          <w:rFonts w:eastAsia="DengXian"/>
          <w:bCs/>
          <w:lang w:eastAsia="zh-CN"/>
        </w:rPr>
        <w:t xml:space="preserve">Denominator is the total number of patients in the group. </w:t>
      </w:r>
      <w:r w:rsidRPr="00C63860">
        <w:rPr>
          <w:rFonts w:eastAsia="DengXian"/>
          <w:bCs/>
          <w:vertAlign w:val="superscript"/>
          <w:lang w:eastAsia="zh-CN"/>
        </w:rPr>
        <w:t>a</w:t>
      </w:r>
      <w:r w:rsidR="00C63860" w:rsidRPr="00C63860">
        <w:rPr>
          <w:rFonts w:eastAsia="DengXian"/>
          <w:bCs/>
          <w:color w:val="00B0F0"/>
          <w:lang w:eastAsia="zh-CN"/>
        </w:rPr>
        <w:t>’</w:t>
      </w:r>
      <w:r w:rsidRPr="00C63860">
        <w:rPr>
          <w:rFonts w:eastAsia="DengXian"/>
          <w:bCs/>
          <w:lang w:eastAsia="zh-CN"/>
        </w:rPr>
        <w:t>Other</w:t>
      </w:r>
      <w:r w:rsidR="00C63860" w:rsidRPr="00C63860">
        <w:rPr>
          <w:rFonts w:eastAsia="DengXian"/>
          <w:bCs/>
          <w:color w:val="00B0F0"/>
          <w:lang w:eastAsia="zh-CN"/>
        </w:rPr>
        <w:t>’</w:t>
      </w:r>
      <w:r w:rsidRPr="00C63860">
        <w:rPr>
          <w:rFonts w:eastAsia="DengXian"/>
          <w:bCs/>
          <w:lang w:eastAsia="zh-CN"/>
        </w:rPr>
        <w:t xml:space="preserve"> includes procedures with </w:t>
      </w:r>
      <w:r w:rsidR="00C63860" w:rsidRPr="00C63860">
        <w:rPr>
          <w:rFonts w:eastAsia="DengXian"/>
          <w:bCs/>
          <w:color w:val="00B0F0"/>
          <w:lang w:eastAsia="zh-CN"/>
        </w:rPr>
        <w:t>&gt; 1</w:t>
      </w:r>
      <w:r w:rsidRPr="00C63860">
        <w:rPr>
          <w:rFonts w:eastAsia="DengXian"/>
          <w:bCs/>
          <w:lang w:eastAsia="zh-CN"/>
        </w:rPr>
        <w:t xml:space="preserve">% volume in index admission appearing after the ES window. </w:t>
      </w:r>
      <w:r w:rsidRPr="00C63860">
        <w:rPr>
          <w:rFonts w:eastAsia="DengXian"/>
          <w:bCs/>
          <w:vertAlign w:val="superscript"/>
          <w:lang w:eastAsia="zh-CN"/>
        </w:rPr>
        <w:t>b</w:t>
      </w:r>
      <w:r w:rsidRPr="00C63860">
        <w:rPr>
          <w:rFonts w:eastAsia="DengXian"/>
          <w:bCs/>
          <w:lang w:eastAsia="zh-CN"/>
        </w:rPr>
        <w:t xml:space="preserve">This Includes patients for whom no procedures were recorded and those who had </w:t>
      </w:r>
      <w:r w:rsidR="00C63860" w:rsidRPr="00C63860">
        <w:rPr>
          <w:rFonts w:eastAsia="DengXian"/>
          <w:bCs/>
          <w:color w:val="00B0F0"/>
          <w:lang w:eastAsia="zh-CN"/>
        </w:rPr>
        <w:t>‘</w:t>
      </w:r>
      <w:r w:rsidR="006F6056" w:rsidRPr="00C63860">
        <w:rPr>
          <w:rFonts w:eastAsia="DengXian"/>
          <w:bCs/>
          <w:lang w:eastAsia="zh-CN"/>
        </w:rPr>
        <w:t>low-volume</w:t>
      </w:r>
      <w:r w:rsidR="00C63860" w:rsidRPr="00C63860">
        <w:rPr>
          <w:rFonts w:eastAsia="DengXian"/>
          <w:bCs/>
          <w:color w:val="00B0F0"/>
          <w:lang w:eastAsia="zh-CN"/>
        </w:rPr>
        <w:t>’</w:t>
      </w:r>
      <w:r w:rsidRPr="00C63860">
        <w:rPr>
          <w:rFonts w:eastAsia="DengXian"/>
          <w:bCs/>
          <w:lang w:eastAsia="zh-CN"/>
        </w:rPr>
        <w:t xml:space="preserve"> (</w:t>
      </w:r>
      <w:r w:rsidR="00C63860" w:rsidRPr="00C63860">
        <w:rPr>
          <w:rFonts w:eastAsia="DengXian"/>
          <w:bCs/>
          <w:color w:val="00B0F0"/>
          <w:lang w:eastAsia="zh-CN"/>
        </w:rPr>
        <w:t>&lt; 1</w:t>
      </w:r>
      <w:r w:rsidRPr="00C63860">
        <w:rPr>
          <w:rFonts w:eastAsia="DengXian"/>
          <w:bCs/>
          <w:lang w:eastAsia="zh-CN"/>
        </w:rPr>
        <w:t>%) procedures. NES: non-emergency surgery</w:t>
      </w:r>
      <w:r w:rsidR="00C63860" w:rsidRPr="00C63860">
        <w:rPr>
          <w:b/>
          <w:bCs/>
        </w:rPr>
        <w:t xml:space="preserve"> </w:t>
      </w:r>
      <w:bookmarkStart w:id="83" w:name="_Toc86670787"/>
      <w:r w:rsidR="00C63860" w:rsidRPr="00C63860">
        <w:rPr>
          <w:b/>
          <w:bCs/>
          <w:color w:val="FF0000"/>
          <w:sz w:val="22"/>
          <w:szCs w:val="22"/>
        </w:rPr>
        <w:t xml:space="preserve">Table </w:t>
      </w:r>
      <w:r w:rsidR="00C63860" w:rsidRPr="00C63860">
        <w:rPr>
          <w:b/>
          <w:bCs/>
          <w:noProof/>
          <w:color w:val="FF0000"/>
          <w:sz w:val="22"/>
          <w:szCs w:val="22"/>
        </w:rPr>
        <w:t>15</w:t>
      </w:r>
      <w:r w:rsidR="004D3DF5" w:rsidRPr="00C63860">
        <w:rPr>
          <w:b/>
          <w:bCs/>
          <w:color w:val="auto"/>
          <w:sz w:val="22"/>
          <w:szCs w:val="22"/>
        </w:rPr>
        <w:t>: Unadjusted costs (£GBP 2019/20) of emergency surgery (ES) and non-emergency surgery (NES) strategies</w:t>
      </w:r>
      <w:bookmarkEnd w:id="83"/>
    </w:p>
    <w:tbl>
      <w:tblPr>
        <w:tblStyle w:val="PlainTable2"/>
        <w:tblW w:w="0" w:type="auto"/>
        <w:tblBorders>
          <w:top w:val="none" w:sz="0" w:space="0" w:color="auto"/>
          <w:bottom w:val="none" w:sz="0" w:space="0" w:color="auto"/>
        </w:tblBorders>
        <w:tblCellMar>
          <w:top w:w="40" w:type="dxa"/>
          <w:left w:w="60" w:type="dxa"/>
          <w:bottom w:w="40" w:type="dxa"/>
          <w:right w:w="60" w:type="dxa"/>
        </w:tblCellMar>
        <w:tblLook w:val="04A0" w:firstRow="1" w:lastRow="0" w:firstColumn="1" w:lastColumn="0" w:noHBand="0" w:noVBand="1"/>
      </w:tblPr>
      <w:tblGrid>
        <w:gridCol w:w="920"/>
        <w:gridCol w:w="861"/>
        <w:gridCol w:w="789"/>
        <w:gridCol w:w="789"/>
        <w:gridCol w:w="861"/>
        <w:gridCol w:w="789"/>
        <w:gridCol w:w="861"/>
        <w:gridCol w:w="789"/>
        <w:gridCol w:w="789"/>
        <w:gridCol w:w="789"/>
        <w:gridCol w:w="789"/>
      </w:tblGrid>
      <w:tr w:rsidR="00470AE4" w:rsidRPr="00C63860" w14:paraId="2EE74CE3" w14:textId="77777777" w:rsidTr="00C6386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shd w:val="clear" w:color="auto" w:fill="auto"/>
          </w:tcPr>
          <w:p w14:paraId="5D73D9FD" w14:textId="77777777" w:rsidR="00470AE4" w:rsidRPr="00C63860" w:rsidRDefault="00470AE4" w:rsidP="00470AE4">
            <w:pPr>
              <w:spacing w:before="100" w:beforeAutospacing="1" w:after="100" w:afterAutospacing="1"/>
              <w:contextualSpacing/>
              <w:rPr>
                <w:rFonts w:cstheme="minorHAnsi"/>
                <w:bCs w:val="0"/>
                <w:sz w:val="22"/>
                <w:szCs w:val="22"/>
              </w:rPr>
            </w:pPr>
          </w:p>
        </w:tc>
        <w:tc>
          <w:tcPr>
            <w:tcW w:w="0" w:type="auto"/>
            <w:gridSpan w:val="2"/>
            <w:tcBorders>
              <w:bottom w:val="none" w:sz="0" w:space="0" w:color="auto"/>
            </w:tcBorders>
            <w:shd w:val="clear" w:color="auto" w:fill="auto"/>
          </w:tcPr>
          <w:p w14:paraId="407EAA5C" w14:textId="77777777" w:rsidR="00470AE4"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rPr>
            </w:pPr>
            <w:r w:rsidRPr="00C63860">
              <w:rPr>
                <w:rFonts w:cstheme="minorHAnsi"/>
                <w:sz w:val="22"/>
                <w:szCs w:val="22"/>
              </w:rPr>
              <w:t>Appendicitis</w:t>
            </w:r>
          </w:p>
          <w:p w14:paraId="565A5107" w14:textId="77777777" w:rsidR="00470AE4"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sz w:val="22"/>
                <w:szCs w:val="22"/>
              </w:rPr>
            </w:pPr>
            <w:r w:rsidRPr="00C63860">
              <w:rPr>
                <w:rFonts w:cstheme="minorHAnsi"/>
                <w:sz w:val="22"/>
                <w:szCs w:val="22"/>
              </w:rPr>
              <w:t>(N=268,144)</w:t>
            </w:r>
          </w:p>
        </w:tc>
        <w:tc>
          <w:tcPr>
            <w:tcW w:w="0" w:type="auto"/>
            <w:gridSpan w:val="2"/>
            <w:tcBorders>
              <w:bottom w:val="none" w:sz="0" w:space="0" w:color="auto"/>
            </w:tcBorders>
            <w:shd w:val="clear" w:color="auto" w:fill="auto"/>
          </w:tcPr>
          <w:p w14:paraId="61E36FEE" w14:textId="77777777" w:rsidR="00470AE4"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rPr>
            </w:pPr>
            <w:r w:rsidRPr="00C63860">
              <w:rPr>
                <w:rFonts w:cstheme="minorHAnsi"/>
                <w:sz w:val="22"/>
                <w:szCs w:val="22"/>
              </w:rPr>
              <w:t>Cholelithiasis</w:t>
            </w:r>
          </w:p>
          <w:p w14:paraId="6D49D6FF" w14:textId="77777777" w:rsidR="00470AE4"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(N=</w:t>
            </w:r>
            <w:r w:rsidRPr="00C63860">
              <w:rPr>
                <w:sz w:val="22"/>
                <w:szCs w:val="22"/>
              </w:rPr>
              <w:t xml:space="preserve"> </w:t>
            </w:r>
            <w:r w:rsidRPr="00C63860">
              <w:rPr>
                <w:rFonts w:cstheme="minorHAnsi"/>
                <w:sz w:val="22"/>
                <w:szCs w:val="22"/>
              </w:rPr>
              <w:t>240,977)</w:t>
            </w:r>
          </w:p>
        </w:tc>
        <w:tc>
          <w:tcPr>
            <w:tcW w:w="0" w:type="auto"/>
            <w:gridSpan w:val="2"/>
            <w:tcBorders>
              <w:bottom w:val="none" w:sz="0" w:space="0" w:color="auto"/>
            </w:tcBorders>
            <w:shd w:val="clear" w:color="auto" w:fill="auto"/>
          </w:tcPr>
          <w:p w14:paraId="44C9F729" w14:textId="77777777" w:rsidR="00470AE4"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sz w:val="22"/>
                <w:szCs w:val="22"/>
              </w:rPr>
            </w:pPr>
            <w:r w:rsidRPr="00C63860">
              <w:rPr>
                <w:rFonts w:cstheme="minorHAnsi"/>
                <w:sz w:val="22"/>
                <w:szCs w:val="22"/>
              </w:rPr>
              <w:t>Diverticular disease (N=138,869)</w:t>
            </w:r>
          </w:p>
        </w:tc>
        <w:tc>
          <w:tcPr>
            <w:tcW w:w="0" w:type="auto"/>
            <w:gridSpan w:val="2"/>
            <w:tcBorders>
              <w:bottom w:val="none" w:sz="0" w:space="0" w:color="auto"/>
            </w:tcBorders>
            <w:shd w:val="clear" w:color="auto" w:fill="auto"/>
          </w:tcPr>
          <w:p w14:paraId="47F31D3E" w14:textId="77777777" w:rsidR="00C63860"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Hernia</w:t>
            </w:r>
          </w:p>
          <w:p w14:paraId="2C1E1709" w14:textId="1174C696" w:rsidR="00470AE4"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sz w:val="22"/>
                <w:szCs w:val="22"/>
              </w:rPr>
            </w:pPr>
            <w:r w:rsidRPr="00C63860">
              <w:rPr>
                <w:rFonts w:cstheme="minorHAnsi"/>
                <w:sz w:val="22"/>
                <w:szCs w:val="22"/>
              </w:rPr>
              <w:t>(N=106,432)</w:t>
            </w:r>
          </w:p>
        </w:tc>
        <w:tc>
          <w:tcPr>
            <w:tcW w:w="0" w:type="auto"/>
            <w:gridSpan w:val="2"/>
            <w:tcBorders>
              <w:bottom w:val="none" w:sz="0" w:space="0" w:color="auto"/>
            </w:tcBorders>
            <w:shd w:val="clear" w:color="auto" w:fill="auto"/>
          </w:tcPr>
          <w:p w14:paraId="5810A2BC" w14:textId="77777777" w:rsidR="00C63860"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Intestinal obstruction</w:t>
            </w:r>
          </w:p>
          <w:p w14:paraId="0D2A6813" w14:textId="54B5A891" w:rsidR="00470AE4"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(N=133,073)</w:t>
            </w:r>
          </w:p>
        </w:tc>
      </w:tr>
      <w:tr w:rsidR="00470AE4" w:rsidRPr="00C63860" w14:paraId="60CC86FC"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7A7D6BD7" w14:textId="77777777" w:rsidR="00470AE4" w:rsidRPr="00C63860" w:rsidRDefault="00470AE4" w:rsidP="00470AE4">
            <w:pPr>
              <w:spacing w:before="100" w:beforeAutospacing="1" w:after="100" w:afterAutospacing="1"/>
              <w:contextualSpacing/>
              <w:rPr>
                <w:rFonts w:cstheme="minorHAnsi"/>
                <w:bCs w:val="0"/>
                <w:sz w:val="22"/>
                <w:szCs w:val="22"/>
              </w:rPr>
            </w:pPr>
          </w:p>
        </w:tc>
        <w:tc>
          <w:tcPr>
            <w:tcW w:w="0" w:type="auto"/>
            <w:tcBorders>
              <w:top w:val="none" w:sz="0" w:space="0" w:color="auto"/>
              <w:bottom w:val="none" w:sz="0" w:space="0" w:color="auto"/>
            </w:tcBorders>
            <w:shd w:val="clear" w:color="auto" w:fill="auto"/>
          </w:tcPr>
          <w:p w14:paraId="59BD3970" w14:textId="77777777" w:rsidR="00C63860"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ES</w:t>
            </w:r>
          </w:p>
          <w:p w14:paraId="48C1554B" w14:textId="113FDAE5"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(N=247,506)</w:t>
            </w:r>
          </w:p>
        </w:tc>
        <w:tc>
          <w:tcPr>
            <w:tcW w:w="0" w:type="auto"/>
            <w:tcBorders>
              <w:top w:val="none" w:sz="0" w:space="0" w:color="auto"/>
              <w:bottom w:val="none" w:sz="0" w:space="0" w:color="auto"/>
            </w:tcBorders>
            <w:shd w:val="clear" w:color="auto" w:fill="auto"/>
          </w:tcPr>
          <w:p w14:paraId="0D830618" w14:textId="77777777" w:rsidR="00C63860"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NES</w:t>
            </w:r>
          </w:p>
          <w:p w14:paraId="4CBE960D" w14:textId="4B516B02"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(N=20,638)</w:t>
            </w:r>
          </w:p>
        </w:tc>
        <w:tc>
          <w:tcPr>
            <w:tcW w:w="0" w:type="auto"/>
            <w:tcBorders>
              <w:top w:val="none" w:sz="0" w:space="0" w:color="auto"/>
              <w:bottom w:val="none" w:sz="0" w:space="0" w:color="auto"/>
            </w:tcBorders>
            <w:shd w:val="clear" w:color="auto" w:fill="auto"/>
          </w:tcPr>
          <w:p w14:paraId="468F567A" w14:textId="77777777"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ES</w:t>
            </w:r>
          </w:p>
          <w:p w14:paraId="03F5536D" w14:textId="77777777"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w:t>
            </w:r>
            <w:r w:rsidRPr="00C63860">
              <w:rPr>
                <w:bCs/>
                <w:sz w:val="22"/>
                <w:szCs w:val="22"/>
              </w:rPr>
              <w:t>=</w:t>
            </w:r>
            <w:r w:rsidRPr="00C63860">
              <w:rPr>
                <w:rFonts w:cstheme="minorHAnsi"/>
                <w:bCs/>
                <w:sz w:val="22"/>
                <w:szCs w:val="22"/>
              </w:rPr>
              <w:t>52,004)</w:t>
            </w:r>
          </w:p>
        </w:tc>
        <w:tc>
          <w:tcPr>
            <w:tcW w:w="0" w:type="auto"/>
            <w:tcBorders>
              <w:top w:val="none" w:sz="0" w:space="0" w:color="auto"/>
              <w:bottom w:val="none" w:sz="0" w:space="0" w:color="auto"/>
            </w:tcBorders>
            <w:shd w:val="clear" w:color="auto" w:fill="auto"/>
          </w:tcPr>
          <w:p w14:paraId="758E2C8C" w14:textId="77777777"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NES</w:t>
            </w:r>
          </w:p>
          <w:p w14:paraId="6A5000A6" w14:textId="77777777"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(N=188,973)</w:t>
            </w:r>
          </w:p>
        </w:tc>
        <w:tc>
          <w:tcPr>
            <w:tcW w:w="0" w:type="auto"/>
            <w:tcBorders>
              <w:top w:val="none" w:sz="0" w:space="0" w:color="auto"/>
              <w:bottom w:val="none" w:sz="0" w:space="0" w:color="auto"/>
            </w:tcBorders>
            <w:shd w:val="clear" w:color="auto" w:fill="auto"/>
          </w:tcPr>
          <w:p w14:paraId="2CEBDDF5" w14:textId="77777777" w:rsidR="00C63860"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ES</w:t>
            </w:r>
          </w:p>
          <w:p w14:paraId="202C2A50" w14:textId="768D7C70"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(N=15,772)</w:t>
            </w:r>
          </w:p>
        </w:tc>
        <w:tc>
          <w:tcPr>
            <w:tcW w:w="0" w:type="auto"/>
            <w:tcBorders>
              <w:top w:val="none" w:sz="0" w:space="0" w:color="auto"/>
              <w:bottom w:val="none" w:sz="0" w:space="0" w:color="auto"/>
            </w:tcBorders>
            <w:shd w:val="clear" w:color="auto" w:fill="auto"/>
          </w:tcPr>
          <w:p w14:paraId="596012C2" w14:textId="77777777"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NES</w:t>
            </w:r>
          </w:p>
          <w:p w14:paraId="55BC7232" w14:textId="77777777"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(N=123,097)</w:t>
            </w:r>
          </w:p>
        </w:tc>
        <w:tc>
          <w:tcPr>
            <w:tcW w:w="0" w:type="auto"/>
            <w:tcBorders>
              <w:top w:val="none" w:sz="0" w:space="0" w:color="auto"/>
              <w:bottom w:val="none" w:sz="0" w:space="0" w:color="auto"/>
            </w:tcBorders>
            <w:shd w:val="clear" w:color="auto" w:fill="auto"/>
          </w:tcPr>
          <w:p w14:paraId="208F14A9" w14:textId="77777777" w:rsidR="00C63860"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ES</w:t>
            </w:r>
          </w:p>
          <w:p w14:paraId="74757F7B" w14:textId="6FAED0D9"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(N=62,559)</w:t>
            </w:r>
          </w:p>
        </w:tc>
        <w:tc>
          <w:tcPr>
            <w:tcW w:w="0" w:type="auto"/>
            <w:tcBorders>
              <w:top w:val="none" w:sz="0" w:space="0" w:color="auto"/>
              <w:bottom w:val="none" w:sz="0" w:space="0" w:color="auto"/>
            </w:tcBorders>
            <w:shd w:val="clear" w:color="auto" w:fill="auto"/>
          </w:tcPr>
          <w:p w14:paraId="4010643B" w14:textId="77777777" w:rsidR="00C63860"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NES</w:t>
            </w:r>
          </w:p>
          <w:p w14:paraId="10DD389C" w14:textId="2C186CBD"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(N=43,873)</w:t>
            </w:r>
          </w:p>
        </w:tc>
        <w:tc>
          <w:tcPr>
            <w:tcW w:w="0" w:type="auto"/>
            <w:tcBorders>
              <w:top w:val="none" w:sz="0" w:space="0" w:color="auto"/>
              <w:bottom w:val="none" w:sz="0" w:space="0" w:color="auto"/>
            </w:tcBorders>
            <w:shd w:val="clear" w:color="auto" w:fill="auto"/>
          </w:tcPr>
          <w:p w14:paraId="11D17A03" w14:textId="77777777"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ES</w:t>
            </w:r>
          </w:p>
          <w:p w14:paraId="2C42878E" w14:textId="77777777"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(N=40,550)</w:t>
            </w:r>
          </w:p>
        </w:tc>
        <w:tc>
          <w:tcPr>
            <w:tcW w:w="0" w:type="auto"/>
            <w:tcBorders>
              <w:top w:val="none" w:sz="0" w:space="0" w:color="auto"/>
              <w:bottom w:val="none" w:sz="0" w:space="0" w:color="auto"/>
            </w:tcBorders>
            <w:shd w:val="clear" w:color="auto" w:fill="auto"/>
          </w:tcPr>
          <w:p w14:paraId="0F570A7C" w14:textId="77777777"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NES</w:t>
            </w:r>
          </w:p>
          <w:p w14:paraId="1939FDDB" w14:textId="77777777" w:rsidR="00470AE4" w:rsidRPr="00C63860"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(N=92,523)</w:t>
            </w:r>
          </w:p>
        </w:tc>
      </w:tr>
      <w:tr w:rsidR="00470AE4" w:rsidRPr="00C63860" w14:paraId="7AE25487"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gridSpan w:val="11"/>
            <w:shd w:val="clear" w:color="auto" w:fill="auto"/>
          </w:tcPr>
          <w:p w14:paraId="216355E1" w14:textId="77777777" w:rsidR="00470AE4" w:rsidRPr="00C63860" w:rsidRDefault="00470AE4" w:rsidP="00470AE4">
            <w:pPr>
              <w:tabs>
                <w:tab w:val="left" w:pos="1209"/>
              </w:tabs>
              <w:spacing w:before="100" w:beforeAutospacing="1" w:after="100" w:afterAutospacing="1"/>
              <w:contextualSpacing/>
              <w:rPr>
                <w:rFonts w:cstheme="minorHAnsi"/>
                <w:iCs/>
                <w:sz w:val="22"/>
                <w:szCs w:val="22"/>
              </w:rPr>
            </w:pPr>
            <w:r w:rsidRPr="00C63860">
              <w:rPr>
                <w:rFonts w:cstheme="minorHAnsi"/>
                <w:b w:val="0"/>
                <w:bCs w:val="0"/>
                <w:sz w:val="22"/>
                <w:szCs w:val="22"/>
              </w:rPr>
              <w:t>Index admission</w:t>
            </w:r>
          </w:p>
        </w:tc>
      </w:tr>
      <w:tr w:rsidR="00470AE4" w:rsidRPr="00C63860" w14:paraId="19A28566"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57D1BD4C" w14:textId="77777777" w:rsidR="00470AE4" w:rsidRPr="00C63860" w:rsidRDefault="00470AE4" w:rsidP="00470AE4">
            <w:pPr>
              <w:spacing w:before="100" w:beforeAutospacing="1" w:after="100" w:afterAutospacing="1"/>
              <w:contextualSpacing/>
              <w:rPr>
                <w:rFonts w:cstheme="minorHAnsi"/>
                <w:b w:val="0"/>
                <w:bCs w:val="0"/>
                <w:iCs/>
                <w:sz w:val="22"/>
                <w:szCs w:val="22"/>
              </w:rPr>
            </w:pPr>
            <w:r w:rsidRPr="00C63860">
              <w:rPr>
                <w:rFonts w:cstheme="minorHAnsi"/>
                <w:b w:val="0"/>
                <w:bCs w:val="0"/>
                <w:iCs/>
                <w:sz w:val="22"/>
                <w:szCs w:val="22"/>
              </w:rPr>
              <w:t>Bed-day costs (£): mean (SD)</w:t>
            </w:r>
          </w:p>
        </w:tc>
        <w:tc>
          <w:tcPr>
            <w:tcW w:w="0" w:type="auto"/>
            <w:tcBorders>
              <w:top w:val="none" w:sz="0" w:space="0" w:color="auto"/>
              <w:bottom w:val="none" w:sz="0" w:space="0" w:color="auto"/>
            </w:tcBorders>
            <w:shd w:val="clear" w:color="auto" w:fill="auto"/>
          </w:tcPr>
          <w:p w14:paraId="2457E8FF"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1,610</w:t>
            </w:r>
          </w:p>
          <w:p w14:paraId="5B92570D"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(2,080)</w:t>
            </w:r>
          </w:p>
        </w:tc>
        <w:tc>
          <w:tcPr>
            <w:tcW w:w="0" w:type="auto"/>
            <w:tcBorders>
              <w:top w:val="none" w:sz="0" w:space="0" w:color="auto"/>
              <w:bottom w:val="none" w:sz="0" w:space="0" w:color="auto"/>
            </w:tcBorders>
            <w:shd w:val="clear" w:color="auto" w:fill="auto"/>
          </w:tcPr>
          <w:p w14:paraId="18227474"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1,850</w:t>
            </w:r>
          </w:p>
          <w:p w14:paraId="7CDA3ABD"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(3,150)</w:t>
            </w:r>
          </w:p>
        </w:tc>
        <w:tc>
          <w:tcPr>
            <w:tcW w:w="0" w:type="auto"/>
            <w:tcBorders>
              <w:top w:val="none" w:sz="0" w:space="0" w:color="auto"/>
              <w:bottom w:val="none" w:sz="0" w:space="0" w:color="auto"/>
            </w:tcBorders>
            <w:shd w:val="clear" w:color="auto" w:fill="auto"/>
          </w:tcPr>
          <w:p w14:paraId="5B0C5221"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2,480</w:t>
            </w:r>
          </w:p>
          <w:p w14:paraId="02B7A45E"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(3,450)</w:t>
            </w:r>
          </w:p>
        </w:tc>
        <w:tc>
          <w:tcPr>
            <w:tcW w:w="0" w:type="auto"/>
            <w:tcBorders>
              <w:top w:val="none" w:sz="0" w:space="0" w:color="auto"/>
              <w:bottom w:val="none" w:sz="0" w:space="0" w:color="auto"/>
            </w:tcBorders>
            <w:shd w:val="clear" w:color="auto" w:fill="auto"/>
          </w:tcPr>
          <w:p w14:paraId="5A295E99"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1,880</w:t>
            </w:r>
          </w:p>
          <w:p w14:paraId="001EF31F"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(2,610)</w:t>
            </w:r>
          </w:p>
        </w:tc>
        <w:tc>
          <w:tcPr>
            <w:tcW w:w="0" w:type="auto"/>
            <w:tcBorders>
              <w:top w:val="none" w:sz="0" w:space="0" w:color="auto"/>
              <w:bottom w:val="none" w:sz="0" w:space="0" w:color="auto"/>
            </w:tcBorders>
            <w:shd w:val="clear" w:color="auto" w:fill="auto"/>
          </w:tcPr>
          <w:p w14:paraId="3E61A715"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10,600</w:t>
            </w:r>
          </w:p>
          <w:p w14:paraId="43539AA9"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(12,900)</w:t>
            </w:r>
          </w:p>
        </w:tc>
        <w:tc>
          <w:tcPr>
            <w:tcW w:w="0" w:type="auto"/>
            <w:tcBorders>
              <w:top w:val="none" w:sz="0" w:space="0" w:color="auto"/>
              <w:bottom w:val="none" w:sz="0" w:space="0" w:color="auto"/>
            </w:tcBorders>
            <w:shd w:val="clear" w:color="auto" w:fill="auto"/>
          </w:tcPr>
          <w:p w14:paraId="796118F0"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1,880</w:t>
            </w:r>
          </w:p>
          <w:p w14:paraId="1D069D56"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(2,510)</w:t>
            </w:r>
          </w:p>
        </w:tc>
        <w:tc>
          <w:tcPr>
            <w:tcW w:w="0" w:type="auto"/>
            <w:tcBorders>
              <w:top w:val="none" w:sz="0" w:space="0" w:color="auto"/>
              <w:bottom w:val="none" w:sz="0" w:space="0" w:color="auto"/>
            </w:tcBorders>
            <w:shd w:val="clear" w:color="auto" w:fill="auto"/>
          </w:tcPr>
          <w:p w14:paraId="21CEA052"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2,250</w:t>
            </w:r>
          </w:p>
          <w:p w14:paraId="0EE9267C"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(7,040)</w:t>
            </w:r>
          </w:p>
        </w:tc>
        <w:tc>
          <w:tcPr>
            <w:tcW w:w="0" w:type="auto"/>
            <w:tcBorders>
              <w:top w:val="none" w:sz="0" w:space="0" w:color="auto"/>
              <w:bottom w:val="none" w:sz="0" w:space="0" w:color="auto"/>
            </w:tcBorders>
            <w:shd w:val="clear" w:color="auto" w:fill="auto"/>
          </w:tcPr>
          <w:p w14:paraId="21761B78"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1,180</w:t>
            </w:r>
          </w:p>
          <w:p w14:paraId="4B089BD1"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(3,850)</w:t>
            </w:r>
          </w:p>
        </w:tc>
        <w:tc>
          <w:tcPr>
            <w:tcW w:w="0" w:type="auto"/>
            <w:tcBorders>
              <w:top w:val="none" w:sz="0" w:space="0" w:color="auto"/>
              <w:bottom w:val="none" w:sz="0" w:space="0" w:color="auto"/>
            </w:tcBorders>
            <w:shd w:val="clear" w:color="auto" w:fill="auto"/>
          </w:tcPr>
          <w:p w14:paraId="244E76DF"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7,280</w:t>
            </w:r>
          </w:p>
          <w:p w14:paraId="71330999"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(10,700)</w:t>
            </w:r>
          </w:p>
        </w:tc>
        <w:tc>
          <w:tcPr>
            <w:tcW w:w="0" w:type="auto"/>
            <w:tcBorders>
              <w:top w:val="none" w:sz="0" w:space="0" w:color="auto"/>
              <w:bottom w:val="none" w:sz="0" w:space="0" w:color="auto"/>
            </w:tcBorders>
            <w:shd w:val="clear" w:color="auto" w:fill="auto"/>
          </w:tcPr>
          <w:p w14:paraId="4E042273"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3,050</w:t>
            </w:r>
          </w:p>
          <w:p w14:paraId="0FAA76F6"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(12,100)</w:t>
            </w:r>
          </w:p>
        </w:tc>
      </w:tr>
      <w:tr w:rsidR="00470AE4" w:rsidRPr="00C63860" w14:paraId="440DF4DB"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AE45F38" w14:textId="77777777" w:rsidR="00470AE4" w:rsidRPr="00C63860" w:rsidRDefault="00470AE4" w:rsidP="00470AE4">
            <w:pPr>
              <w:spacing w:before="100" w:beforeAutospacing="1" w:after="100" w:afterAutospacing="1"/>
              <w:contextualSpacing/>
              <w:rPr>
                <w:rFonts w:cstheme="minorHAnsi"/>
                <w:b w:val="0"/>
                <w:bCs w:val="0"/>
                <w:iCs/>
                <w:sz w:val="22"/>
                <w:szCs w:val="22"/>
              </w:rPr>
            </w:pPr>
            <w:r w:rsidRPr="00C63860">
              <w:rPr>
                <w:rFonts w:cstheme="minorHAnsi"/>
                <w:b w:val="0"/>
                <w:bCs w:val="0"/>
                <w:iCs/>
                <w:sz w:val="22"/>
                <w:szCs w:val="22"/>
              </w:rPr>
              <w:t>Cost of diagnostic procedures (£): mean (SD)</w:t>
            </w:r>
          </w:p>
        </w:tc>
        <w:tc>
          <w:tcPr>
            <w:tcW w:w="0" w:type="auto"/>
            <w:shd w:val="clear" w:color="auto" w:fill="auto"/>
          </w:tcPr>
          <w:p w14:paraId="76258D8E"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28.0</w:t>
            </w:r>
          </w:p>
          <w:p w14:paraId="19B472DB"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(54.2)</w:t>
            </w:r>
          </w:p>
        </w:tc>
        <w:tc>
          <w:tcPr>
            <w:tcW w:w="0" w:type="auto"/>
            <w:shd w:val="clear" w:color="auto" w:fill="auto"/>
          </w:tcPr>
          <w:p w14:paraId="3AA6EF2F"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57.8</w:t>
            </w:r>
          </w:p>
          <w:p w14:paraId="3132BDAF"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(69.1)</w:t>
            </w:r>
          </w:p>
        </w:tc>
        <w:tc>
          <w:tcPr>
            <w:tcW w:w="0" w:type="auto"/>
            <w:shd w:val="clear" w:color="auto" w:fill="auto"/>
          </w:tcPr>
          <w:p w14:paraId="02A3B3BA"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49.2</w:t>
            </w:r>
          </w:p>
          <w:p w14:paraId="5D328F2E"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(94.0)</w:t>
            </w:r>
          </w:p>
        </w:tc>
        <w:tc>
          <w:tcPr>
            <w:tcW w:w="0" w:type="auto"/>
            <w:shd w:val="clear" w:color="auto" w:fill="auto"/>
          </w:tcPr>
          <w:p w14:paraId="77ABC2C8"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60.6</w:t>
            </w:r>
          </w:p>
          <w:p w14:paraId="135C7928"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(107)</w:t>
            </w:r>
          </w:p>
        </w:tc>
        <w:tc>
          <w:tcPr>
            <w:tcW w:w="0" w:type="auto"/>
            <w:shd w:val="clear" w:color="auto" w:fill="auto"/>
          </w:tcPr>
          <w:p w14:paraId="5DA0A8CE"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108</w:t>
            </w:r>
          </w:p>
          <w:p w14:paraId="7778C64B"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(104)</w:t>
            </w:r>
          </w:p>
        </w:tc>
        <w:tc>
          <w:tcPr>
            <w:tcW w:w="0" w:type="auto"/>
            <w:shd w:val="clear" w:color="auto" w:fill="auto"/>
          </w:tcPr>
          <w:p w14:paraId="6F5C14D1"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86.5</w:t>
            </w:r>
          </w:p>
          <w:p w14:paraId="3A979395"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(81.4)</w:t>
            </w:r>
          </w:p>
        </w:tc>
        <w:tc>
          <w:tcPr>
            <w:tcW w:w="0" w:type="auto"/>
            <w:shd w:val="clear" w:color="auto" w:fill="auto"/>
          </w:tcPr>
          <w:p w14:paraId="64058621"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20.3</w:t>
            </w:r>
          </w:p>
          <w:p w14:paraId="42F7995F"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(52.3)</w:t>
            </w:r>
          </w:p>
        </w:tc>
        <w:tc>
          <w:tcPr>
            <w:tcW w:w="0" w:type="auto"/>
            <w:shd w:val="clear" w:color="auto" w:fill="auto"/>
          </w:tcPr>
          <w:p w14:paraId="2FC3B53E"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18.2</w:t>
            </w:r>
          </w:p>
          <w:p w14:paraId="020CDC4D"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sz w:val="22"/>
                <w:szCs w:val="22"/>
              </w:rPr>
              <w:t>(45.1)</w:t>
            </w:r>
          </w:p>
        </w:tc>
        <w:tc>
          <w:tcPr>
            <w:tcW w:w="0" w:type="auto"/>
            <w:shd w:val="clear" w:color="auto" w:fill="auto"/>
          </w:tcPr>
          <w:p w14:paraId="426C221B"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95.9</w:t>
            </w:r>
          </w:p>
          <w:p w14:paraId="49653F20"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iCs/>
                <w:sz w:val="22"/>
                <w:szCs w:val="22"/>
              </w:rPr>
              <w:t>(94.5)</w:t>
            </w:r>
          </w:p>
        </w:tc>
        <w:tc>
          <w:tcPr>
            <w:tcW w:w="0" w:type="auto"/>
            <w:shd w:val="clear" w:color="auto" w:fill="auto"/>
          </w:tcPr>
          <w:p w14:paraId="4C338CE2"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72.4</w:t>
            </w:r>
          </w:p>
          <w:p w14:paraId="70B0A745"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iCs/>
                <w:sz w:val="22"/>
                <w:szCs w:val="22"/>
              </w:rPr>
              <w:t>(98.7)</w:t>
            </w:r>
          </w:p>
        </w:tc>
      </w:tr>
      <w:tr w:rsidR="00470AE4" w:rsidRPr="00C63860" w14:paraId="3A94BF8C"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667759E3" w14:textId="77777777" w:rsidR="00470AE4" w:rsidRPr="00C63860" w:rsidRDefault="00470AE4" w:rsidP="00470AE4">
            <w:pPr>
              <w:spacing w:before="100" w:beforeAutospacing="1" w:after="100" w:afterAutospacing="1"/>
              <w:contextualSpacing/>
              <w:rPr>
                <w:rFonts w:cstheme="minorHAnsi"/>
                <w:b w:val="0"/>
                <w:bCs w:val="0"/>
                <w:iCs/>
                <w:sz w:val="22"/>
                <w:szCs w:val="22"/>
              </w:rPr>
            </w:pPr>
            <w:r w:rsidRPr="00C63860">
              <w:rPr>
                <w:rFonts w:cstheme="minorHAnsi"/>
                <w:b w:val="0"/>
                <w:bCs w:val="0"/>
                <w:iCs/>
                <w:sz w:val="22"/>
                <w:szCs w:val="22"/>
              </w:rPr>
              <w:t>Cost of operative procedures (£): mean (SD)</w:t>
            </w:r>
          </w:p>
        </w:tc>
        <w:tc>
          <w:tcPr>
            <w:tcW w:w="0" w:type="auto"/>
            <w:tcBorders>
              <w:top w:val="none" w:sz="0" w:space="0" w:color="auto"/>
              <w:bottom w:val="none" w:sz="0" w:space="0" w:color="auto"/>
            </w:tcBorders>
            <w:shd w:val="clear" w:color="auto" w:fill="auto"/>
          </w:tcPr>
          <w:p w14:paraId="0BC03BA0"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1,130</w:t>
            </w:r>
          </w:p>
          <w:p w14:paraId="68BC1AA7"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(127)</w:t>
            </w:r>
          </w:p>
        </w:tc>
        <w:tc>
          <w:tcPr>
            <w:tcW w:w="0" w:type="auto"/>
            <w:tcBorders>
              <w:top w:val="none" w:sz="0" w:space="0" w:color="auto"/>
              <w:bottom w:val="none" w:sz="0" w:space="0" w:color="auto"/>
            </w:tcBorders>
            <w:shd w:val="clear" w:color="auto" w:fill="auto"/>
          </w:tcPr>
          <w:p w14:paraId="135754FC"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192</w:t>
            </w:r>
          </w:p>
          <w:p w14:paraId="1863F2A2"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(429)</w:t>
            </w:r>
          </w:p>
        </w:tc>
        <w:tc>
          <w:tcPr>
            <w:tcW w:w="0" w:type="auto"/>
            <w:tcBorders>
              <w:top w:val="none" w:sz="0" w:space="0" w:color="auto"/>
              <w:bottom w:val="none" w:sz="0" w:space="0" w:color="auto"/>
            </w:tcBorders>
            <w:shd w:val="clear" w:color="auto" w:fill="auto"/>
          </w:tcPr>
          <w:p w14:paraId="4D5FF556"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1,100</w:t>
            </w:r>
          </w:p>
          <w:p w14:paraId="7553BED4"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(387)</w:t>
            </w:r>
          </w:p>
        </w:tc>
        <w:tc>
          <w:tcPr>
            <w:tcW w:w="0" w:type="auto"/>
            <w:tcBorders>
              <w:top w:val="none" w:sz="0" w:space="0" w:color="auto"/>
              <w:bottom w:val="none" w:sz="0" w:space="0" w:color="auto"/>
            </w:tcBorders>
            <w:shd w:val="clear" w:color="auto" w:fill="auto"/>
          </w:tcPr>
          <w:p w14:paraId="28CCBC02"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63.3</w:t>
            </w:r>
          </w:p>
          <w:p w14:paraId="51556F45"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(248)</w:t>
            </w:r>
          </w:p>
        </w:tc>
        <w:tc>
          <w:tcPr>
            <w:tcW w:w="0" w:type="auto"/>
            <w:tcBorders>
              <w:top w:val="none" w:sz="0" w:space="0" w:color="auto"/>
              <w:bottom w:val="none" w:sz="0" w:space="0" w:color="auto"/>
            </w:tcBorders>
            <w:shd w:val="clear" w:color="auto" w:fill="auto"/>
          </w:tcPr>
          <w:p w14:paraId="559A7C09"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1,950</w:t>
            </w:r>
          </w:p>
          <w:p w14:paraId="22955A89"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(938)</w:t>
            </w:r>
          </w:p>
        </w:tc>
        <w:tc>
          <w:tcPr>
            <w:tcW w:w="0" w:type="auto"/>
            <w:tcBorders>
              <w:top w:val="none" w:sz="0" w:space="0" w:color="auto"/>
              <w:bottom w:val="none" w:sz="0" w:space="0" w:color="auto"/>
            </w:tcBorders>
            <w:shd w:val="clear" w:color="auto" w:fill="auto"/>
          </w:tcPr>
          <w:p w14:paraId="56BEF782"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1.68</w:t>
            </w:r>
          </w:p>
          <w:p w14:paraId="772A29D6"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(32.8)</w:t>
            </w:r>
          </w:p>
        </w:tc>
        <w:tc>
          <w:tcPr>
            <w:tcW w:w="0" w:type="auto"/>
            <w:tcBorders>
              <w:top w:val="none" w:sz="0" w:space="0" w:color="auto"/>
              <w:bottom w:val="none" w:sz="0" w:space="0" w:color="auto"/>
            </w:tcBorders>
            <w:shd w:val="clear" w:color="auto" w:fill="auto"/>
          </w:tcPr>
          <w:p w14:paraId="2794015D"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809</w:t>
            </w:r>
          </w:p>
          <w:p w14:paraId="740501C2"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(244)</w:t>
            </w:r>
          </w:p>
        </w:tc>
        <w:tc>
          <w:tcPr>
            <w:tcW w:w="0" w:type="auto"/>
            <w:tcBorders>
              <w:top w:val="none" w:sz="0" w:space="0" w:color="auto"/>
              <w:bottom w:val="none" w:sz="0" w:space="0" w:color="auto"/>
            </w:tcBorders>
            <w:shd w:val="clear" w:color="auto" w:fill="auto"/>
          </w:tcPr>
          <w:p w14:paraId="7F21596C"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42.3</w:t>
            </w:r>
          </w:p>
          <w:p w14:paraId="3D707E71"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(209)</w:t>
            </w:r>
          </w:p>
        </w:tc>
        <w:tc>
          <w:tcPr>
            <w:tcW w:w="0" w:type="auto"/>
            <w:tcBorders>
              <w:top w:val="none" w:sz="0" w:space="0" w:color="auto"/>
              <w:bottom w:val="none" w:sz="0" w:space="0" w:color="auto"/>
            </w:tcBorders>
            <w:shd w:val="clear" w:color="auto" w:fill="auto"/>
          </w:tcPr>
          <w:p w14:paraId="1FAF98C8"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1,500</w:t>
            </w:r>
          </w:p>
          <w:p w14:paraId="2E85016E"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(684)</w:t>
            </w:r>
          </w:p>
        </w:tc>
        <w:tc>
          <w:tcPr>
            <w:tcW w:w="0" w:type="auto"/>
            <w:tcBorders>
              <w:top w:val="none" w:sz="0" w:space="0" w:color="auto"/>
              <w:bottom w:val="none" w:sz="0" w:space="0" w:color="auto"/>
            </w:tcBorders>
            <w:shd w:val="clear" w:color="auto" w:fill="auto"/>
          </w:tcPr>
          <w:p w14:paraId="3F94AB75"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68.6</w:t>
            </w:r>
          </w:p>
          <w:p w14:paraId="458280D2"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(339)</w:t>
            </w:r>
          </w:p>
        </w:tc>
      </w:tr>
      <w:tr w:rsidR="00470AE4" w:rsidRPr="00C63860" w14:paraId="7A2583FC"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7852DBB" w14:textId="77777777" w:rsidR="00470AE4" w:rsidRPr="00C63860" w:rsidRDefault="00470AE4" w:rsidP="00470AE4">
            <w:pPr>
              <w:spacing w:before="100" w:beforeAutospacing="1" w:after="100" w:afterAutospacing="1"/>
              <w:contextualSpacing/>
              <w:rPr>
                <w:rFonts w:cstheme="minorHAnsi"/>
                <w:b w:val="0"/>
                <w:bCs w:val="0"/>
                <w:i/>
                <w:iCs/>
                <w:sz w:val="22"/>
                <w:szCs w:val="22"/>
              </w:rPr>
            </w:pPr>
            <w:r w:rsidRPr="00C63860">
              <w:rPr>
                <w:rFonts w:cstheme="minorHAnsi"/>
                <w:b w:val="0"/>
                <w:bCs w:val="0"/>
                <w:i/>
                <w:iCs/>
                <w:sz w:val="22"/>
                <w:szCs w:val="22"/>
              </w:rPr>
              <w:t>Total costs in index admission (£): mean (SD)</w:t>
            </w:r>
          </w:p>
        </w:tc>
        <w:tc>
          <w:tcPr>
            <w:tcW w:w="0" w:type="auto"/>
            <w:shd w:val="clear" w:color="auto" w:fill="auto"/>
          </w:tcPr>
          <w:p w14:paraId="4B3850E6"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2,770</w:t>
            </w:r>
          </w:p>
          <w:p w14:paraId="4A846C09"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(1,970)</w:t>
            </w:r>
          </w:p>
        </w:tc>
        <w:tc>
          <w:tcPr>
            <w:tcW w:w="0" w:type="auto"/>
            <w:shd w:val="clear" w:color="auto" w:fill="auto"/>
          </w:tcPr>
          <w:p w14:paraId="55315EFF"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2,100</w:t>
            </w:r>
          </w:p>
          <w:p w14:paraId="621652A6"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(3,210)</w:t>
            </w:r>
          </w:p>
        </w:tc>
        <w:tc>
          <w:tcPr>
            <w:tcW w:w="0" w:type="auto"/>
            <w:shd w:val="clear" w:color="auto" w:fill="auto"/>
          </w:tcPr>
          <w:p w14:paraId="0D6D875E"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3,630</w:t>
            </w:r>
          </w:p>
          <w:p w14:paraId="3DEEEB8D"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Cs/>
                <w:sz w:val="22"/>
                <w:szCs w:val="22"/>
              </w:rPr>
              <w:t>(3,500)</w:t>
            </w:r>
          </w:p>
        </w:tc>
        <w:tc>
          <w:tcPr>
            <w:tcW w:w="0" w:type="auto"/>
            <w:shd w:val="clear" w:color="auto" w:fill="auto"/>
          </w:tcPr>
          <w:p w14:paraId="11CF683A"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2,000</w:t>
            </w:r>
          </w:p>
          <w:p w14:paraId="5CDE310A"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Cs/>
                <w:sz w:val="22"/>
                <w:szCs w:val="22"/>
              </w:rPr>
              <w:t>(2,720)</w:t>
            </w:r>
          </w:p>
        </w:tc>
        <w:tc>
          <w:tcPr>
            <w:tcW w:w="0" w:type="auto"/>
            <w:shd w:val="clear" w:color="auto" w:fill="auto"/>
          </w:tcPr>
          <w:p w14:paraId="530C40C5"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12,700</w:t>
            </w:r>
          </w:p>
          <w:p w14:paraId="181DB43D"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(13,100)</w:t>
            </w:r>
          </w:p>
        </w:tc>
        <w:tc>
          <w:tcPr>
            <w:tcW w:w="0" w:type="auto"/>
            <w:shd w:val="clear" w:color="auto" w:fill="auto"/>
          </w:tcPr>
          <w:p w14:paraId="46984680"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1,970</w:t>
            </w:r>
          </w:p>
          <w:p w14:paraId="5AD57B22"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(2,540)</w:t>
            </w:r>
          </w:p>
        </w:tc>
        <w:tc>
          <w:tcPr>
            <w:tcW w:w="0" w:type="auto"/>
            <w:shd w:val="clear" w:color="auto" w:fill="auto"/>
          </w:tcPr>
          <w:p w14:paraId="4AE1B100"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3,080</w:t>
            </w:r>
          </w:p>
          <w:p w14:paraId="4F502B2F"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(7,070)</w:t>
            </w:r>
          </w:p>
        </w:tc>
        <w:tc>
          <w:tcPr>
            <w:tcW w:w="0" w:type="auto"/>
            <w:shd w:val="clear" w:color="auto" w:fill="auto"/>
          </w:tcPr>
          <w:p w14:paraId="51959047"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1,240</w:t>
            </w:r>
          </w:p>
          <w:p w14:paraId="71CCC457"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(3,940)</w:t>
            </w:r>
          </w:p>
        </w:tc>
        <w:tc>
          <w:tcPr>
            <w:tcW w:w="0" w:type="auto"/>
            <w:shd w:val="clear" w:color="auto" w:fill="auto"/>
          </w:tcPr>
          <w:p w14:paraId="5795218F"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8,880</w:t>
            </w:r>
          </w:p>
          <w:p w14:paraId="0F3550C8"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(10,800)</w:t>
            </w:r>
          </w:p>
        </w:tc>
        <w:tc>
          <w:tcPr>
            <w:tcW w:w="0" w:type="auto"/>
            <w:shd w:val="clear" w:color="auto" w:fill="auto"/>
          </w:tcPr>
          <w:p w14:paraId="0B68B65E"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3,200</w:t>
            </w:r>
          </w:p>
          <w:p w14:paraId="4B28DFFB"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63860">
              <w:rPr>
                <w:rFonts w:cstheme="minorHAnsi"/>
                <w:i/>
                <w:iCs/>
                <w:sz w:val="22"/>
                <w:szCs w:val="22"/>
              </w:rPr>
              <w:t>(12,100)</w:t>
            </w:r>
          </w:p>
        </w:tc>
      </w:tr>
      <w:tr w:rsidR="00470AE4" w:rsidRPr="00C63860" w14:paraId="5B66CD1E"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gridSpan w:val="11"/>
            <w:tcBorders>
              <w:top w:val="none" w:sz="0" w:space="0" w:color="auto"/>
              <w:bottom w:val="none" w:sz="0" w:space="0" w:color="auto"/>
            </w:tcBorders>
            <w:shd w:val="clear" w:color="auto" w:fill="auto"/>
            <w:vAlign w:val="center"/>
          </w:tcPr>
          <w:p w14:paraId="0C4558A8" w14:textId="77777777" w:rsidR="00470AE4" w:rsidRPr="00C63860" w:rsidRDefault="00470AE4" w:rsidP="00470AE4">
            <w:pPr>
              <w:tabs>
                <w:tab w:val="left" w:pos="1209"/>
              </w:tabs>
              <w:spacing w:before="100" w:beforeAutospacing="1" w:after="100" w:afterAutospacing="1"/>
              <w:contextualSpacing/>
              <w:rPr>
                <w:rFonts w:cstheme="minorHAnsi"/>
                <w:iCs/>
                <w:sz w:val="22"/>
                <w:szCs w:val="22"/>
              </w:rPr>
            </w:pPr>
            <w:r w:rsidRPr="00C63860">
              <w:rPr>
                <w:rFonts w:cstheme="minorHAnsi"/>
                <w:b w:val="0"/>
                <w:bCs w:val="0"/>
                <w:sz w:val="22"/>
                <w:szCs w:val="22"/>
              </w:rPr>
              <w:t>Readmissions up to 1 year</w:t>
            </w:r>
          </w:p>
        </w:tc>
      </w:tr>
      <w:tr w:rsidR="00470AE4" w:rsidRPr="00C63860" w14:paraId="64E6F47F"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1D7D88F" w14:textId="77777777" w:rsidR="00470AE4" w:rsidRPr="00C63860" w:rsidRDefault="00470AE4" w:rsidP="00470AE4">
            <w:pPr>
              <w:spacing w:before="100" w:beforeAutospacing="1" w:after="100" w:afterAutospacing="1"/>
              <w:contextualSpacing/>
              <w:rPr>
                <w:rFonts w:cstheme="minorHAnsi"/>
                <w:b w:val="0"/>
                <w:bCs w:val="0"/>
                <w:iCs/>
                <w:sz w:val="22"/>
                <w:szCs w:val="22"/>
              </w:rPr>
            </w:pPr>
            <w:r w:rsidRPr="00C63860">
              <w:rPr>
                <w:rFonts w:cstheme="minorHAnsi"/>
                <w:b w:val="0"/>
                <w:bCs w:val="0"/>
                <w:iCs/>
                <w:sz w:val="22"/>
                <w:szCs w:val="22"/>
              </w:rPr>
              <w:t>Bed-day costs (£): mean (SD)</w:t>
            </w:r>
          </w:p>
        </w:tc>
        <w:tc>
          <w:tcPr>
            <w:tcW w:w="0" w:type="auto"/>
            <w:shd w:val="clear" w:color="auto" w:fill="auto"/>
          </w:tcPr>
          <w:p w14:paraId="209BA591"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541</w:t>
            </w:r>
          </w:p>
          <w:p w14:paraId="0E2B6752"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highlight w:val="yellow"/>
              </w:rPr>
            </w:pPr>
            <w:r w:rsidRPr="00C63860">
              <w:rPr>
                <w:rFonts w:cstheme="minorHAnsi"/>
                <w:iCs/>
                <w:sz w:val="22"/>
                <w:szCs w:val="22"/>
              </w:rPr>
              <w:t>(2,600)</w:t>
            </w:r>
          </w:p>
        </w:tc>
        <w:tc>
          <w:tcPr>
            <w:tcW w:w="0" w:type="auto"/>
            <w:shd w:val="clear" w:color="auto" w:fill="auto"/>
          </w:tcPr>
          <w:p w14:paraId="32277EBF"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1,410</w:t>
            </w:r>
          </w:p>
          <w:p w14:paraId="30362394"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highlight w:val="yellow"/>
              </w:rPr>
            </w:pPr>
            <w:r w:rsidRPr="00C63860">
              <w:rPr>
                <w:rFonts w:cstheme="minorHAnsi"/>
                <w:iCs/>
                <w:sz w:val="22"/>
                <w:szCs w:val="22"/>
              </w:rPr>
              <w:t>(4,210)</w:t>
            </w:r>
          </w:p>
        </w:tc>
        <w:tc>
          <w:tcPr>
            <w:tcW w:w="0" w:type="auto"/>
            <w:shd w:val="clear" w:color="auto" w:fill="auto"/>
          </w:tcPr>
          <w:p w14:paraId="27FFB577"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1,360</w:t>
            </w:r>
          </w:p>
          <w:p w14:paraId="17E161C3"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(4,930)</w:t>
            </w:r>
          </w:p>
        </w:tc>
        <w:tc>
          <w:tcPr>
            <w:tcW w:w="0" w:type="auto"/>
            <w:shd w:val="clear" w:color="auto" w:fill="auto"/>
          </w:tcPr>
          <w:p w14:paraId="3C702CEA"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2,570</w:t>
            </w:r>
          </w:p>
          <w:p w14:paraId="3677D3E4"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(5,960)</w:t>
            </w:r>
          </w:p>
        </w:tc>
        <w:tc>
          <w:tcPr>
            <w:tcW w:w="0" w:type="auto"/>
            <w:shd w:val="clear" w:color="auto" w:fill="auto"/>
          </w:tcPr>
          <w:p w14:paraId="2E08A53A"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3,440</w:t>
            </w:r>
          </w:p>
          <w:p w14:paraId="1CB75BEB"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(8,030)</w:t>
            </w:r>
          </w:p>
        </w:tc>
        <w:tc>
          <w:tcPr>
            <w:tcW w:w="0" w:type="auto"/>
            <w:shd w:val="clear" w:color="auto" w:fill="auto"/>
          </w:tcPr>
          <w:p w14:paraId="414E028A"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2,420</w:t>
            </w:r>
          </w:p>
          <w:p w14:paraId="68C43C80"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(6,170)</w:t>
            </w:r>
          </w:p>
        </w:tc>
        <w:tc>
          <w:tcPr>
            <w:tcW w:w="0" w:type="auto"/>
            <w:shd w:val="clear" w:color="auto" w:fill="auto"/>
          </w:tcPr>
          <w:p w14:paraId="4B51E892"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1,790</w:t>
            </w:r>
          </w:p>
          <w:p w14:paraId="2053FC5D"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(6,000)</w:t>
            </w:r>
          </w:p>
        </w:tc>
        <w:tc>
          <w:tcPr>
            <w:tcW w:w="0" w:type="auto"/>
            <w:shd w:val="clear" w:color="auto" w:fill="auto"/>
          </w:tcPr>
          <w:p w14:paraId="51052EA9"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2,580</w:t>
            </w:r>
          </w:p>
          <w:p w14:paraId="4EDBF00C"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(7,410)</w:t>
            </w:r>
          </w:p>
        </w:tc>
        <w:tc>
          <w:tcPr>
            <w:tcW w:w="0" w:type="auto"/>
            <w:shd w:val="clear" w:color="auto" w:fill="auto"/>
          </w:tcPr>
          <w:p w14:paraId="6694D05A"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3,250</w:t>
            </w:r>
          </w:p>
          <w:p w14:paraId="7609FE49"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(8,370)</w:t>
            </w:r>
          </w:p>
        </w:tc>
        <w:tc>
          <w:tcPr>
            <w:tcW w:w="0" w:type="auto"/>
            <w:shd w:val="clear" w:color="auto" w:fill="auto"/>
          </w:tcPr>
          <w:p w14:paraId="786D1E71"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4,280</w:t>
            </w:r>
          </w:p>
          <w:p w14:paraId="0D35D2DC"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(9,570)</w:t>
            </w:r>
          </w:p>
        </w:tc>
      </w:tr>
      <w:tr w:rsidR="00470AE4" w:rsidRPr="00C63860" w14:paraId="075A7CC0"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0B3E9D48" w14:textId="77777777" w:rsidR="00470AE4" w:rsidRPr="00C63860" w:rsidRDefault="00470AE4" w:rsidP="00470AE4">
            <w:pPr>
              <w:spacing w:before="100" w:beforeAutospacing="1" w:after="100" w:afterAutospacing="1"/>
              <w:contextualSpacing/>
              <w:rPr>
                <w:rFonts w:cstheme="minorHAnsi"/>
                <w:b w:val="0"/>
                <w:bCs w:val="0"/>
                <w:sz w:val="22"/>
                <w:szCs w:val="22"/>
              </w:rPr>
            </w:pPr>
            <w:r w:rsidRPr="00C63860">
              <w:rPr>
                <w:rFonts w:cstheme="minorHAnsi"/>
                <w:b w:val="0"/>
                <w:bCs w:val="0"/>
                <w:iCs/>
                <w:sz w:val="22"/>
                <w:szCs w:val="22"/>
              </w:rPr>
              <w:t>Cost of diagnostic procedures (£): mean (SD)</w:t>
            </w:r>
          </w:p>
        </w:tc>
        <w:tc>
          <w:tcPr>
            <w:tcW w:w="0" w:type="auto"/>
            <w:tcBorders>
              <w:top w:val="none" w:sz="0" w:space="0" w:color="auto"/>
              <w:bottom w:val="none" w:sz="0" w:space="0" w:color="auto"/>
            </w:tcBorders>
            <w:shd w:val="clear" w:color="auto" w:fill="auto"/>
          </w:tcPr>
          <w:p w14:paraId="7C249145"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22.5</w:t>
            </w:r>
          </w:p>
          <w:p w14:paraId="21E5F429"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iCs/>
                <w:sz w:val="22"/>
                <w:szCs w:val="22"/>
              </w:rPr>
              <w:t>(80.2)</w:t>
            </w:r>
          </w:p>
        </w:tc>
        <w:tc>
          <w:tcPr>
            <w:tcW w:w="0" w:type="auto"/>
            <w:tcBorders>
              <w:top w:val="none" w:sz="0" w:space="0" w:color="auto"/>
              <w:bottom w:val="none" w:sz="0" w:space="0" w:color="auto"/>
            </w:tcBorders>
            <w:shd w:val="clear" w:color="auto" w:fill="auto"/>
          </w:tcPr>
          <w:p w14:paraId="0DD4988C"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70.2</w:t>
            </w:r>
          </w:p>
          <w:p w14:paraId="2FECE98F"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iCs/>
                <w:sz w:val="22"/>
                <w:szCs w:val="22"/>
              </w:rPr>
              <w:t>(142)</w:t>
            </w:r>
          </w:p>
        </w:tc>
        <w:tc>
          <w:tcPr>
            <w:tcW w:w="0" w:type="auto"/>
            <w:tcBorders>
              <w:top w:val="none" w:sz="0" w:space="0" w:color="auto"/>
              <w:bottom w:val="none" w:sz="0" w:space="0" w:color="auto"/>
            </w:tcBorders>
            <w:shd w:val="clear" w:color="auto" w:fill="auto"/>
          </w:tcPr>
          <w:p w14:paraId="2EC8DD5B"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50.0</w:t>
            </w:r>
          </w:p>
          <w:p w14:paraId="6AE0ADB2"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(131)</w:t>
            </w:r>
          </w:p>
        </w:tc>
        <w:tc>
          <w:tcPr>
            <w:tcW w:w="0" w:type="auto"/>
            <w:tcBorders>
              <w:top w:val="none" w:sz="0" w:space="0" w:color="auto"/>
              <w:bottom w:val="none" w:sz="0" w:space="0" w:color="auto"/>
            </w:tcBorders>
            <w:shd w:val="clear" w:color="auto" w:fill="auto"/>
          </w:tcPr>
          <w:p w14:paraId="48746400"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83.3</w:t>
            </w:r>
          </w:p>
          <w:p w14:paraId="342D21DA"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(168)</w:t>
            </w:r>
          </w:p>
        </w:tc>
        <w:tc>
          <w:tcPr>
            <w:tcW w:w="0" w:type="auto"/>
            <w:tcBorders>
              <w:top w:val="none" w:sz="0" w:space="0" w:color="auto"/>
              <w:bottom w:val="none" w:sz="0" w:space="0" w:color="auto"/>
            </w:tcBorders>
            <w:shd w:val="clear" w:color="auto" w:fill="auto"/>
          </w:tcPr>
          <w:p w14:paraId="42787778"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94.4</w:t>
            </w:r>
          </w:p>
          <w:p w14:paraId="228C172E"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iCs/>
                <w:sz w:val="22"/>
                <w:szCs w:val="22"/>
              </w:rPr>
              <w:t>(149)</w:t>
            </w:r>
          </w:p>
        </w:tc>
        <w:tc>
          <w:tcPr>
            <w:tcW w:w="0" w:type="auto"/>
            <w:tcBorders>
              <w:top w:val="none" w:sz="0" w:space="0" w:color="auto"/>
              <w:bottom w:val="none" w:sz="0" w:space="0" w:color="auto"/>
            </w:tcBorders>
            <w:shd w:val="clear" w:color="auto" w:fill="auto"/>
          </w:tcPr>
          <w:p w14:paraId="7361F85B"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146</w:t>
            </w:r>
          </w:p>
          <w:p w14:paraId="1081A130"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iCs/>
                <w:sz w:val="22"/>
                <w:szCs w:val="22"/>
              </w:rPr>
              <w:t>(174)</w:t>
            </w:r>
          </w:p>
        </w:tc>
        <w:tc>
          <w:tcPr>
            <w:tcW w:w="0" w:type="auto"/>
            <w:tcBorders>
              <w:top w:val="none" w:sz="0" w:space="0" w:color="auto"/>
              <w:bottom w:val="none" w:sz="0" w:space="0" w:color="auto"/>
            </w:tcBorders>
            <w:shd w:val="clear" w:color="auto" w:fill="auto"/>
          </w:tcPr>
          <w:p w14:paraId="58117817"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33.5</w:t>
            </w:r>
          </w:p>
          <w:p w14:paraId="3138F967"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iCs/>
                <w:sz w:val="22"/>
                <w:szCs w:val="22"/>
              </w:rPr>
              <w:t>(100)</w:t>
            </w:r>
          </w:p>
        </w:tc>
        <w:tc>
          <w:tcPr>
            <w:tcW w:w="0" w:type="auto"/>
            <w:tcBorders>
              <w:top w:val="none" w:sz="0" w:space="0" w:color="auto"/>
              <w:bottom w:val="none" w:sz="0" w:space="0" w:color="auto"/>
            </w:tcBorders>
            <w:shd w:val="clear" w:color="auto" w:fill="auto"/>
          </w:tcPr>
          <w:p w14:paraId="71C49F3C"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45.7</w:t>
            </w:r>
          </w:p>
          <w:p w14:paraId="1F1DB131"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iCs/>
                <w:sz w:val="22"/>
                <w:szCs w:val="22"/>
              </w:rPr>
              <w:t>(120)</w:t>
            </w:r>
          </w:p>
        </w:tc>
        <w:tc>
          <w:tcPr>
            <w:tcW w:w="0" w:type="auto"/>
            <w:tcBorders>
              <w:top w:val="none" w:sz="0" w:space="0" w:color="auto"/>
              <w:bottom w:val="none" w:sz="0" w:space="0" w:color="auto"/>
            </w:tcBorders>
            <w:shd w:val="clear" w:color="auto" w:fill="auto"/>
          </w:tcPr>
          <w:p w14:paraId="512369F5"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66.3</w:t>
            </w:r>
          </w:p>
          <w:p w14:paraId="56A4CEF1"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(140)</w:t>
            </w:r>
          </w:p>
        </w:tc>
        <w:tc>
          <w:tcPr>
            <w:tcW w:w="0" w:type="auto"/>
            <w:tcBorders>
              <w:top w:val="none" w:sz="0" w:space="0" w:color="auto"/>
              <w:bottom w:val="none" w:sz="0" w:space="0" w:color="auto"/>
            </w:tcBorders>
            <w:shd w:val="clear" w:color="auto" w:fill="auto"/>
          </w:tcPr>
          <w:p w14:paraId="0BA3E5D2"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107</w:t>
            </w:r>
          </w:p>
          <w:p w14:paraId="29B45CD7"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63860">
              <w:rPr>
                <w:rFonts w:cstheme="minorHAnsi"/>
                <w:iCs/>
                <w:sz w:val="22"/>
                <w:szCs w:val="22"/>
              </w:rPr>
              <w:t>(200)</w:t>
            </w:r>
          </w:p>
        </w:tc>
      </w:tr>
      <w:tr w:rsidR="00470AE4" w:rsidRPr="00C63860" w14:paraId="6362D3CB"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57080A8" w14:textId="77777777" w:rsidR="00470AE4" w:rsidRPr="00C63860" w:rsidRDefault="00470AE4" w:rsidP="00470AE4">
            <w:pPr>
              <w:spacing w:before="100" w:beforeAutospacing="1" w:after="100" w:afterAutospacing="1"/>
              <w:contextualSpacing/>
              <w:rPr>
                <w:rFonts w:cstheme="minorHAnsi"/>
                <w:b w:val="0"/>
                <w:bCs w:val="0"/>
                <w:iCs/>
                <w:sz w:val="22"/>
                <w:szCs w:val="22"/>
              </w:rPr>
            </w:pPr>
            <w:r w:rsidRPr="00C63860">
              <w:rPr>
                <w:rFonts w:cstheme="minorHAnsi"/>
                <w:b w:val="0"/>
                <w:bCs w:val="0"/>
                <w:iCs/>
                <w:sz w:val="22"/>
                <w:szCs w:val="22"/>
              </w:rPr>
              <w:t>Cost of operative procedures (£): mean (SD)</w:t>
            </w:r>
          </w:p>
        </w:tc>
        <w:tc>
          <w:tcPr>
            <w:tcW w:w="0" w:type="auto"/>
            <w:shd w:val="clear" w:color="auto" w:fill="auto"/>
          </w:tcPr>
          <w:p w14:paraId="38047BA2"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18.5</w:t>
            </w:r>
          </w:p>
          <w:p w14:paraId="1F07BE16"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(139)</w:t>
            </w:r>
          </w:p>
        </w:tc>
        <w:tc>
          <w:tcPr>
            <w:tcW w:w="0" w:type="auto"/>
            <w:shd w:val="clear" w:color="auto" w:fill="auto"/>
          </w:tcPr>
          <w:p w14:paraId="0714095E"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178</w:t>
            </w:r>
          </w:p>
          <w:p w14:paraId="26B8178B"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(419)</w:t>
            </w:r>
          </w:p>
        </w:tc>
        <w:tc>
          <w:tcPr>
            <w:tcW w:w="0" w:type="auto"/>
            <w:shd w:val="clear" w:color="auto" w:fill="auto"/>
          </w:tcPr>
          <w:p w14:paraId="7F6BF267"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164</w:t>
            </w:r>
          </w:p>
          <w:p w14:paraId="6B3F617C"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(430)</w:t>
            </w:r>
          </w:p>
        </w:tc>
        <w:tc>
          <w:tcPr>
            <w:tcW w:w="0" w:type="auto"/>
            <w:shd w:val="clear" w:color="auto" w:fill="auto"/>
          </w:tcPr>
          <w:p w14:paraId="798BCCDA"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779</w:t>
            </w:r>
          </w:p>
          <w:p w14:paraId="033EBC50"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(689)</w:t>
            </w:r>
          </w:p>
        </w:tc>
        <w:tc>
          <w:tcPr>
            <w:tcW w:w="0" w:type="auto"/>
            <w:shd w:val="clear" w:color="auto" w:fill="auto"/>
          </w:tcPr>
          <w:p w14:paraId="18CAF8F2"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270</w:t>
            </w:r>
          </w:p>
          <w:p w14:paraId="3DBD1204"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(628)</w:t>
            </w:r>
          </w:p>
        </w:tc>
        <w:tc>
          <w:tcPr>
            <w:tcW w:w="0" w:type="auto"/>
            <w:shd w:val="clear" w:color="auto" w:fill="auto"/>
          </w:tcPr>
          <w:p w14:paraId="1968F37B"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137</w:t>
            </w:r>
          </w:p>
          <w:p w14:paraId="6A5168DB"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(496)</w:t>
            </w:r>
          </w:p>
        </w:tc>
        <w:tc>
          <w:tcPr>
            <w:tcW w:w="0" w:type="auto"/>
            <w:shd w:val="clear" w:color="auto" w:fill="auto"/>
          </w:tcPr>
          <w:p w14:paraId="50309C15"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62.7</w:t>
            </w:r>
          </w:p>
          <w:p w14:paraId="73E0BB80"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(242)</w:t>
            </w:r>
          </w:p>
        </w:tc>
        <w:tc>
          <w:tcPr>
            <w:tcW w:w="0" w:type="auto"/>
            <w:shd w:val="clear" w:color="auto" w:fill="auto"/>
          </w:tcPr>
          <w:p w14:paraId="0F861098"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406</w:t>
            </w:r>
          </w:p>
          <w:p w14:paraId="25374AB2"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(457)</w:t>
            </w:r>
          </w:p>
        </w:tc>
        <w:tc>
          <w:tcPr>
            <w:tcW w:w="0" w:type="auto"/>
            <w:shd w:val="clear" w:color="auto" w:fill="auto"/>
          </w:tcPr>
          <w:p w14:paraId="55396056"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121</w:t>
            </w:r>
          </w:p>
          <w:p w14:paraId="15319CA2"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(519)</w:t>
            </w:r>
          </w:p>
        </w:tc>
        <w:tc>
          <w:tcPr>
            <w:tcW w:w="0" w:type="auto"/>
            <w:shd w:val="clear" w:color="auto" w:fill="auto"/>
          </w:tcPr>
          <w:p w14:paraId="2B52C114"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213</w:t>
            </w:r>
          </w:p>
          <w:p w14:paraId="20C5E805"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63860">
              <w:rPr>
                <w:rFonts w:cstheme="minorHAnsi"/>
                <w:iCs/>
                <w:sz w:val="22"/>
                <w:szCs w:val="22"/>
              </w:rPr>
              <w:t>(681)</w:t>
            </w:r>
          </w:p>
        </w:tc>
      </w:tr>
      <w:tr w:rsidR="00470AE4" w:rsidRPr="00C63860" w14:paraId="3AFEB872"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6163F3A0" w14:textId="77777777" w:rsidR="00470AE4" w:rsidRPr="00C63860" w:rsidRDefault="00470AE4" w:rsidP="00470AE4">
            <w:pPr>
              <w:spacing w:before="100" w:beforeAutospacing="1" w:after="100" w:afterAutospacing="1"/>
              <w:contextualSpacing/>
              <w:rPr>
                <w:rFonts w:cstheme="minorHAnsi"/>
                <w:b w:val="0"/>
                <w:bCs w:val="0"/>
                <w:i/>
                <w:iCs/>
                <w:sz w:val="22"/>
                <w:szCs w:val="22"/>
              </w:rPr>
            </w:pPr>
            <w:r w:rsidRPr="00C63860">
              <w:rPr>
                <w:rFonts w:cstheme="minorHAnsi"/>
                <w:b w:val="0"/>
                <w:bCs w:val="0"/>
                <w:i/>
                <w:iCs/>
                <w:sz w:val="22"/>
                <w:szCs w:val="22"/>
              </w:rPr>
              <w:t>Total costs in readmissions: mean (SD)</w:t>
            </w:r>
          </w:p>
        </w:tc>
        <w:tc>
          <w:tcPr>
            <w:tcW w:w="0" w:type="auto"/>
            <w:tcBorders>
              <w:top w:val="none" w:sz="0" w:space="0" w:color="auto"/>
              <w:bottom w:val="none" w:sz="0" w:space="0" w:color="auto"/>
            </w:tcBorders>
            <w:shd w:val="clear" w:color="auto" w:fill="auto"/>
          </w:tcPr>
          <w:p w14:paraId="52863C02"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582</w:t>
            </w:r>
          </w:p>
          <w:p w14:paraId="02B8EE60"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(2,650)</w:t>
            </w:r>
          </w:p>
        </w:tc>
        <w:tc>
          <w:tcPr>
            <w:tcW w:w="0" w:type="auto"/>
            <w:tcBorders>
              <w:top w:val="none" w:sz="0" w:space="0" w:color="auto"/>
              <w:bottom w:val="none" w:sz="0" w:space="0" w:color="auto"/>
            </w:tcBorders>
            <w:shd w:val="clear" w:color="auto" w:fill="auto"/>
          </w:tcPr>
          <w:p w14:paraId="0B9D7D98"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1,660</w:t>
            </w:r>
          </w:p>
          <w:p w14:paraId="33E7E3D9"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(4,340)</w:t>
            </w:r>
          </w:p>
        </w:tc>
        <w:tc>
          <w:tcPr>
            <w:tcW w:w="0" w:type="auto"/>
            <w:tcBorders>
              <w:top w:val="none" w:sz="0" w:space="0" w:color="auto"/>
              <w:bottom w:val="none" w:sz="0" w:space="0" w:color="auto"/>
            </w:tcBorders>
            <w:shd w:val="clear" w:color="auto" w:fill="auto"/>
          </w:tcPr>
          <w:p w14:paraId="621CCC12"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1,570</w:t>
            </w:r>
          </w:p>
          <w:p w14:paraId="05CDADBD"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(5,070)</w:t>
            </w:r>
          </w:p>
        </w:tc>
        <w:tc>
          <w:tcPr>
            <w:tcW w:w="0" w:type="auto"/>
            <w:tcBorders>
              <w:top w:val="none" w:sz="0" w:space="0" w:color="auto"/>
              <w:bottom w:val="none" w:sz="0" w:space="0" w:color="auto"/>
            </w:tcBorders>
            <w:shd w:val="clear" w:color="auto" w:fill="auto"/>
          </w:tcPr>
          <w:p w14:paraId="3E8EE9B4"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3,440</w:t>
            </w:r>
          </w:p>
          <w:p w14:paraId="0BA86128"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(6,080)</w:t>
            </w:r>
          </w:p>
        </w:tc>
        <w:tc>
          <w:tcPr>
            <w:tcW w:w="0" w:type="auto"/>
            <w:tcBorders>
              <w:top w:val="none" w:sz="0" w:space="0" w:color="auto"/>
              <w:bottom w:val="none" w:sz="0" w:space="0" w:color="auto"/>
            </w:tcBorders>
            <w:shd w:val="clear" w:color="auto" w:fill="auto"/>
          </w:tcPr>
          <w:p w14:paraId="55A3E8F0"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3,810</w:t>
            </w:r>
          </w:p>
          <w:p w14:paraId="0C2C1BE1"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(6,370)</w:t>
            </w:r>
          </w:p>
        </w:tc>
        <w:tc>
          <w:tcPr>
            <w:tcW w:w="0" w:type="auto"/>
            <w:tcBorders>
              <w:top w:val="none" w:sz="0" w:space="0" w:color="auto"/>
              <w:bottom w:val="none" w:sz="0" w:space="0" w:color="auto"/>
            </w:tcBorders>
            <w:shd w:val="clear" w:color="auto" w:fill="auto"/>
          </w:tcPr>
          <w:p w14:paraId="13362E4E"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2,710</w:t>
            </w:r>
          </w:p>
          <w:p w14:paraId="209B1638"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(6,740)</w:t>
            </w:r>
          </w:p>
        </w:tc>
        <w:tc>
          <w:tcPr>
            <w:tcW w:w="0" w:type="auto"/>
            <w:tcBorders>
              <w:top w:val="none" w:sz="0" w:space="0" w:color="auto"/>
              <w:bottom w:val="none" w:sz="0" w:space="0" w:color="auto"/>
            </w:tcBorders>
            <w:shd w:val="clear" w:color="auto" w:fill="auto"/>
          </w:tcPr>
          <w:p w14:paraId="78B01870"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1,880</w:t>
            </w:r>
          </w:p>
          <w:p w14:paraId="16A68670"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(6,100)</w:t>
            </w:r>
          </w:p>
        </w:tc>
        <w:tc>
          <w:tcPr>
            <w:tcW w:w="0" w:type="auto"/>
            <w:tcBorders>
              <w:top w:val="none" w:sz="0" w:space="0" w:color="auto"/>
              <w:bottom w:val="none" w:sz="0" w:space="0" w:color="auto"/>
            </w:tcBorders>
            <w:shd w:val="clear" w:color="auto" w:fill="auto"/>
          </w:tcPr>
          <w:p w14:paraId="0D803302"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3,030</w:t>
            </w:r>
          </w:p>
          <w:p w14:paraId="0A318FAC"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(7,470)</w:t>
            </w:r>
          </w:p>
        </w:tc>
        <w:tc>
          <w:tcPr>
            <w:tcW w:w="0" w:type="auto"/>
            <w:tcBorders>
              <w:top w:val="none" w:sz="0" w:space="0" w:color="auto"/>
              <w:bottom w:val="none" w:sz="0" w:space="0" w:color="auto"/>
            </w:tcBorders>
            <w:shd w:val="clear" w:color="auto" w:fill="auto"/>
          </w:tcPr>
          <w:p w14:paraId="2A6178F3"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3,440</w:t>
            </w:r>
          </w:p>
          <w:p w14:paraId="7869D658"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(8,580)</w:t>
            </w:r>
          </w:p>
        </w:tc>
        <w:tc>
          <w:tcPr>
            <w:tcW w:w="0" w:type="auto"/>
            <w:tcBorders>
              <w:top w:val="none" w:sz="0" w:space="0" w:color="auto"/>
              <w:bottom w:val="none" w:sz="0" w:space="0" w:color="auto"/>
            </w:tcBorders>
            <w:shd w:val="clear" w:color="auto" w:fill="auto"/>
          </w:tcPr>
          <w:p w14:paraId="0F50E688"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4,600</w:t>
            </w:r>
          </w:p>
          <w:p w14:paraId="2DA8ACEC" w14:textId="77777777" w:rsidR="00470AE4" w:rsidRPr="00C63860"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63860">
              <w:rPr>
                <w:rFonts w:cstheme="minorHAnsi"/>
                <w:bCs/>
                <w:i/>
                <w:iCs/>
                <w:sz w:val="22"/>
                <w:szCs w:val="22"/>
              </w:rPr>
              <w:t>(9,860)</w:t>
            </w:r>
          </w:p>
        </w:tc>
      </w:tr>
      <w:tr w:rsidR="00470AE4" w:rsidRPr="00C63860" w14:paraId="40F4B69B"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8F6B7AB" w14:textId="77777777" w:rsidR="00470AE4" w:rsidRPr="00C63860" w:rsidRDefault="00470AE4" w:rsidP="00470AE4">
            <w:pPr>
              <w:spacing w:before="100" w:beforeAutospacing="1" w:after="100" w:afterAutospacing="1"/>
              <w:contextualSpacing/>
              <w:rPr>
                <w:rFonts w:cstheme="minorHAnsi"/>
                <w:b w:val="0"/>
                <w:bCs w:val="0"/>
                <w:i/>
                <w:iCs/>
                <w:sz w:val="22"/>
                <w:szCs w:val="22"/>
              </w:rPr>
            </w:pPr>
            <w:r w:rsidRPr="00C63860">
              <w:rPr>
                <w:rFonts w:cstheme="minorHAnsi"/>
                <w:b w:val="0"/>
                <w:bCs w:val="0"/>
                <w:i/>
                <w:iCs/>
                <w:sz w:val="22"/>
                <w:szCs w:val="22"/>
              </w:rPr>
              <w:t>Total costs at one year: mean (SD)</w:t>
            </w:r>
          </w:p>
        </w:tc>
        <w:tc>
          <w:tcPr>
            <w:tcW w:w="0" w:type="auto"/>
            <w:shd w:val="clear" w:color="auto" w:fill="auto"/>
          </w:tcPr>
          <w:p w14:paraId="0BF0F530"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3,360</w:t>
            </w:r>
          </w:p>
          <w:p w14:paraId="35FAF2A7"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(3,520)</w:t>
            </w:r>
          </w:p>
        </w:tc>
        <w:tc>
          <w:tcPr>
            <w:tcW w:w="0" w:type="auto"/>
            <w:shd w:val="clear" w:color="auto" w:fill="auto"/>
          </w:tcPr>
          <w:p w14:paraId="773BBDB1"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3,760</w:t>
            </w:r>
          </w:p>
          <w:p w14:paraId="49E92503"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(5,660)</w:t>
            </w:r>
          </w:p>
        </w:tc>
        <w:tc>
          <w:tcPr>
            <w:tcW w:w="0" w:type="auto"/>
            <w:shd w:val="clear" w:color="auto" w:fill="auto"/>
          </w:tcPr>
          <w:p w14:paraId="103DCBB8"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5,200</w:t>
            </w:r>
          </w:p>
          <w:p w14:paraId="2DBD0D57"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(6,450)</w:t>
            </w:r>
          </w:p>
        </w:tc>
        <w:tc>
          <w:tcPr>
            <w:tcW w:w="0" w:type="auto"/>
            <w:shd w:val="clear" w:color="auto" w:fill="auto"/>
          </w:tcPr>
          <w:p w14:paraId="48B57E9F"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5,440</w:t>
            </w:r>
          </w:p>
          <w:p w14:paraId="75C7868E"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(6,900)</w:t>
            </w:r>
          </w:p>
        </w:tc>
        <w:tc>
          <w:tcPr>
            <w:tcW w:w="0" w:type="auto"/>
            <w:shd w:val="clear" w:color="auto" w:fill="auto"/>
          </w:tcPr>
          <w:p w14:paraId="0281EBE7"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16,500 (16,000)</w:t>
            </w:r>
          </w:p>
        </w:tc>
        <w:tc>
          <w:tcPr>
            <w:tcW w:w="0" w:type="auto"/>
            <w:shd w:val="clear" w:color="auto" w:fill="auto"/>
          </w:tcPr>
          <w:p w14:paraId="4D43A933"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4,670</w:t>
            </w:r>
          </w:p>
          <w:p w14:paraId="37BEF0C8"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(7,150)</w:t>
            </w:r>
          </w:p>
        </w:tc>
        <w:tc>
          <w:tcPr>
            <w:tcW w:w="0" w:type="auto"/>
            <w:shd w:val="clear" w:color="auto" w:fill="auto"/>
          </w:tcPr>
          <w:p w14:paraId="3327FEAD"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4,960</w:t>
            </w:r>
          </w:p>
          <w:p w14:paraId="2061FA68"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(9,670)</w:t>
            </w:r>
          </w:p>
        </w:tc>
        <w:tc>
          <w:tcPr>
            <w:tcW w:w="0" w:type="auto"/>
            <w:shd w:val="clear" w:color="auto" w:fill="auto"/>
          </w:tcPr>
          <w:p w14:paraId="69D02D2A"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4,280</w:t>
            </w:r>
          </w:p>
          <w:p w14:paraId="726185BD"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(8,680)</w:t>
            </w:r>
          </w:p>
        </w:tc>
        <w:tc>
          <w:tcPr>
            <w:tcW w:w="0" w:type="auto"/>
            <w:shd w:val="clear" w:color="auto" w:fill="auto"/>
          </w:tcPr>
          <w:p w14:paraId="22548991"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12,300</w:t>
            </w:r>
          </w:p>
          <w:p w14:paraId="202E345A"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(14,500)</w:t>
            </w:r>
          </w:p>
        </w:tc>
        <w:tc>
          <w:tcPr>
            <w:tcW w:w="0" w:type="auto"/>
            <w:shd w:val="clear" w:color="auto" w:fill="auto"/>
          </w:tcPr>
          <w:p w14:paraId="279B2EC6"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7,790</w:t>
            </w:r>
          </w:p>
          <w:p w14:paraId="075E1FC0" w14:textId="77777777" w:rsidR="00470AE4" w:rsidRPr="00C63860"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63860">
              <w:rPr>
                <w:rFonts w:cstheme="minorHAnsi"/>
                <w:bCs/>
                <w:i/>
                <w:iCs/>
                <w:sz w:val="22"/>
                <w:szCs w:val="22"/>
              </w:rPr>
              <w:t>(15,800)</w:t>
            </w:r>
          </w:p>
        </w:tc>
      </w:tr>
    </w:tbl>
    <w:p w14:paraId="2EF2AE98" w14:textId="77777777" w:rsidR="00C63860" w:rsidRPr="00C63860" w:rsidRDefault="00C63860" w:rsidP="00470AE4">
      <w:pPr>
        <w:rPr>
          <w:b/>
          <w:bCs/>
          <w:iCs/>
        </w:rPr>
      </w:pPr>
    </w:p>
    <w:p w14:paraId="638581A4" w14:textId="6EB98387" w:rsidR="006B4614" w:rsidRPr="00C63860" w:rsidRDefault="00C63860" w:rsidP="006B4614">
      <w:pPr>
        <w:pStyle w:val="Caption"/>
        <w:rPr>
          <w:b/>
          <w:bCs/>
          <w:iCs w:val="0"/>
          <w:color w:val="auto"/>
          <w:sz w:val="22"/>
          <w:szCs w:val="22"/>
        </w:rPr>
      </w:pPr>
      <w:bookmarkStart w:id="84" w:name="_Toc86670788"/>
      <w:r w:rsidRPr="00C63860">
        <w:rPr>
          <w:b/>
          <w:bCs/>
          <w:color w:val="FF0000"/>
          <w:sz w:val="22"/>
          <w:szCs w:val="22"/>
        </w:rPr>
        <w:t xml:space="preserve">Table </w:t>
      </w:r>
      <w:r w:rsidRPr="00C63860">
        <w:rPr>
          <w:b/>
          <w:bCs/>
          <w:noProof/>
          <w:color w:val="FF0000"/>
          <w:sz w:val="22"/>
          <w:szCs w:val="22"/>
        </w:rPr>
        <w:t>16</w:t>
      </w:r>
      <w:r w:rsidR="006B4614" w:rsidRPr="00C63860">
        <w:rPr>
          <w:b/>
          <w:bCs/>
          <w:color w:val="auto"/>
          <w:sz w:val="22"/>
          <w:szCs w:val="22"/>
        </w:rPr>
        <w:t>: Estimated resource use for emergency surgery and non-emergency surgery strategies from the LIV approach, which adjusts for confounding</w:t>
      </w:r>
      <w:bookmarkEnd w:id="84"/>
    </w:p>
    <w:tbl>
      <w:tblPr>
        <w:tblW w:w="0" w:type="auto"/>
        <w:tblCellMar>
          <w:top w:w="40" w:type="dxa"/>
          <w:left w:w="60" w:type="dxa"/>
          <w:bottom w:w="40" w:type="dxa"/>
          <w:right w:w="60" w:type="dxa"/>
        </w:tblCellMar>
        <w:tblLook w:val="01E0" w:firstRow="1" w:lastRow="1" w:firstColumn="1" w:lastColumn="1" w:noHBand="0" w:noVBand="0"/>
      </w:tblPr>
      <w:tblGrid>
        <w:gridCol w:w="2121"/>
        <w:gridCol w:w="666"/>
        <w:gridCol w:w="666"/>
        <w:gridCol w:w="702"/>
        <w:gridCol w:w="701"/>
        <w:gridCol w:w="701"/>
        <w:gridCol w:w="701"/>
        <w:gridCol w:w="683"/>
        <w:gridCol w:w="683"/>
        <w:gridCol w:w="701"/>
        <w:gridCol w:w="701"/>
      </w:tblGrid>
      <w:tr w:rsidR="00470AE4" w:rsidRPr="00C63860" w14:paraId="1B6876EA" w14:textId="77777777" w:rsidTr="00C63860">
        <w:trPr>
          <w:cantSplit/>
        </w:trPr>
        <w:tc>
          <w:tcPr>
            <w:tcW w:w="0" w:type="auto"/>
            <w:shd w:val="clear" w:color="auto" w:fill="auto"/>
          </w:tcPr>
          <w:p w14:paraId="4FB63E53" w14:textId="77777777" w:rsidR="00470AE4" w:rsidRPr="00C63860" w:rsidRDefault="00470AE4" w:rsidP="00470AE4">
            <w:pPr>
              <w:rPr>
                <w:rFonts w:cstheme="minorHAnsi"/>
                <w:b/>
              </w:rPr>
            </w:pPr>
          </w:p>
        </w:tc>
        <w:tc>
          <w:tcPr>
            <w:tcW w:w="0" w:type="auto"/>
            <w:gridSpan w:val="2"/>
            <w:shd w:val="clear" w:color="auto" w:fill="auto"/>
            <w:vAlign w:val="center"/>
          </w:tcPr>
          <w:p w14:paraId="29AF859C" w14:textId="77777777" w:rsidR="00C63860" w:rsidRPr="00C63860" w:rsidRDefault="00470AE4" w:rsidP="00470AE4">
            <w:pPr>
              <w:jc w:val="center"/>
              <w:rPr>
                <w:rFonts w:cstheme="minorHAnsi"/>
                <w:b/>
                <w:bCs/>
              </w:rPr>
            </w:pPr>
            <w:r w:rsidRPr="00C63860">
              <w:rPr>
                <w:rFonts w:cstheme="minorHAnsi"/>
                <w:b/>
                <w:bCs/>
              </w:rPr>
              <w:t>Appendicitis</w:t>
            </w:r>
          </w:p>
          <w:p w14:paraId="19B8C211" w14:textId="4FE1EF8B" w:rsidR="00470AE4" w:rsidRPr="00C63860" w:rsidRDefault="00470AE4" w:rsidP="00470AE4">
            <w:pPr>
              <w:contextualSpacing/>
              <w:jc w:val="center"/>
              <w:rPr>
                <w:rFonts w:eastAsia="DengXian"/>
                <w:b/>
                <w:bCs/>
                <w:lang w:eastAsia="zh-CN"/>
              </w:rPr>
            </w:pPr>
            <w:r w:rsidRPr="00C63860">
              <w:rPr>
                <w:rFonts w:cstheme="minorHAnsi"/>
                <w:b/>
                <w:bCs/>
              </w:rPr>
              <w:t>(N=268,144)</w:t>
            </w:r>
          </w:p>
        </w:tc>
        <w:tc>
          <w:tcPr>
            <w:tcW w:w="0" w:type="auto"/>
            <w:gridSpan w:val="2"/>
            <w:shd w:val="clear" w:color="auto" w:fill="auto"/>
          </w:tcPr>
          <w:p w14:paraId="5DF52B2A" w14:textId="77777777" w:rsidR="00C63860" w:rsidRPr="00C63860" w:rsidRDefault="00470AE4" w:rsidP="00470AE4">
            <w:pPr>
              <w:spacing w:before="100" w:beforeAutospacing="1" w:after="100" w:afterAutospacing="1"/>
              <w:contextualSpacing/>
              <w:jc w:val="center"/>
              <w:rPr>
                <w:rFonts w:cstheme="minorHAnsi"/>
                <w:b/>
                <w:bCs/>
              </w:rPr>
            </w:pPr>
            <w:r w:rsidRPr="00C63860">
              <w:rPr>
                <w:rFonts w:cstheme="minorHAnsi"/>
                <w:b/>
                <w:bCs/>
              </w:rPr>
              <w:t>Cholelithiasis</w:t>
            </w:r>
          </w:p>
          <w:p w14:paraId="0C14792B" w14:textId="4DA56A8B" w:rsidR="00470AE4" w:rsidRPr="00C63860" w:rsidRDefault="00470AE4" w:rsidP="00470AE4">
            <w:pPr>
              <w:jc w:val="center"/>
              <w:rPr>
                <w:rFonts w:cstheme="minorHAnsi"/>
                <w:b/>
              </w:rPr>
            </w:pPr>
            <w:r w:rsidRPr="00C63860">
              <w:rPr>
                <w:rFonts w:cstheme="minorHAnsi"/>
                <w:b/>
                <w:bCs/>
              </w:rPr>
              <w:t>(N=</w:t>
            </w:r>
            <w:r w:rsidRPr="00C63860">
              <w:rPr>
                <w:b/>
                <w:bCs/>
              </w:rPr>
              <w:t xml:space="preserve"> </w:t>
            </w:r>
            <w:r w:rsidRPr="00C63860">
              <w:rPr>
                <w:rFonts w:cstheme="minorHAnsi"/>
                <w:b/>
                <w:bCs/>
              </w:rPr>
              <w:t>240,977)</w:t>
            </w:r>
          </w:p>
        </w:tc>
        <w:tc>
          <w:tcPr>
            <w:tcW w:w="0" w:type="auto"/>
            <w:gridSpan w:val="2"/>
            <w:shd w:val="clear" w:color="auto" w:fill="auto"/>
          </w:tcPr>
          <w:p w14:paraId="253673F2" w14:textId="77777777" w:rsidR="00C63860" w:rsidRPr="00C63860" w:rsidRDefault="00470AE4" w:rsidP="00470AE4">
            <w:pPr>
              <w:jc w:val="center"/>
              <w:rPr>
                <w:rFonts w:cstheme="minorHAnsi"/>
                <w:b/>
                <w:bCs/>
              </w:rPr>
            </w:pPr>
            <w:r w:rsidRPr="00C63860">
              <w:rPr>
                <w:rFonts w:cstheme="minorHAnsi"/>
                <w:b/>
                <w:bCs/>
              </w:rPr>
              <w:t>Diverticular disease</w:t>
            </w:r>
          </w:p>
          <w:p w14:paraId="2A3E337F" w14:textId="2185CDD7" w:rsidR="00470AE4" w:rsidRPr="00C63860" w:rsidRDefault="00470AE4" w:rsidP="00470AE4">
            <w:pPr>
              <w:jc w:val="center"/>
              <w:rPr>
                <w:rFonts w:cstheme="minorHAnsi"/>
                <w:b/>
              </w:rPr>
            </w:pPr>
            <w:r w:rsidRPr="00C63860">
              <w:rPr>
                <w:rFonts w:cstheme="minorHAnsi"/>
                <w:b/>
                <w:bCs/>
              </w:rPr>
              <w:t>(N=138,869)</w:t>
            </w:r>
          </w:p>
        </w:tc>
        <w:tc>
          <w:tcPr>
            <w:tcW w:w="0" w:type="auto"/>
            <w:gridSpan w:val="2"/>
            <w:shd w:val="clear" w:color="auto" w:fill="auto"/>
          </w:tcPr>
          <w:p w14:paraId="78595272" w14:textId="77777777" w:rsidR="00C63860" w:rsidRPr="00C63860" w:rsidRDefault="00470AE4" w:rsidP="00470AE4">
            <w:pPr>
              <w:spacing w:before="100" w:beforeAutospacing="1" w:after="100" w:afterAutospacing="1"/>
              <w:contextualSpacing/>
              <w:jc w:val="center"/>
              <w:rPr>
                <w:rFonts w:cstheme="minorHAnsi"/>
                <w:b/>
                <w:bCs/>
              </w:rPr>
            </w:pPr>
            <w:r w:rsidRPr="00C63860">
              <w:rPr>
                <w:rFonts w:cstheme="minorHAnsi"/>
                <w:b/>
                <w:bCs/>
              </w:rPr>
              <w:t>Hernia</w:t>
            </w:r>
          </w:p>
          <w:p w14:paraId="50B63E04" w14:textId="350ABF4A" w:rsidR="00470AE4" w:rsidRPr="00C63860" w:rsidRDefault="00470AE4" w:rsidP="00470AE4">
            <w:pPr>
              <w:jc w:val="center"/>
              <w:rPr>
                <w:rFonts w:cstheme="minorHAnsi"/>
                <w:b/>
              </w:rPr>
            </w:pPr>
            <w:r w:rsidRPr="00C63860">
              <w:rPr>
                <w:rFonts w:cstheme="minorHAnsi"/>
                <w:b/>
                <w:bCs/>
              </w:rPr>
              <w:t>(N=106,432)</w:t>
            </w:r>
          </w:p>
        </w:tc>
        <w:tc>
          <w:tcPr>
            <w:tcW w:w="0" w:type="auto"/>
            <w:gridSpan w:val="2"/>
            <w:shd w:val="clear" w:color="auto" w:fill="auto"/>
          </w:tcPr>
          <w:p w14:paraId="0820D611" w14:textId="77777777" w:rsidR="00C63860" w:rsidRPr="00C63860" w:rsidRDefault="00470AE4" w:rsidP="00470AE4">
            <w:pPr>
              <w:spacing w:before="100" w:beforeAutospacing="1" w:after="100" w:afterAutospacing="1"/>
              <w:contextualSpacing/>
              <w:jc w:val="center"/>
              <w:rPr>
                <w:rFonts w:cstheme="minorHAnsi"/>
                <w:b/>
                <w:bCs/>
              </w:rPr>
            </w:pPr>
            <w:r w:rsidRPr="00C63860">
              <w:rPr>
                <w:rFonts w:cstheme="minorHAnsi"/>
                <w:b/>
                <w:bCs/>
              </w:rPr>
              <w:t>Intestinal obstruction</w:t>
            </w:r>
          </w:p>
          <w:p w14:paraId="19C4511D" w14:textId="15BCD415" w:rsidR="00470AE4" w:rsidRPr="00C63860" w:rsidRDefault="00470AE4" w:rsidP="00470AE4">
            <w:pPr>
              <w:jc w:val="center"/>
              <w:rPr>
                <w:rFonts w:cstheme="minorHAnsi"/>
                <w:b/>
              </w:rPr>
            </w:pPr>
            <w:r w:rsidRPr="00C63860">
              <w:rPr>
                <w:rFonts w:cstheme="minorHAnsi"/>
                <w:b/>
                <w:bCs/>
              </w:rPr>
              <w:t>(N=133,073)</w:t>
            </w:r>
          </w:p>
        </w:tc>
      </w:tr>
      <w:tr w:rsidR="00C63860" w:rsidRPr="00C63860" w14:paraId="3748FBAB" w14:textId="77777777" w:rsidTr="00C63860">
        <w:trPr>
          <w:cantSplit/>
        </w:trPr>
        <w:tc>
          <w:tcPr>
            <w:tcW w:w="0" w:type="auto"/>
            <w:shd w:val="clear" w:color="auto" w:fill="auto"/>
          </w:tcPr>
          <w:p w14:paraId="11A6BD63" w14:textId="77777777" w:rsidR="00470AE4" w:rsidRPr="00C63860" w:rsidRDefault="00470AE4" w:rsidP="00470AE4">
            <w:pPr>
              <w:rPr>
                <w:rFonts w:cstheme="minorHAnsi"/>
                <w:b/>
              </w:rPr>
            </w:pPr>
          </w:p>
        </w:tc>
        <w:tc>
          <w:tcPr>
            <w:tcW w:w="0" w:type="auto"/>
            <w:shd w:val="clear" w:color="auto" w:fill="auto"/>
            <w:vAlign w:val="center"/>
          </w:tcPr>
          <w:p w14:paraId="44BC324A" w14:textId="77777777" w:rsidR="00470AE4" w:rsidRPr="00C63860" w:rsidRDefault="00470AE4" w:rsidP="00470AE4">
            <w:pPr>
              <w:contextualSpacing/>
              <w:jc w:val="center"/>
              <w:rPr>
                <w:rFonts w:eastAsia="DengXian"/>
                <w:b/>
                <w:bCs/>
                <w:lang w:eastAsia="zh-CN"/>
              </w:rPr>
            </w:pPr>
            <w:r w:rsidRPr="00C63860">
              <w:rPr>
                <w:rFonts w:eastAsia="DengXian"/>
                <w:b/>
                <w:bCs/>
                <w:lang w:eastAsia="zh-CN"/>
              </w:rPr>
              <w:t>ES</w:t>
            </w:r>
          </w:p>
        </w:tc>
        <w:tc>
          <w:tcPr>
            <w:tcW w:w="0" w:type="auto"/>
            <w:shd w:val="clear" w:color="auto" w:fill="auto"/>
            <w:vAlign w:val="center"/>
          </w:tcPr>
          <w:p w14:paraId="02E22AFC" w14:textId="77777777" w:rsidR="00470AE4" w:rsidRPr="00C63860" w:rsidRDefault="00470AE4" w:rsidP="00470AE4">
            <w:pPr>
              <w:contextualSpacing/>
              <w:jc w:val="center"/>
              <w:rPr>
                <w:rFonts w:eastAsia="DengXian"/>
                <w:b/>
                <w:bCs/>
                <w:lang w:eastAsia="zh-CN"/>
              </w:rPr>
            </w:pPr>
            <w:r w:rsidRPr="00C63860">
              <w:rPr>
                <w:rFonts w:eastAsia="DengXian"/>
                <w:b/>
                <w:bCs/>
                <w:lang w:eastAsia="zh-CN"/>
              </w:rPr>
              <w:t>NES</w:t>
            </w:r>
          </w:p>
        </w:tc>
        <w:tc>
          <w:tcPr>
            <w:tcW w:w="0" w:type="auto"/>
            <w:shd w:val="clear" w:color="auto" w:fill="auto"/>
          </w:tcPr>
          <w:p w14:paraId="3997C0D1" w14:textId="77777777" w:rsidR="00470AE4" w:rsidRPr="00C63860" w:rsidRDefault="00470AE4" w:rsidP="00470AE4">
            <w:pPr>
              <w:spacing w:before="100" w:beforeAutospacing="1" w:after="100" w:afterAutospacing="1"/>
              <w:contextualSpacing/>
              <w:jc w:val="center"/>
              <w:rPr>
                <w:rFonts w:cstheme="minorHAnsi"/>
                <w:b/>
              </w:rPr>
            </w:pPr>
            <w:r w:rsidRPr="00C63860">
              <w:rPr>
                <w:rFonts w:cstheme="minorHAnsi"/>
                <w:b/>
              </w:rPr>
              <w:t>ES</w:t>
            </w:r>
          </w:p>
        </w:tc>
        <w:tc>
          <w:tcPr>
            <w:tcW w:w="0" w:type="auto"/>
            <w:shd w:val="clear" w:color="auto" w:fill="auto"/>
          </w:tcPr>
          <w:p w14:paraId="0DCCDF68" w14:textId="77777777" w:rsidR="00470AE4" w:rsidRPr="00C63860" w:rsidRDefault="00470AE4" w:rsidP="00470AE4">
            <w:pPr>
              <w:spacing w:before="100" w:beforeAutospacing="1" w:after="100" w:afterAutospacing="1"/>
              <w:contextualSpacing/>
              <w:jc w:val="center"/>
              <w:rPr>
                <w:rFonts w:cstheme="minorHAnsi"/>
                <w:b/>
              </w:rPr>
            </w:pPr>
            <w:r w:rsidRPr="00C63860">
              <w:rPr>
                <w:rFonts w:cstheme="minorHAnsi"/>
                <w:b/>
              </w:rPr>
              <w:t>NES</w:t>
            </w:r>
          </w:p>
        </w:tc>
        <w:tc>
          <w:tcPr>
            <w:tcW w:w="0" w:type="auto"/>
            <w:shd w:val="clear" w:color="auto" w:fill="auto"/>
            <w:vAlign w:val="center"/>
          </w:tcPr>
          <w:p w14:paraId="07A35C38" w14:textId="77777777" w:rsidR="00470AE4" w:rsidRPr="00C63860" w:rsidRDefault="00470AE4" w:rsidP="00470AE4">
            <w:pPr>
              <w:contextualSpacing/>
              <w:jc w:val="center"/>
              <w:rPr>
                <w:rFonts w:eastAsia="DengXian"/>
                <w:b/>
                <w:bCs/>
                <w:lang w:eastAsia="zh-CN"/>
              </w:rPr>
            </w:pPr>
            <w:r w:rsidRPr="00C63860">
              <w:rPr>
                <w:rFonts w:eastAsia="DengXian"/>
                <w:b/>
                <w:bCs/>
                <w:lang w:eastAsia="zh-CN"/>
              </w:rPr>
              <w:t>ES</w:t>
            </w:r>
          </w:p>
        </w:tc>
        <w:tc>
          <w:tcPr>
            <w:tcW w:w="0" w:type="auto"/>
            <w:shd w:val="clear" w:color="auto" w:fill="auto"/>
            <w:vAlign w:val="center"/>
          </w:tcPr>
          <w:p w14:paraId="2115961B" w14:textId="77777777" w:rsidR="00470AE4" w:rsidRPr="00C63860" w:rsidRDefault="00470AE4" w:rsidP="00470AE4">
            <w:pPr>
              <w:contextualSpacing/>
              <w:jc w:val="center"/>
              <w:rPr>
                <w:rFonts w:eastAsia="DengXian"/>
                <w:b/>
                <w:bCs/>
                <w:lang w:eastAsia="zh-CN"/>
              </w:rPr>
            </w:pPr>
            <w:r w:rsidRPr="00C63860">
              <w:rPr>
                <w:rFonts w:eastAsia="DengXian"/>
                <w:b/>
                <w:bCs/>
                <w:lang w:eastAsia="zh-CN"/>
              </w:rPr>
              <w:t>NES</w:t>
            </w:r>
          </w:p>
        </w:tc>
        <w:tc>
          <w:tcPr>
            <w:tcW w:w="0" w:type="auto"/>
            <w:shd w:val="clear" w:color="auto" w:fill="auto"/>
          </w:tcPr>
          <w:p w14:paraId="542C4168" w14:textId="77777777" w:rsidR="00470AE4" w:rsidRPr="00C63860" w:rsidRDefault="00470AE4" w:rsidP="00470AE4">
            <w:pPr>
              <w:spacing w:before="100" w:beforeAutospacing="1" w:after="100" w:afterAutospacing="1"/>
              <w:contextualSpacing/>
              <w:jc w:val="center"/>
              <w:rPr>
                <w:rFonts w:cstheme="minorHAnsi"/>
                <w:b/>
              </w:rPr>
            </w:pPr>
            <w:r w:rsidRPr="00C63860">
              <w:rPr>
                <w:rFonts w:cstheme="minorHAnsi"/>
                <w:b/>
              </w:rPr>
              <w:t xml:space="preserve">ES </w:t>
            </w:r>
          </w:p>
        </w:tc>
        <w:tc>
          <w:tcPr>
            <w:tcW w:w="0" w:type="auto"/>
            <w:shd w:val="clear" w:color="auto" w:fill="auto"/>
          </w:tcPr>
          <w:p w14:paraId="40D60414" w14:textId="77777777" w:rsidR="00470AE4" w:rsidRPr="00C63860" w:rsidRDefault="00470AE4" w:rsidP="00470AE4">
            <w:pPr>
              <w:spacing w:before="100" w:beforeAutospacing="1" w:after="100" w:afterAutospacing="1"/>
              <w:contextualSpacing/>
              <w:jc w:val="center"/>
              <w:rPr>
                <w:rFonts w:cstheme="minorHAnsi"/>
                <w:b/>
              </w:rPr>
            </w:pPr>
            <w:r w:rsidRPr="00C63860">
              <w:rPr>
                <w:rFonts w:cstheme="minorHAnsi"/>
                <w:b/>
              </w:rPr>
              <w:t xml:space="preserve">NES </w:t>
            </w:r>
          </w:p>
        </w:tc>
        <w:tc>
          <w:tcPr>
            <w:tcW w:w="0" w:type="auto"/>
            <w:shd w:val="clear" w:color="auto" w:fill="auto"/>
          </w:tcPr>
          <w:p w14:paraId="6D67502D" w14:textId="77777777" w:rsidR="00470AE4" w:rsidRPr="00C63860" w:rsidRDefault="00470AE4" w:rsidP="00470AE4">
            <w:pPr>
              <w:spacing w:before="100" w:beforeAutospacing="1" w:after="100" w:afterAutospacing="1"/>
              <w:contextualSpacing/>
              <w:jc w:val="center"/>
              <w:rPr>
                <w:rFonts w:cstheme="minorHAnsi"/>
                <w:b/>
              </w:rPr>
            </w:pPr>
            <w:r w:rsidRPr="00C63860">
              <w:rPr>
                <w:rFonts w:cstheme="minorHAnsi"/>
                <w:b/>
              </w:rPr>
              <w:t>ES</w:t>
            </w:r>
          </w:p>
        </w:tc>
        <w:tc>
          <w:tcPr>
            <w:tcW w:w="0" w:type="auto"/>
            <w:shd w:val="clear" w:color="auto" w:fill="auto"/>
          </w:tcPr>
          <w:p w14:paraId="2F7BB12E" w14:textId="77777777" w:rsidR="00470AE4" w:rsidRPr="00C63860" w:rsidRDefault="00470AE4" w:rsidP="00470AE4">
            <w:pPr>
              <w:spacing w:before="100" w:beforeAutospacing="1" w:after="100" w:afterAutospacing="1"/>
              <w:contextualSpacing/>
              <w:jc w:val="center"/>
              <w:rPr>
                <w:rFonts w:cstheme="minorHAnsi"/>
                <w:b/>
              </w:rPr>
            </w:pPr>
            <w:r w:rsidRPr="00C63860">
              <w:rPr>
                <w:rFonts w:cstheme="minorHAnsi"/>
                <w:b/>
              </w:rPr>
              <w:t>NES</w:t>
            </w:r>
          </w:p>
        </w:tc>
      </w:tr>
      <w:tr w:rsidR="00C63860" w:rsidRPr="00C63860" w14:paraId="4132AAD5" w14:textId="77777777" w:rsidTr="00C63860">
        <w:trPr>
          <w:cantSplit/>
        </w:trPr>
        <w:tc>
          <w:tcPr>
            <w:tcW w:w="0" w:type="auto"/>
            <w:shd w:val="clear" w:color="auto" w:fill="auto"/>
            <w:vAlign w:val="center"/>
          </w:tcPr>
          <w:p w14:paraId="05EB8D51" w14:textId="77777777" w:rsidR="00470AE4" w:rsidRPr="00C63860" w:rsidRDefault="00470AE4" w:rsidP="00470AE4">
            <w:pPr>
              <w:rPr>
                <w:rFonts w:cstheme="minorHAnsi"/>
                <w:i/>
                <w:iCs/>
                <w:vertAlign w:val="superscript"/>
              </w:rPr>
            </w:pPr>
            <w:r w:rsidRPr="00C63860">
              <w:rPr>
                <w:rFonts w:cstheme="minorHAnsi"/>
                <w:i/>
                <w:iCs/>
              </w:rPr>
              <w:t>Index admission</w:t>
            </w:r>
          </w:p>
        </w:tc>
        <w:tc>
          <w:tcPr>
            <w:tcW w:w="0" w:type="auto"/>
            <w:shd w:val="clear" w:color="auto" w:fill="auto"/>
            <w:vAlign w:val="center"/>
          </w:tcPr>
          <w:p w14:paraId="389906C3" w14:textId="77777777" w:rsidR="00470AE4" w:rsidRPr="00C63860" w:rsidRDefault="00470AE4" w:rsidP="00470AE4">
            <w:pPr>
              <w:jc w:val="center"/>
              <w:rPr>
                <w:rFonts w:cstheme="minorHAnsi"/>
                <w:i/>
                <w:iCs/>
              </w:rPr>
            </w:pPr>
          </w:p>
        </w:tc>
        <w:tc>
          <w:tcPr>
            <w:tcW w:w="0" w:type="auto"/>
            <w:shd w:val="clear" w:color="auto" w:fill="auto"/>
            <w:vAlign w:val="center"/>
          </w:tcPr>
          <w:p w14:paraId="61A5325E" w14:textId="77777777" w:rsidR="00470AE4" w:rsidRPr="00C63860" w:rsidRDefault="00470AE4" w:rsidP="00470AE4">
            <w:pPr>
              <w:jc w:val="center"/>
              <w:rPr>
                <w:rFonts w:cstheme="minorHAnsi"/>
                <w:i/>
                <w:iCs/>
              </w:rPr>
            </w:pPr>
          </w:p>
        </w:tc>
        <w:tc>
          <w:tcPr>
            <w:tcW w:w="0" w:type="auto"/>
            <w:shd w:val="clear" w:color="auto" w:fill="auto"/>
            <w:vAlign w:val="center"/>
          </w:tcPr>
          <w:p w14:paraId="198A1D96" w14:textId="77777777" w:rsidR="00470AE4" w:rsidRPr="00C63860" w:rsidRDefault="00470AE4" w:rsidP="00470AE4">
            <w:pPr>
              <w:jc w:val="center"/>
              <w:rPr>
                <w:rFonts w:cstheme="minorHAnsi"/>
                <w:i/>
                <w:iCs/>
              </w:rPr>
            </w:pPr>
          </w:p>
        </w:tc>
        <w:tc>
          <w:tcPr>
            <w:tcW w:w="0" w:type="auto"/>
            <w:shd w:val="clear" w:color="auto" w:fill="auto"/>
            <w:vAlign w:val="center"/>
          </w:tcPr>
          <w:p w14:paraId="629DCA5F" w14:textId="77777777" w:rsidR="00470AE4" w:rsidRPr="00C63860" w:rsidRDefault="00470AE4" w:rsidP="00470AE4">
            <w:pPr>
              <w:jc w:val="center"/>
              <w:rPr>
                <w:rFonts w:cstheme="minorHAnsi"/>
                <w:i/>
                <w:iCs/>
              </w:rPr>
            </w:pPr>
          </w:p>
        </w:tc>
        <w:tc>
          <w:tcPr>
            <w:tcW w:w="0" w:type="auto"/>
            <w:shd w:val="clear" w:color="auto" w:fill="auto"/>
            <w:vAlign w:val="center"/>
          </w:tcPr>
          <w:p w14:paraId="5A699845" w14:textId="77777777" w:rsidR="00470AE4" w:rsidRPr="00C63860" w:rsidRDefault="00470AE4" w:rsidP="00470AE4">
            <w:pPr>
              <w:jc w:val="center"/>
              <w:rPr>
                <w:rFonts w:cstheme="minorHAnsi"/>
                <w:i/>
                <w:iCs/>
              </w:rPr>
            </w:pPr>
          </w:p>
        </w:tc>
        <w:tc>
          <w:tcPr>
            <w:tcW w:w="0" w:type="auto"/>
            <w:shd w:val="clear" w:color="auto" w:fill="auto"/>
            <w:vAlign w:val="center"/>
          </w:tcPr>
          <w:p w14:paraId="20036F47" w14:textId="77777777" w:rsidR="00470AE4" w:rsidRPr="00C63860" w:rsidRDefault="00470AE4" w:rsidP="00470AE4">
            <w:pPr>
              <w:jc w:val="center"/>
              <w:rPr>
                <w:rFonts w:cstheme="minorHAnsi"/>
                <w:i/>
                <w:iCs/>
              </w:rPr>
            </w:pPr>
          </w:p>
        </w:tc>
        <w:tc>
          <w:tcPr>
            <w:tcW w:w="0" w:type="auto"/>
            <w:shd w:val="clear" w:color="auto" w:fill="auto"/>
            <w:vAlign w:val="center"/>
          </w:tcPr>
          <w:p w14:paraId="3ED0B2F6" w14:textId="77777777" w:rsidR="00470AE4" w:rsidRPr="00C63860" w:rsidRDefault="00470AE4" w:rsidP="00470AE4">
            <w:pPr>
              <w:jc w:val="center"/>
              <w:rPr>
                <w:rFonts w:cstheme="minorHAnsi"/>
                <w:i/>
                <w:iCs/>
              </w:rPr>
            </w:pPr>
          </w:p>
        </w:tc>
        <w:tc>
          <w:tcPr>
            <w:tcW w:w="0" w:type="auto"/>
            <w:shd w:val="clear" w:color="auto" w:fill="auto"/>
            <w:vAlign w:val="center"/>
          </w:tcPr>
          <w:p w14:paraId="676E5BBC" w14:textId="77777777" w:rsidR="00470AE4" w:rsidRPr="00C63860" w:rsidRDefault="00470AE4" w:rsidP="00470AE4">
            <w:pPr>
              <w:jc w:val="center"/>
              <w:rPr>
                <w:rFonts w:cstheme="minorHAnsi"/>
                <w:i/>
                <w:iCs/>
              </w:rPr>
            </w:pPr>
          </w:p>
        </w:tc>
        <w:tc>
          <w:tcPr>
            <w:tcW w:w="0" w:type="auto"/>
            <w:shd w:val="clear" w:color="auto" w:fill="auto"/>
            <w:vAlign w:val="center"/>
          </w:tcPr>
          <w:p w14:paraId="0FC2295F" w14:textId="77777777" w:rsidR="00470AE4" w:rsidRPr="00C63860" w:rsidRDefault="00470AE4" w:rsidP="00470AE4">
            <w:pPr>
              <w:jc w:val="center"/>
              <w:rPr>
                <w:rFonts w:cstheme="minorHAnsi"/>
                <w:i/>
                <w:iCs/>
              </w:rPr>
            </w:pPr>
          </w:p>
        </w:tc>
        <w:tc>
          <w:tcPr>
            <w:tcW w:w="0" w:type="auto"/>
            <w:shd w:val="clear" w:color="auto" w:fill="auto"/>
            <w:vAlign w:val="center"/>
          </w:tcPr>
          <w:p w14:paraId="26B9CE78" w14:textId="77777777" w:rsidR="00470AE4" w:rsidRPr="00C63860" w:rsidRDefault="00470AE4" w:rsidP="00470AE4">
            <w:pPr>
              <w:jc w:val="center"/>
              <w:rPr>
                <w:rFonts w:cstheme="minorHAnsi"/>
                <w:i/>
                <w:iCs/>
              </w:rPr>
            </w:pPr>
          </w:p>
        </w:tc>
      </w:tr>
      <w:tr w:rsidR="00C63860" w:rsidRPr="00C63860" w14:paraId="48B6D1CA" w14:textId="77777777" w:rsidTr="00C63860">
        <w:trPr>
          <w:cantSplit/>
        </w:trPr>
        <w:tc>
          <w:tcPr>
            <w:tcW w:w="0" w:type="auto"/>
            <w:shd w:val="clear" w:color="auto" w:fill="auto"/>
            <w:vAlign w:val="center"/>
          </w:tcPr>
          <w:p w14:paraId="4FD09408" w14:textId="66C26627" w:rsidR="00470AE4" w:rsidRPr="00C63860" w:rsidRDefault="00C63860" w:rsidP="00470AE4">
            <w:pPr>
              <w:rPr>
                <w:rFonts w:cstheme="minorHAnsi"/>
              </w:rPr>
            </w:pPr>
            <w:r w:rsidRPr="00C63860">
              <w:rPr>
                <w:rFonts w:cstheme="minorHAnsi"/>
                <w:color w:val="00B0F0"/>
              </w:rPr>
              <w:t>‘</w:t>
            </w:r>
            <w:r w:rsidR="006F6056" w:rsidRPr="00C63860">
              <w:rPr>
                <w:rFonts w:cstheme="minorHAnsi"/>
              </w:rPr>
              <w:t>More common</w:t>
            </w:r>
            <w:r w:rsidRPr="00C63860">
              <w:rPr>
                <w:rFonts w:cstheme="minorHAnsi"/>
                <w:color w:val="00B0F0"/>
              </w:rPr>
              <w:t>’</w:t>
            </w:r>
            <w:r w:rsidR="00470AE4" w:rsidRPr="00C63860">
              <w:rPr>
                <w:rFonts w:cstheme="minorHAnsi"/>
              </w:rPr>
              <w:t xml:space="preserve"> operative procedure</w:t>
            </w:r>
            <w:r w:rsidR="00470AE4" w:rsidRPr="00C63860">
              <w:rPr>
                <w:rFonts w:cstheme="minorHAnsi"/>
                <w:vertAlign w:val="superscript"/>
              </w:rPr>
              <w:t>a</w:t>
            </w:r>
            <w:r w:rsidR="00470AE4" w:rsidRPr="00C63860">
              <w:rPr>
                <w:rFonts w:cstheme="minorHAnsi"/>
              </w:rPr>
              <w:t>:</w:t>
            </w:r>
            <w:r w:rsidRPr="00C63860">
              <w:rPr>
                <w:rFonts w:cstheme="minorHAnsi"/>
                <w:color w:val="00B0F0"/>
              </w:rPr>
              <w:t>%</w:t>
            </w:r>
          </w:p>
        </w:tc>
        <w:tc>
          <w:tcPr>
            <w:tcW w:w="0" w:type="auto"/>
            <w:shd w:val="clear" w:color="auto" w:fill="auto"/>
            <w:vAlign w:val="center"/>
          </w:tcPr>
          <w:p w14:paraId="0FCBCAE7" w14:textId="77777777" w:rsidR="00470AE4" w:rsidRPr="00C63860" w:rsidRDefault="00470AE4" w:rsidP="00470AE4">
            <w:pPr>
              <w:jc w:val="center"/>
              <w:rPr>
                <w:rFonts w:cstheme="minorHAnsi"/>
              </w:rPr>
            </w:pPr>
            <w:r w:rsidRPr="00C63860">
              <w:rPr>
                <w:rFonts w:cstheme="minorHAnsi"/>
              </w:rPr>
              <w:t>96.7%</w:t>
            </w:r>
          </w:p>
        </w:tc>
        <w:tc>
          <w:tcPr>
            <w:tcW w:w="0" w:type="auto"/>
            <w:shd w:val="clear" w:color="auto" w:fill="auto"/>
            <w:vAlign w:val="center"/>
          </w:tcPr>
          <w:p w14:paraId="1833CB26" w14:textId="77777777" w:rsidR="00470AE4" w:rsidRPr="00C63860" w:rsidRDefault="00470AE4" w:rsidP="00470AE4">
            <w:pPr>
              <w:jc w:val="center"/>
              <w:rPr>
                <w:rFonts w:cstheme="minorHAnsi"/>
              </w:rPr>
            </w:pPr>
            <w:r w:rsidRPr="00C63860">
              <w:rPr>
                <w:rFonts w:cstheme="minorHAnsi"/>
              </w:rPr>
              <w:t>100%</w:t>
            </w:r>
          </w:p>
        </w:tc>
        <w:tc>
          <w:tcPr>
            <w:tcW w:w="0" w:type="auto"/>
            <w:shd w:val="clear" w:color="auto" w:fill="auto"/>
            <w:vAlign w:val="center"/>
          </w:tcPr>
          <w:p w14:paraId="1605325F" w14:textId="77777777" w:rsidR="00470AE4" w:rsidRPr="00C63860" w:rsidRDefault="00470AE4" w:rsidP="00470AE4">
            <w:pPr>
              <w:jc w:val="center"/>
              <w:rPr>
                <w:rFonts w:cstheme="minorHAnsi"/>
              </w:rPr>
            </w:pPr>
            <w:r w:rsidRPr="00C63860">
              <w:rPr>
                <w:rFonts w:cstheme="minorHAnsi"/>
              </w:rPr>
              <w:t>55.3%</w:t>
            </w:r>
          </w:p>
        </w:tc>
        <w:tc>
          <w:tcPr>
            <w:tcW w:w="0" w:type="auto"/>
            <w:shd w:val="clear" w:color="auto" w:fill="auto"/>
            <w:vAlign w:val="center"/>
          </w:tcPr>
          <w:p w14:paraId="606A1783" w14:textId="77777777" w:rsidR="00470AE4" w:rsidRPr="00C63860" w:rsidRDefault="00470AE4" w:rsidP="00470AE4">
            <w:pPr>
              <w:jc w:val="center"/>
              <w:rPr>
                <w:rFonts w:cstheme="minorHAnsi"/>
              </w:rPr>
            </w:pPr>
            <w:r w:rsidRPr="00C63860">
              <w:rPr>
                <w:rFonts w:cstheme="minorHAnsi"/>
              </w:rPr>
              <w:t>7.4%</w:t>
            </w:r>
          </w:p>
        </w:tc>
        <w:tc>
          <w:tcPr>
            <w:tcW w:w="0" w:type="auto"/>
            <w:shd w:val="clear" w:color="auto" w:fill="auto"/>
            <w:vAlign w:val="center"/>
          </w:tcPr>
          <w:p w14:paraId="6114F4D9" w14:textId="77777777" w:rsidR="00470AE4" w:rsidRPr="00C63860" w:rsidRDefault="00470AE4" w:rsidP="00470AE4">
            <w:pPr>
              <w:jc w:val="center"/>
              <w:rPr>
                <w:rFonts w:cstheme="minorHAnsi"/>
              </w:rPr>
            </w:pPr>
            <w:r w:rsidRPr="00C63860">
              <w:rPr>
                <w:rFonts w:cstheme="minorHAnsi"/>
              </w:rPr>
              <w:t>29.9%</w:t>
            </w:r>
          </w:p>
        </w:tc>
        <w:tc>
          <w:tcPr>
            <w:tcW w:w="0" w:type="auto"/>
            <w:shd w:val="clear" w:color="auto" w:fill="auto"/>
            <w:vAlign w:val="center"/>
          </w:tcPr>
          <w:p w14:paraId="7C021720" w14:textId="77777777" w:rsidR="00470AE4" w:rsidRPr="00C63860" w:rsidRDefault="00470AE4" w:rsidP="00470AE4">
            <w:pPr>
              <w:jc w:val="center"/>
              <w:rPr>
                <w:rFonts w:cstheme="minorHAnsi"/>
              </w:rPr>
            </w:pPr>
            <w:r w:rsidRPr="00C63860">
              <w:rPr>
                <w:rFonts w:cstheme="minorHAnsi"/>
              </w:rPr>
              <w:t>3.3%</w:t>
            </w:r>
          </w:p>
        </w:tc>
        <w:tc>
          <w:tcPr>
            <w:tcW w:w="0" w:type="auto"/>
            <w:shd w:val="clear" w:color="auto" w:fill="auto"/>
            <w:vAlign w:val="center"/>
          </w:tcPr>
          <w:p w14:paraId="773E0ED9" w14:textId="77777777" w:rsidR="00470AE4" w:rsidRPr="00C63860" w:rsidRDefault="00470AE4" w:rsidP="00470AE4">
            <w:pPr>
              <w:jc w:val="center"/>
              <w:rPr>
                <w:rFonts w:cstheme="minorHAnsi"/>
              </w:rPr>
            </w:pPr>
            <w:r w:rsidRPr="00C63860">
              <w:rPr>
                <w:rFonts w:cstheme="minorHAnsi"/>
              </w:rPr>
              <w:t>89.5%</w:t>
            </w:r>
          </w:p>
        </w:tc>
        <w:tc>
          <w:tcPr>
            <w:tcW w:w="0" w:type="auto"/>
            <w:shd w:val="clear" w:color="auto" w:fill="auto"/>
            <w:vAlign w:val="center"/>
          </w:tcPr>
          <w:p w14:paraId="22CC8E26" w14:textId="77777777" w:rsidR="00470AE4" w:rsidRPr="00C63860" w:rsidRDefault="00470AE4" w:rsidP="00470AE4">
            <w:pPr>
              <w:jc w:val="center"/>
              <w:rPr>
                <w:rFonts w:cstheme="minorHAnsi"/>
              </w:rPr>
            </w:pPr>
            <w:r w:rsidRPr="00C63860">
              <w:rPr>
                <w:rFonts w:cstheme="minorHAnsi"/>
              </w:rPr>
              <w:t>7.3%</w:t>
            </w:r>
          </w:p>
        </w:tc>
        <w:tc>
          <w:tcPr>
            <w:tcW w:w="0" w:type="auto"/>
            <w:shd w:val="clear" w:color="auto" w:fill="auto"/>
            <w:vAlign w:val="center"/>
          </w:tcPr>
          <w:p w14:paraId="1C761043" w14:textId="77777777" w:rsidR="00470AE4" w:rsidRPr="00C63860" w:rsidRDefault="00470AE4" w:rsidP="00470AE4">
            <w:pPr>
              <w:jc w:val="center"/>
              <w:rPr>
                <w:rFonts w:cstheme="minorHAnsi"/>
              </w:rPr>
            </w:pPr>
            <w:r w:rsidRPr="00C63860">
              <w:rPr>
                <w:rFonts w:cstheme="minorHAnsi"/>
              </w:rPr>
              <w:t>45.9%</w:t>
            </w:r>
          </w:p>
        </w:tc>
        <w:tc>
          <w:tcPr>
            <w:tcW w:w="0" w:type="auto"/>
            <w:shd w:val="clear" w:color="auto" w:fill="auto"/>
            <w:vAlign w:val="center"/>
          </w:tcPr>
          <w:p w14:paraId="785AA69D" w14:textId="77777777" w:rsidR="00470AE4" w:rsidRPr="00C63860" w:rsidRDefault="00470AE4" w:rsidP="00470AE4">
            <w:pPr>
              <w:jc w:val="center"/>
              <w:rPr>
                <w:rFonts w:cstheme="minorHAnsi"/>
              </w:rPr>
            </w:pPr>
            <w:r w:rsidRPr="00C63860">
              <w:rPr>
                <w:rFonts w:cstheme="minorHAnsi"/>
              </w:rPr>
              <w:t>4.3%</w:t>
            </w:r>
          </w:p>
        </w:tc>
      </w:tr>
      <w:tr w:rsidR="00C63860" w:rsidRPr="00C63860" w14:paraId="6CCE4705" w14:textId="77777777" w:rsidTr="00C63860">
        <w:trPr>
          <w:cantSplit/>
        </w:trPr>
        <w:tc>
          <w:tcPr>
            <w:tcW w:w="0" w:type="auto"/>
            <w:shd w:val="clear" w:color="auto" w:fill="auto"/>
            <w:vAlign w:val="center"/>
          </w:tcPr>
          <w:p w14:paraId="289B1CDC" w14:textId="26498FA6" w:rsidR="00470AE4" w:rsidRPr="00C63860" w:rsidRDefault="00470AE4" w:rsidP="00470AE4">
            <w:pPr>
              <w:rPr>
                <w:rFonts w:cstheme="minorHAnsi"/>
              </w:rPr>
            </w:pPr>
            <w:r w:rsidRPr="00C63860">
              <w:rPr>
                <w:rFonts w:cstheme="minorHAnsi"/>
              </w:rPr>
              <w:t>Critical care:</w:t>
            </w:r>
            <w:r w:rsidR="00C63860" w:rsidRPr="00C63860">
              <w:rPr>
                <w:rFonts w:cstheme="minorHAnsi"/>
                <w:color w:val="00B0F0"/>
              </w:rPr>
              <w:t>%</w:t>
            </w:r>
          </w:p>
        </w:tc>
        <w:tc>
          <w:tcPr>
            <w:tcW w:w="0" w:type="auto"/>
            <w:shd w:val="clear" w:color="auto" w:fill="auto"/>
            <w:vAlign w:val="center"/>
          </w:tcPr>
          <w:p w14:paraId="61AEDBAB" w14:textId="77777777" w:rsidR="00470AE4" w:rsidRPr="00C63860" w:rsidRDefault="00470AE4" w:rsidP="00470AE4">
            <w:pPr>
              <w:jc w:val="center"/>
              <w:rPr>
                <w:rFonts w:cstheme="minorHAnsi"/>
              </w:rPr>
            </w:pPr>
            <w:r w:rsidRPr="00C63860">
              <w:rPr>
                <w:rFonts w:cstheme="minorHAnsi"/>
              </w:rPr>
              <w:t>2.5%</w:t>
            </w:r>
          </w:p>
        </w:tc>
        <w:tc>
          <w:tcPr>
            <w:tcW w:w="0" w:type="auto"/>
            <w:shd w:val="clear" w:color="auto" w:fill="auto"/>
            <w:vAlign w:val="center"/>
          </w:tcPr>
          <w:p w14:paraId="0C2E0E5C" w14:textId="77777777" w:rsidR="00470AE4" w:rsidRPr="00C63860" w:rsidRDefault="00470AE4" w:rsidP="00470AE4">
            <w:pPr>
              <w:jc w:val="center"/>
              <w:rPr>
                <w:rFonts w:cstheme="minorHAnsi"/>
              </w:rPr>
            </w:pPr>
            <w:r w:rsidRPr="00C63860">
              <w:rPr>
                <w:rFonts w:cstheme="minorHAnsi"/>
              </w:rPr>
              <w:t>4.7%</w:t>
            </w:r>
          </w:p>
        </w:tc>
        <w:tc>
          <w:tcPr>
            <w:tcW w:w="0" w:type="auto"/>
            <w:shd w:val="clear" w:color="auto" w:fill="auto"/>
            <w:vAlign w:val="center"/>
          </w:tcPr>
          <w:p w14:paraId="5DE98DBA" w14:textId="77777777" w:rsidR="00470AE4" w:rsidRPr="00C63860" w:rsidRDefault="00470AE4" w:rsidP="00470AE4">
            <w:pPr>
              <w:jc w:val="center"/>
              <w:rPr>
                <w:rFonts w:cstheme="minorHAnsi"/>
              </w:rPr>
            </w:pPr>
            <w:r w:rsidRPr="00C63860">
              <w:rPr>
                <w:rFonts w:cstheme="minorHAnsi"/>
              </w:rPr>
              <w:t>1.8%</w:t>
            </w:r>
          </w:p>
        </w:tc>
        <w:tc>
          <w:tcPr>
            <w:tcW w:w="0" w:type="auto"/>
            <w:shd w:val="clear" w:color="auto" w:fill="auto"/>
            <w:vAlign w:val="center"/>
          </w:tcPr>
          <w:p w14:paraId="63EEFC26" w14:textId="77777777" w:rsidR="00470AE4" w:rsidRPr="00C63860" w:rsidRDefault="00470AE4" w:rsidP="00470AE4">
            <w:pPr>
              <w:jc w:val="center"/>
              <w:rPr>
                <w:rFonts w:cstheme="minorHAnsi"/>
              </w:rPr>
            </w:pPr>
            <w:r w:rsidRPr="00C63860">
              <w:rPr>
                <w:rFonts w:cstheme="minorHAnsi"/>
              </w:rPr>
              <w:t>1.0%</w:t>
            </w:r>
          </w:p>
        </w:tc>
        <w:tc>
          <w:tcPr>
            <w:tcW w:w="0" w:type="auto"/>
            <w:shd w:val="clear" w:color="auto" w:fill="auto"/>
            <w:vAlign w:val="center"/>
          </w:tcPr>
          <w:p w14:paraId="624C2701" w14:textId="77777777" w:rsidR="00470AE4" w:rsidRPr="00C63860" w:rsidRDefault="00470AE4" w:rsidP="00470AE4">
            <w:pPr>
              <w:jc w:val="center"/>
              <w:rPr>
                <w:rFonts w:cstheme="minorHAnsi"/>
              </w:rPr>
            </w:pPr>
            <w:r w:rsidRPr="00C63860">
              <w:rPr>
                <w:rFonts w:cstheme="minorHAnsi"/>
              </w:rPr>
              <w:t>9.5%</w:t>
            </w:r>
          </w:p>
        </w:tc>
        <w:tc>
          <w:tcPr>
            <w:tcW w:w="0" w:type="auto"/>
            <w:shd w:val="clear" w:color="auto" w:fill="auto"/>
            <w:vAlign w:val="center"/>
          </w:tcPr>
          <w:p w14:paraId="1E812C1B" w14:textId="77777777" w:rsidR="00470AE4" w:rsidRPr="00C63860" w:rsidRDefault="00470AE4" w:rsidP="00470AE4">
            <w:pPr>
              <w:jc w:val="center"/>
              <w:rPr>
                <w:rFonts w:cstheme="minorHAnsi"/>
              </w:rPr>
            </w:pPr>
            <w:r w:rsidRPr="00C63860">
              <w:rPr>
                <w:rFonts w:cstheme="minorHAnsi"/>
              </w:rPr>
              <w:t>2.2%</w:t>
            </w:r>
          </w:p>
        </w:tc>
        <w:tc>
          <w:tcPr>
            <w:tcW w:w="0" w:type="auto"/>
            <w:shd w:val="clear" w:color="auto" w:fill="auto"/>
            <w:vAlign w:val="center"/>
          </w:tcPr>
          <w:p w14:paraId="5C85BA02" w14:textId="77777777" w:rsidR="00470AE4" w:rsidRPr="00C63860" w:rsidRDefault="00470AE4" w:rsidP="00470AE4">
            <w:pPr>
              <w:jc w:val="center"/>
              <w:rPr>
                <w:rFonts w:cstheme="minorHAnsi"/>
              </w:rPr>
            </w:pPr>
            <w:r w:rsidRPr="00C63860">
              <w:rPr>
                <w:rFonts w:cstheme="minorHAnsi"/>
              </w:rPr>
              <w:t>10.0%</w:t>
            </w:r>
          </w:p>
        </w:tc>
        <w:tc>
          <w:tcPr>
            <w:tcW w:w="0" w:type="auto"/>
            <w:shd w:val="clear" w:color="auto" w:fill="auto"/>
            <w:vAlign w:val="center"/>
          </w:tcPr>
          <w:p w14:paraId="113DD365" w14:textId="77777777" w:rsidR="00470AE4" w:rsidRPr="00C63860" w:rsidRDefault="00470AE4" w:rsidP="00470AE4">
            <w:pPr>
              <w:jc w:val="center"/>
              <w:rPr>
                <w:rFonts w:cstheme="minorHAnsi"/>
              </w:rPr>
            </w:pPr>
            <w:r w:rsidRPr="00C63860">
              <w:rPr>
                <w:rFonts w:cstheme="minorHAnsi"/>
              </w:rPr>
              <w:t>9.1%</w:t>
            </w:r>
          </w:p>
        </w:tc>
        <w:tc>
          <w:tcPr>
            <w:tcW w:w="0" w:type="auto"/>
            <w:shd w:val="clear" w:color="auto" w:fill="auto"/>
            <w:vAlign w:val="center"/>
          </w:tcPr>
          <w:p w14:paraId="0BE3760D" w14:textId="77777777" w:rsidR="00470AE4" w:rsidRPr="00C63860" w:rsidRDefault="00470AE4" w:rsidP="00470AE4">
            <w:pPr>
              <w:jc w:val="center"/>
              <w:rPr>
                <w:rFonts w:cstheme="minorHAnsi"/>
              </w:rPr>
            </w:pPr>
            <w:r w:rsidRPr="00C63860">
              <w:rPr>
                <w:rFonts w:cstheme="minorHAnsi"/>
              </w:rPr>
              <w:t>53.5%</w:t>
            </w:r>
          </w:p>
        </w:tc>
        <w:tc>
          <w:tcPr>
            <w:tcW w:w="0" w:type="auto"/>
            <w:shd w:val="clear" w:color="auto" w:fill="auto"/>
            <w:vAlign w:val="center"/>
          </w:tcPr>
          <w:p w14:paraId="30349895" w14:textId="77777777" w:rsidR="00470AE4" w:rsidRPr="00C63860" w:rsidRDefault="00470AE4" w:rsidP="00470AE4">
            <w:pPr>
              <w:jc w:val="center"/>
              <w:rPr>
                <w:rFonts w:cstheme="minorHAnsi"/>
              </w:rPr>
            </w:pPr>
            <w:r w:rsidRPr="00C63860">
              <w:rPr>
                <w:rFonts w:cstheme="minorHAnsi"/>
              </w:rPr>
              <w:t>11.0%</w:t>
            </w:r>
          </w:p>
        </w:tc>
      </w:tr>
      <w:tr w:rsidR="00C63860" w:rsidRPr="00C63860" w14:paraId="6A3F57A4" w14:textId="77777777" w:rsidTr="00C63860">
        <w:trPr>
          <w:cantSplit/>
        </w:trPr>
        <w:tc>
          <w:tcPr>
            <w:tcW w:w="0" w:type="auto"/>
            <w:shd w:val="clear" w:color="auto" w:fill="auto"/>
            <w:vAlign w:val="center"/>
          </w:tcPr>
          <w:p w14:paraId="4087822D" w14:textId="77777777" w:rsidR="00470AE4" w:rsidRPr="00C63860" w:rsidRDefault="00470AE4" w:rsidP="00470AE4">
            <w:pPr>
              <w:rPr>
                <w:rFonts w:cstheme="minorHAnsi"/>
              </w:rPr>
            </w:pPr>
            <w:r w:rsidRPr="00C63860">
              <w:rPr>
                <w:rFonts w:cstheme="minorHAnsi"/>
              </w:rPr>
              <w:t>Mean days in hospital (SD)</w:t>
            </w:r>
          </w:p>
        </w:tc>
        <w:tc>
          <w:tcPr>
            <w:tcW w:w="0" w:type="auto"/>
            <w:shd w:val="clear" w:color="auto" w:fill="auto"/>
            <w:vAlign w:val="center"/>
          </w:tcPr>
          <w:p w14:paraId="2999DFD3" w14:textId="77777777" w:rsidR="00470AE4" w:rsidRPr="00C63860" w:rsidRDefault="00470AE4" w:rsidP="00470AE4">
            <w:pPr>
              <w:jc w:val="center"/>
              <w:rPr>
                <w:rFonts w:cstheme="minorHAnsi"/>
              </w:rPr>
            </w:pPr>
            <w:r w:rsidRPr="00C63860">
              <w:rPr>
                <w:rFonts w:cstheme="minorHAnsi"/>
              </w:rPr>
              <w:t>4.4 (4.3)</w:t>
            </w:r>
          </w:p>
        </w:tc>
        <w:tc>
          <w:tcPr>
            <w:tcW w:w="0" w:type="auto"/>
            <w:shd w:val="clear" w:color="auto" w:fill="auto"/>
            <w:vAlign w:val="center"/>
          </w:tcPr>
          <w:p w14:paraId="0F2C7593" w14:textId="77777777" w:rsidR="00470AE4" w:rsidRPr="00C63860" w:rsidRDefault="00470AE4" w:rsidP="00470AE4">
            <w:pPr>
              <w:jc w:val="center"/>
              <w:rPr>
                <w:rFonts w:cstheme="minorHAnsi"/>
              </w:rPr>
            </w:pPr>
            <w:r w:rsidRPr="00C63860">
              <w:rPr>
                <w:rFonts w:cstheme="minorHAnsi"/>
              </w:rPr>
              <w:t>4.9 (4.4)</w:t>
            </w:r>
          </w:p>
        </w:tc>
        <w:tc>
          <w:tcPr>
            <w:tcW w:w="0" w:type="auto"/>
            <w:shd w:val="clear" w:color="auto" w:fill="auto"/>
            <w:vAlign w:val="center"/>
          </w:tcPr>
          <w:p w14:paraId="37A74CAA" w14:textId="77777777" w:rsidR="00470AE4" w:rsidRPr="00C63860" w:rsidRDefault="00470AE4" w:rsidP="00470AE4">
            <w:pPr>
              <w:jc w:val="center"/>
              <w:rPr>
                <w:rFonts w:cstheme="minorHAnsi"/>
              </w:rPr>
            </w:pPr>
            <w:r w:rsidRPr="00C63860">
              <w:rPr>
                <w:rFonts w:cstheme="minorHAnsi"/>
              </w:rPr>
              <w:t>5.7 (6.5)</w:t>
            </w:r>
          </w:p>
        </w:tc>
        <w:tc>
          <w:tcPr>
            <w:tcW w:w="0" w:type="auto"/>
            <w:shd w:val="clear" w:color="auto" w:fill="auto"/>
            <w:vAlign w:val="center"/>
          </w:tcPr>
          <w:p w14:paraId="2834DB71" w14:textId="77777777" w:rsidR="00470AE4" w:rsidRPr="00C63860" w:rsidRDefault="00470AE4" w:rsidP="00470AE4">
            <w:pPr>
              <w:jc w:val="center"/>
              <w:rPr>
                <w:rFonts w:cstheme="minorHAnsi"/>
              </w:rPr>
            </w:pPr>
            <w:r w:rsidRPr="00C63860">
              <w:rPr>
                <w:rFonts w:cstheme="minorHAnsi"/>
              </w:rPr>
              <w:t>5.2 (6.3)</w:t>
            </w:r>
          </w:p>
        </w:tc>
        <w:tc>
          <w:tcPr>
            <w:tcW w:w="0" w:type="auto"/>
            <w:shd w:val="clear" w:color="auto" w:fill="auto"/>
            <w:vAlign w:val="center"/>
          </w:tcPr>
          <w:p w14:paraId="0ED3550C" w14:textId="77777777" w:rsidR="00470AE4" w:rsidRPr="00C63860" w:rsidRDefault="00470AE4" w:rsidP="00470AE4">
            <w:pPr>
              <w:jc w:val="center"/>
              <w:rPr>
                <w:rFonts w:cstheme="minorHAnsi"/>
              </w:rPr>
            </w:pPr>
            <w:r w:rsidRPr="00C63860">
              <w:rPr>
                <w:rFonts w:cstheme="minorHAnsi"/>
              </w:rPr>
              <w:t>5.1 (12.2)</w:t>
            </w:r>
          </w:p>
        </w:tc>
        <w:tc>
          <w:tcPr>
            <w:tcW w:w="0" w:type="auto"/>
            <w:shd w:val="clear" w:color="auto" w:fill="auto"/>
            <w:vAlign w:val="center"/>
          </w:tcPr>
          <w:p w14:paraId="5C725C6A" w14:textId="77777777" w:rsidR="00470AE4" w:rsidRPr="00C63860" w:rsidRDefault="00470AE4" w:rsidP="00470AE4">
            <w:pPr>
              <w:jc w:val="center"/>
              <w:rPr>
                <w:rFonts w:cstheme="minorHAnsi"/>
              </w:rPr>
            </w:pPr>
            <w:r w:rsidRPr="00C63860">
              <w:rPr>
                <w:rFonts w:cstheme="minorHAnsi"/>
              </w:rPr>
              <w:t>4.9 (8.7)</w:t>
            </w:r>
          </w:p>
        </w:tc>
        <w:tc>
          <w:tcPr>
            <w:tcW w:w="0" w:type="auto"/>
            <w:shd w:val="clear" w:color="auto" w:fill="auto"/>
            <w:vAlign w:val="center"/>
          </w:tcPr>
          <w:p w14:paraId="2A502B0C" w14:textId="77777777" w:rsidR="00470AE4" w:rsidRPr="00C63860" w:rsidRDefault="00470AE4" w:rsidP="00470AE4">
            <w:pPr>
              <w:jc w:val="center"/>
              <w:rPr>
                <w:rFonts w:cstheme="minorHAnsi"/>
              </w:rPr>
            </w:pPr>
            <w:r w:rsidRPr="00C63860">
              <w:rPr>
                <w:rFonts w:cstheme="minorHAnsi"/>
              </w:rPr>
              <w:t>4.5 (15.4)</w:t>
            </w:r>
          </w:p>
        </w:tc>
        <w:tc>
          <w:tcPr>
            <w:tcW w:w="0" w:type="auto"/>
            <w:shd w:val="clear" w:color="auto" w:fill="auto"/>
            <w:vAlign w:val="center"/>
          </w:tcPr>
          <w:p w14:paraId="60902B59" w14:textId="77777777" w:rsidR="00470AE4" w:rsidRPr="00C63860" w:rsidRDefault="00470AE4" w:rsidP="00470AE4">
            <w:pPr>
              <w:jc w:val="center"/>
              <w:rPr>
                <w:rFonts w:cstheme="minorHAnsi"/>
              </w:rPr>
            </w:pPr>
            <w:r w:rsidRPr="00C63860">
              <w:rPr>
                <w:rFonts w:cstheme="minorHAnsi"/>
              </w:rPr>
              <w:t>2.5 (15.0)</w:t>
            </w:r>
          </w:p>
        </w:tc>
        <w:tc>
          <w:tcPr>
            <w:tcW w:w="0" w:type="auto"/>
            <w:shd w:val="clear" w:color="auto" w:fill="auto"/>
            <w:vAlign w:val="center"/>
          </w:tcPr>
          <w:p w14:paraId="15DBD3D2" w14:textId="77777777" w:rsidR="00470AE4" w:rsidRPr="00C63860" w:rsidRDefault="00470AE4" w:rsidP="00470AE4">
            <w:pPr>
              <w:jc w:val="center"/>
              <w:rPr>
                <w:rFonts w:cstheme="minorHAnsi"/>
              </w:rPr>
            </w:pPr>
            <w:r w:rsidRPr="00C63860">
              <w:rPr>
                <w:rFonts w:cstheme="minorHAnsi"/>
              </w:rPr>
              <w:t>7.0 (33.0)</w:t>
            </w:r>
          </w:p>
        </w:tc>
        <w:tc>
          <w:tcPr>
            <w:tcW w:w="0" w:type="auto"/>
            <w:shd w:val="clear" w:color="auto" w:fill="auto"/>
            <w:vAlign w:val="center"/>
          </w:tcPr>
          <w:p w14:paraId="2D59D4A4" w14:textId="77777777" w:rsidR="00470AE4" w:rsidRPr="00C63860" w:rsidRDefault="00470AE4" w:rsidP="00470AE4">
            <w:pPr>
              <w:jc w:val="center"/>
              <w:rPr>
                <w:rFonts w:cstheme="minorHAnsi"/>
              </w:rPr>
            </w:pPr>
            <w:r w:rsidRPr="00C63860">
              <w:rPr>
                <w:rFonts w:cstheme="minorHAnsi"/>
              </w:rPr>
              <w:t>9.3 (31.7)</w:t>
            </w:r>
          </w:p>
        </w:tc>
      </w:tr>
      <w:tr w:rsidR="00C63860" w:rsidRPr="00C63860" w14:paraId="32491BC6" w14:textId="77777777" w:rsidTr="00C63860">
        <w:trPr>
          <w:cantSplit/>
        </w:trPr>
        <w:tc>
          <w:tcPr>
            <w:tcW w:w="0" w:type="auto"/>
            <w:shd w:val="clear" w:color="auto" w:fill="auto"/>
            <w:vAlign w:val="center"/>
          </w:tcPr>
          <w:p w14:paraId="1B121409" w14:textId="77777777" w:rsidR="00470AE4" w:rsidRPr="00C63860" w:rsidRDefault="00470AE4" w:rsidP="00470AE4">
            <w:pPr>
              <w:rPr>
                <w:rFonts w:cstheme="minorHAnsi"/>
                <w:i/>
                <w:iCs/>
              </w:rPr>
            </w:pPr>
          </w:p>
        </w:tc>
        <w:tc>
          <w:tcPr>
            <w:tcW w:w="0" w:type="auto"/>
            <w:shd w:val="clear" w:color="auto" w:fill="auto"/>
            <w:vAlign w:val="center"/>
          </w:tcPr>
          <w:p w14:paraId="1F974E80" w14:textId="77777777" w:rsidR="00470AE4" w:rsidRPr="00C63860" w:rsidRDefault="00470AE4" w:rsidP="00470AE4">
            <w:pPr>
              <w:jc w:val="center"/>
              <w:rPr>
                <w:rFonts w:cstheme="minorHAnsi"/>
                <w:i/>
                <w:iCs/>
              </w:rPr>
            </w:pPr>
          </w:p>
        </w:tc>
        <w:tc>
          <w:tcPr>
            <w:tcW w:w="0" w:type="auto"/>
            <w:shd w:val="clear" w:color="auto" w:fill="auto"/>
            <w:vAlign w:val="center"/>
          </w:tcPr>
          <w:p w14:paraId="0AAB44F1" w14:textId="77777777" w:rsidR="00470AE4" w:rsidRPr="00C63860" w:rsidRDefault="00470AE4" w:rsidP="00470AE4">
            <w:pPr>
              <w:jc w:val="center"/>
              <w:rPr>
                <w:rFonts w:cstheme="minorHAnsi"/>
                <w:i/>
                <w:iCs/>
              </w:rPr>
            </w:pPr>
          </w:p>
        </w:tc>
        <w:tc>
          <w:tcPr>
            <w:tcW w:w="0" w:type="auto"/>
            <w:shd w:val="clear" w:color="auto" w:fill="auto"/>
            <w:vAlign w:val="center"/>
          </w:tcPr>
          <w:p w14:paraId="67808D1E" w14:textId="77777777" w:rsidR="00470AE4" w:rsidRPr="00C63860" w:rsidRDefault="00470AE4" w:rsidP="00470AE4">
            <w:pPr>
              <w:jc w:val="center"/>
              <w:rPr>
                <w:rFonts w:cstheme="minorHAnsi"/>
                <w:i/>
                <w:iCs/>
              </w:rPr>
            </w:pPr>
          </w:p>
        </w:tc>
        <w:tc>
          <w:tcPr>
            <w:tcW w:w="0" w:type="auto"/>
            <w:shd w:val="clear" w:color="auto" w:fill="auto"/>
            <w:vAlign w:val="center"/>
          </w:tcPr>
          <w:p w14:paraId="49B2A13F" w14:textId="77777777" w:rsidR="00470AE4" w:rsidRPr="00C63860" w:rsidRDefault="00470AE4" w:rsidP="00470AE4">
            <w:pPr>
              <w:jc w:val="center"/>
              <w:rPr>
                <w:rFonts w:cstheme="minorHAnsi"/>
                <w:i/>
                <w:iCs/>
              </w:rPr>
            </w:pPr>
          </w:p>
        </w:tc>
        <w:tc>
          <w:tcPr>
            <w:tcW w:w="0" w:type="auto"/>
            <w:shd w:val="clear" w:color="auto" w:fill="auto"/>
            <w:vAlign w:val="center"/>
          </w:tcPr>
          <w:p w14:paraId="64E0D68F" w14:textId="77777777" w:rsidR="00470AE4" w:rsidRPr="00C63860" w:rsidRDefault="00470AE4" w:rsidP="00470AE4">
            <w:pPr>
              <w:jc w:val="center"/>
              <w:rPr>
                <w:rFonts w:cstheme="minorHAnsi"/>
                <w:i/>
                <w:iCs/>
              </w:rPr>
            </w:pPr>
          </w:p>
        </w:tc>
        <w:tc>
          <w:tcPr>
            <w:tcW w:w="0" w:type="auto"/>
            <w:shd w:val="clear" w:color="auto" w:fill="auto"/>
            <w:vAlign w:val="center"/>
          </w:tcPr>
          <w:p w14:paraId="209422A3" w14:textId="77777777" w:rsidR="00470AE4" w:rsidRPr="00C63860" w:rsidRDefault="00470AE4" w:rsidP="00470AE4">
            <w:pPr>
              <w:jc w:val="center"/>
              <w:rPr>
                <w:rFonts w:cstheme="minorHAnsi"/>
                <w:i/>
                <w:iCs/>
              </w:rPr>
            </w:pPr>
          </w:p>
        </w:tc>
        <w:tc>
          <w:tcPr>
            <w:tcW w:w="0" w:type="auto"/>
            <w:shd w:val="clear" w:color="auto" w:fill="auto"/>
            <w:vAlign w:val="center"/>
          </w:tcPr>
          <w:p w14:paraId="6E019643" w14:textId="77777777" w:rsidR="00470AE4" w:rsidRPr="00C63860" w:rsidRDefault="00470AE4" w:rsidP="00470AE4">
            <w:pPr>
              <w:jc w:val="center"/>
              <w:rPr>
                <w:rFonts w:cstheme="minorHAnsi"/>
                <w:i/>
                <w:iCs/>
              </w:rPr>
            </w:pPr>
          </w:p>
        </w:tc>
        <w:tc>
          <w:tcPr>
            <w:tcW w:w="0" w:type="auto"/>
            <w:shd w:val="clear" w:color="auto" w:fill="auto"/>
            <w:vAlign w:val="center"/>
          </w:tcPr>
          <w:p w14:paraId="4DEE7A61" w14:textId="77777777" w:rsidR="00470AE4" w:rsidRPr="00C63860" w:rsidRDefault="00470AE4" w:rsidP="00470AE4">
            <w:pPr>
              <w:jc w:val="center"/>
              <w:rPr>
                <w:rFonts w:cstheme="minorHAnsi"/>
                <w:i/>
                <w:iCs/>
              </w:rPr>
            </w:pPr>
          </w:p>
        </w:tc>
        <w:tc>
          <w:tcPr>
            <w:tcW w:w="0" w:type="auto"/>
            <w:shd w:val="clear" w:color="auto" w:fill="auto"/>
            <w:vAlign w:val="center"/>
          </w:tcPr>
          <w:p w14:paraId="50D9C6C2" w14:textId="77777777" w:rsidR="00470AE4" w:rsidRPr="00C63860" w:rsidRDefault="00470AE4" w:rsidP="00470AE4">
            <w:pPr>
              <w:jc w:val="center"/>
              <w:rPr>
                <w:rFonts w:cstheme="minorHAnsi"/>
                <w:i/>
                <w:iCs/>
              </w:rPr>
            </w:pPr>
          </w:p>
        </w:tc>
        <w:tc>
          <w:tcPr>
            <w:tcW w:w="0" w:type="auto"/>
            <w:shd w:val="clear" w:color="auto" w:fill="auto"/>
            <w:vAlign w:val="center"/>
          </w:tcPr>
          <w:p w14:paraId="4DAAF36B" w14:textId="77777777" w:rsidR="00470AE4" w:rsidRPr="00C63860" w:rsidRDefault="00470AE4" w:rsidP="00470AE4">
            <w:pPr>
              <w:jc w:val="center"/>
              <w:rPr>
                <w:rFonts w:cstheme="minorHAnsi"/>
                <w:i/>
                <w:iCs/>
              </w:rPr>
            </w:pPr>
          </w:p>
        </w:tc>
      </w:tr>
      <w:tr w:rsidR="00C63860" w:rsidRPr="00C63860" w14:paraId="1ED4B16C" w14:textId="77777777" w:rsidTr="00C63860">
        <w:trPr>
          <w:cantSplit/>
        </w:trPr>
        <w:tc>
          <w:tcPr>
            <w:tcW w:w="0" w:type="auto"/>
            <w:shd w:val="clear" w:color="auto" w:fill="auto"/>
            <w:vAlign w:val="center"/>
          </w:tcPr>
          <w:p w14:paraId="39BB54D8" w14:textId="77777777" w:rsidR="00470AE4" w:rsidRPr="00C63860" w:rsidRDefault="00470AE4" w:rsidP="00470AE4">
            <w:pPr>
              <w:rPr>
                <w:rFonts w:cstheme="minorHAnsi"/>
                <w:i/>
                <w:iCs/>
              </w:rPr>
            </w:pPr>
            <w:r w:rsidRPr="00C63860">
              <w:rPr>
                <w:rFonts w:cstheme="minorHAnsi"/>
                <w:i/>
                <w:iCs/>
              </w:rPr>
              <w:t>Readmissions</w:t>
            </w:r>
          </w:p>
        </w:tc>
        <w:tc>
          <w:tcPr>
            <w:tcW w:w="0" w:type="auto"/>
            <w:shd w:val="clear" w:color="auto" w:fill="auto"/>
            <w:vAlign w:val="center"/>
          </w:tcPr>
          <w:p w14:paraId="62B2BB1B" w14:textId="77777777" w:rsidR="00470AE4" w:rsidRPr="00C63860" w:rsidRDefault="00470AE4" w:rsidP="00470AE4">
            <w:pPr>
              <w:jc w:val="center"/>
              <w:rPr>
                <w:rFonts w:cstheme="minorHAnsi"/>
                <w:i/>
                <w:iCs/>
              </w:rPr>
            </w:pPr>
          </w:p>
        </w:tc>
        <w:tc>
          <w:tcPr>
            <w:tcW w:w="0" w:type="auto"/>
            <w:shd w:val="clear" w:color="auto" w:fill="auto"/>
            <w:vAlign w:val="center"/>
          </w:tcPr>
          <w:p w14:paraId="7DC0F670" w14:textId="77777777" w:rsidR="00470AE4" w:rsidRPr="00C63860" w:rsidRDefault="00470AE4" w:rsidP="00470AE4">
            <w:pPr>
              <w:jc w:val="center"/>
              <w:rPr>
                <w:rFonts w:cstheme="minorHAnsi"/>
                <w:i/>
                <w:iCs/>
              </w:rPr>
            </w:pPr>
          </w:p>
        </w:tc>
        <w:tc>
          <w:tcPr>
            <w:tcW w:w="0" w:type="auto"/>
            <w:shd w:val="clear" w:color="auto" w:fill="auto"/>
            <w:vAlign w:val="center"/>
          </w:tcPr>
          <w:p w14:paraId="6EBB1BA6" w14:textId="77777777" w:rsidR="00470AE4" w:rsidRPr="00C63860" w:rsidRDefault="00470AE4" w:rsidP="00470AE4">
            <w:pPr>
              <w:jc w:val="center"/>
              <w:rPr>
                <w:rFonts w:cstheme="minorHAnsi"/>
                <w:i/>
                <w:iCs/>
              </w:rPr>
            </w:pPr>
          </w:p>
        </w:tc>
        <w:tc>
          <w:tcPr>
            <w:tcW w:w="0" w:type="auto"/>
            <w:shd w:val="clear" w:color="auto" w:fill="auto"/>
            <w:vAlign w:val="center"/>
          </w:tcPr>
          <w:p w14:paraId="1B209DFA" w14:textId="77777777" w:rsidR="00470AE4" w:rsidRPr="00C63860" w:rsidRDefault="00470AE4" w:rsidP="00470AE4">
            <w:pPr>
              <w:jc w:val="center"/>
              <w:rPr>
                <w:rFonts w:cstheme="minorHAnsi"/>
                <w:i/>
                <w:iCs/>
              </w:rPr>
            </w:pPr>
          </w:p>
        </w:tc>
        <w:tc>
          <w:tcPr>
            <w:tcW w:w="0" w:type="auto"/>
            <w:shd w:val="clear" w:color="auto" w:fill="auto"/>
            <w:vAlign w:val="center"/>
          </w:tcPr>
          <w:p w14:paraId="4D593E3C" w14:textId="77777777" w:rsidR="00470AE4" w:rsidRPr="00C63860" w:rsidRDefault="00470AE4" w:rsidP="00470AE4">
            <w:pPr>
              <w:jc w:val="center"/>
              <w:rPr>
                <w:rFonts w:cstheme="minorHAnsi"/>
                <w:i/>
                <w:iCs/>
              </w:rPr>
            </w:pPr>
          </w:p>
        </w:tc>
        <w:tc>
          <w:tcPr>
            <w:tcW w:w="0" w:type="auto"/>
            <w:shd w:val="clear" w:color="auto" w:fill="auto"/>
            <w:vAlign w:val="center"/>
          </w:tcPr>
          <w:p w14:paraId="73B56966" w14:textId="77777777" w:rsidR="00470AE4" w:rsidRPr="00C63860" w:rsidRDefault="00470AE4" w:rsidP="00470AE4">
            <w:pPr>
              <w:jc w:val="center"/>
              <w:rPr>
                <w:rFonts w:cstheme="minorHAnsi"/>
                <w:i/>
                <w:iCs/>
              </w:rPr>
            </w:pPr>
          </w:p>
        </w:tc>
        <w:tc>
          <w:tcPr>
            <w:tcW w:w="0" w:type="auto"/>
            <w:shd w:val="clear" w:color="auto" w:fill="auto"/>
            <w:vAlign w:val="center"/>
          </w:tcPr>
          <w:p w14:paraId="11995396" w14:textId="77777777" w:rsidR="00470AE4" w:rsidRPr="00C63860" w:rsidRDefault="00470AE4" w:rsidP="00470AE4">
            <w:pPr>
              <w:jc w:val="center"/>
              <w:rPr>
                <w:rFonts w:cstheme="minorHAnsi"/>
                <w:i/>
                <w:iCs/>
              </w:rPr>
            </w:pPr>
          </w:p>
        </w:tc>
        <w:tc>
          <w:tcPr>
            <w:tcW w:w="0" w:type="auto"/>
            <w:shd w:val="clear" w:color="auto" w:fill="auto"/>
            <w:vAlign w:val="center"/>
          </w:tcPr>
          <w:p w14:paraId="422859C3" w14:textId="77777777" w:rsidR="00470AE4" w:rsidRPr="00C63860" w:rsidRDefault="00470AE4" w:rsidP="00470AE4">
            <w:pPr>
              <w:jc w:val="center"/>
              <w:rPr>
                <w:rFonts w:cstheme="minorHAnsi"/>
                <w:i/>
                <w:iCs/>
              </w:rPr>
            </w:pPr>
          </w:p>
        </w:tc>
        <w:tc>
          <w:tcPr>
            <w:tcW w:w="0" w:type="auto"/>
            <w:shd w:val="clear" w:color="auto" w:fill="auto"/>
            <w:vAlign w:val="center"/>
          </w:tcPr>
          <w:p w14:paraId="2108777E" w14:textId="77777777" w:rsidR="00470AE4" w:rsidRPr="00C63860" w:rsidRDefault="00470AE4" w:rsidP="00470AE4">
            <w:pPr>
              <w:jc w:val="center"/>
              <w:rPr>
                <w:rFonts w:cstheme="minorHAnsi"/>
                <w:i/>
                <w:iCs/>
              </w:rPr>
            </w:pPr>
          </w:p>
        </w:tc>
        <w:tc>
          <w:tcPr>
            <w:tcW w:w="0" w:type="auto"/>
            <w:shd w:val="clear" w:color="auto" w:fill="auto"/>
            <w:vAlign w:val="center"/>
          </w:tcPr>
          <w:p w14:paraId="5CDCD498" w14:textId="77777777" w:rsidR="00470AE4" w:rsidRPr="00C63860" w:rsidRDefault="00470AE4" w:rsidP="00470AE4">
            <w:pPr>
              <w:jc w:val="center"/>
              <w:rPr>
                <w:rFonts w:cstheme="minorHAnsi"/>
                <w:i/>
                <w:iCs/>
              </w:rPr>
            </w:pPr>
          </w:p>
        </w:tc>
      </w:tr>
      <w:tr w:rsidR="00C63860" w:rsidRPr="00C63860" w14:paraId="6430F11F" w14:textId="77777777" w:rsidTr="00C63860">
        <w:trPr>
          <w:cantSplit/>
        </w:trPr>
        <w:tc>
          <w:tcPr>
            <w:tcW w:w="0" w:type="auto"/>
            <w:shd w:val="clear" w:color="auto" w:fill="auto"/>
            <w:vAlign w:val="center"/>
          </w:tcPr>
          <w:p w14:paraId="60A74CC8" w14:textId="7B78CAE3" w:rsidR="00470AE4" w:rsidRPr="00C63860" w:rsidRDefault="00470AE4" w:rsidP="00470AE4">
            <w:pPr>
              <w:rPr>
                <w:rFonts w:cstheme="minorHAnsi"/>
              </w:rPr>
            </w:pPr>
            <w:r w:rsidRPr="00C63860">
              <w:rPr>
                <w:rFonts w:cstheme="minorHAnsi"/>
              </w:rPr>
              <w:t>Readmission (any time prior to 1 year):</w:t>
            </w:r>
            <w:r w:rsidR="00C63860" w:rsidRPr="00C63860">
              <w:rPr>
                <w:rFonts w:cstheme="minorHAnsi"/>
                <w:color w:val="00B0F0"/>
              </w:rPr>
              <w:t>%</w:t>
            </w:r>
          </w:p>
        </w:tc>
        <w:tc>
          <w:tcPr>
            <w:tcW w:w="0" w:type="auto"/>
            <w:shd w:val="clear" w:color="auto" w:fill="auto"/>
            <w:vAlign w:val="center"/>
          </w:tcPr>
          <w:p w14:paraId="0D39789D" w14:textId="77777777" w:rsidR="00470AE4" w:rsidRPr="00C63860" w:rsidRDefault="00470AE4" w:rsidP="00470AE4">
            <w:pPr>
              <w:jc w:val="center"/>
              <w:rPr>
                <w:rFonts w:cstheme="minorHAnsi"/>
              </w:rPr>
            </w:pPr>
            <w:r w:rsidRPr="00C63860">
              <w:rPr>
                <w:rFonts w:cstheme="minorHAnsi"/>
              </w:rPr>
              <w:t>27.9%</w:t>
            </w:r>
          </w:p>
        </w:tc>
        <w:tc>
          <w:tcPr>
            <w:tcW w:w="0" w:type="auto"/>
            <w:shd w:val="clear" w:color="auto" w:fill="auto"/>
            <w:vAlign w:val="center"/>
          </w:tcPr>
          <w:p w14:paraId="70D4DE59" w14:textId="77777777" w:rsidR="00470AE4" w:rsidRPr="00C63860" w:rsidRDefault="00470AE4" w:rsidP="00470AE4">
            <w:pPr>
              <w:jc w:val="center"/>
              <w:rPr>
                <w:rFonts w:cstheme="minorHAnsi"/>
              </w:rPr>
            </w:pPr>
            <w:r w:rsidRPr="00C63860">
              <w:rPr>
                <w:rFonts w:cstheme="minorHAnsi"/>
              </w:rPr>
              <w:t>37.0%</w:t>
            </w:r>
          </w:p>
        </w:tc>
        <w:tc>
          <w:tcPr>
            <w:tcW w:w="0" w:type="auto"/>
            <w:shd w:val="clear" w:color="auto" w:fill="auto"/>
            <w:vAlign w:val="center"/>
          </w:tcPr>
          <w:p w14:paraId="3162E8D4" w14:textId="77777777" w:rsidR="00470AE4" w:rsidRPr="00C63860" w:rsidRDefault="00470AE4" w:rsidP="00470AE4">
            <w:pPr>
              <w:jc w:val="center"/>
              <w:rPr>
                <w:rFonts w:cstheme="minorHAnsi"/>
              </w:rPr>
            </w:pPr>
            <w:r w:rsidRPr="00C63860">
              <w:rPr>
                <w:rFonts w:cstheme="minorHAnsi"/>
              </w:rPr>
              <w:t>53.4%</w:t>
            </w:r>
          </w:p>
        </w:tc>
        <w:tc>
          <w:tcPr>
            <w:tcW w:w="0" w:type="auto"/>
            <w:shd w:val="clear" w:color="auto" w:fill="auto"/>
            <w:vAlign w:val="center"/>
          </w:tcPr>
          <w:p w14:paraId="3A8AE774" w14:textId="77777777" w:rsidR="00470AE4" w:rsidRPr="00C63860" w:rsidRDefault="00470AE4" w:rsidP="00470AE4">
            <w:pPr>
              <w:jc w:val="center"/>
              <w:rPr>
                <w:rFonts w:cstheme="minorHAnsi"/>
              </w:rPr>
            </w:pPr>
            <w:r w:rsidRPr="00C63860">
              <w:rPr>
                <w:rFonts w:cstheme="minorHAnsi"/>
              </w:rPr>
              <w:t>83.3%</w:t>
            </w:r>
          </w:p>
        </w:tc>
        <w:tc>
          <w:tcPr>
            <w:tcW w:w="0" w:type="auto"/>
            <w:shd w:val="clear" w:color="auto" w:fill="auto"/>
            <w:vAlign w:val="center"/>
          </w:tcPr>
          <w:p w14:paraId="7DDE3031" w14:textId="77777777" w:rsidR="00470AE4" w:rsidRPr="00C63860" w:rsidRDefault="00470AE4" w:rsidP="00470AE4">
            <w:pPr>
              <w:jc w:val="center"/>
              <w:rPr>
                <w:rFonts w:cstheme="minorHAnsi"/>
              </w:rPr>
            </w:pPr>
            <w:r w:rsidRPr="00C63860">
              <w:rPr>
                <w:rFonts w:cstheme="minorHAnsi"/>
              </w:rPr>
              <w:t>56.6%</w:t>
            </w:r>
          </w:p>
        </w:tc>
        <w:tc>
          <w:tcPr>
            <w:tcW w:w="0" w:type="auto"/>
            <w:shd w:val="clear" w:color="auto" w:fill="auto"/>
            <w:vAlign w:val="center"/>
          </w:tcPr>
          <w:p w14:paraId="4FEBCCF3" w14:textId="77777777" w:rsidR="00470AE4" w:rsidRPr="00C63860" w:rsidRDefault="00470AE4" w:rsidP="00470AE4">
            <w:pPr>
              <w:jc w:val="center"/>
              <w:rPr>
                <w:rFonts w:cstheme="minorHAnsi"/>
              </w:rPr>
            </w:pPr>
            <w:r w:rsidRPr="00C63860">
              <w:rPr>
                <w:rFonts w:cstheme="minorHAnsi"/>
              </w:rPr>
              <w:t>77.4%</w:t>
            </w:r>
          </w:p>
        </w:tc>
        <w:tc>
          <w:tcPr>
            <w:tcW w:w="0" w:type="auto"/>
            <w:shd w:val="clear" w:color="auto" w:fill="auto"/>
            <w:vAlign w:val="center"/>
          </w:tcPr>
          <w:p w14:paraId="24225794" w14:textId="77777777" w:rsidR="00470AE4" w:rsidRPr="00C63860" w:rsidRDefault="00470AE4" w:rsidP="00470AE4">
            <w:pPr>
              <w:jc w:val="center"/>
              <w:rPr>
                <w:rFonts w:cstheme="minorHAnsi"/>
              </w:rPr>
            </w:pPr>
            <w:r w:rsidRPr="00C63860">
              <w:rPr>
                <w:rFonts w:cstheme="minorHAnsi"/>
              </w:rPr>
              <w:t>38.9%</w:t>
            </w:r>
          </w:p>
        </w:tc>
        <w:tc>
          <w:tcPr>
            <w:tcW w:w="0" w:type="auto"/>
            <w:shd w:val="clear" w:color="auto" w:fill="auto"/>
            <w:vAlign w:val="center"/>
          </w:tcPr>
          <w:p w14:paraId="54867F50" w14:textId="77777777" w:rsidR="00470AE4" w:rsidRPr="00C63860" w:rsidRDefault="00470AE4" w:rsidP="00470AE4">
            <w:pPr>
              <w:jc w:val="center"/>
              <w:rPr>
                <w:rFonts w:cstheme="minorHAnsi"/>
              </w:rPr>
            </w:pPr>
            <w:r w:rsidRPr="00C63860">
              <w:rPr>
                <w:rFonts w:cstheme="minorHAnsi"/>
              </w:rPr>
              <w:t>73.8%</w:t>
            </w:r>
          </w:p>
        </w:tc>
        <w:tc>
          <w:tcPr>
            <w:tcW w:w="0" w:type="auto"/>
            <w:shd w:val="clear" w:color="auto" w:fill="auto"/>
            <w:vAlign w:val="center"/>
          </w:tcPr>
          <w:p w14:paraId="46CF02E5" w14:textId="77777777" w:rsidR="00470AE4" w:rsidRPr="00C63860" w:rsidRDefault="00470AE4" w:rsidP="00470AE4">
            <w:pPr>
              <w:jc w:val="center"/>
              <w:rPr>
                <w:rFonts w:cstheme="minorHAnsi"/>
              </w:rPr>
            </w:pPr>
            <w:r w:rsidRPr="00C63860">
              <w:rPr>
                <w:rFonts w:cstheme="minorHAnsi"/>
              </w:rPr>
              <w:t>38.6%</w:t>
            </w:r>
          </w:p>
        </w:tc>
        <w:tc>
          <w:tcPr>
            <w:tcW w:w="0" w:type="auto"/>
            <w:shd w:val="clear" w:color="auto" w:fill="auto"/>
            <w:vAlign w:val="center"/>
          </w:tcPr>
          <w:p w14:paraId="0EAED513" w14:textId="77777777" w:rsidR="00470AE4" w:rsidRPr="00C63860" w:rsidRDefault="00470AE4" w:rsidP="00470AE4">
            <w:pPr>
              <w:jc w:val="center"/>
              <w:rPr>
                <w:rFonts w:cstheme="minorHAnsi"/>
              </w:rPr>
            </w:pPr>
            <w:r w:rsidRPr="00C63860">
              <w:rPr>
                <w:rFonts w:cstheme="minorHAnsi"/>
              </w:rPr>
              <w:t>61.0%</w:t>
            </w:r>
          </w:p>
        </w:tc>
      </w:tr>
      <w:tr w:rsidR="00C63860" w:rsidRPr="00C63860" w14:paraId="7AD85B29" w14:textId="77777777" w:rsidTr="00C63860">
        <w:trPr>
          <w:cantSplit/>
        </w:trPr>
        <w:tc>
          <w:tcPr>
            <w:tcW w:w="0" w:type="auto"/>
            <w:shd w:val="clear" w:color="auto" w:fill="auto"/>
            <w:vAlign w:val="center"/>
          </w:tcPr>
          <w:p w14:paraId="449F2D72" w14:textId="7CE2C872" w:rsidR="00470AE4" w:rsidRPr="00C63860" w:rsidRDefault="00C63860" w:rsidP="00470AE4">
            <w:pPr>
              <w:rPr>
                <w:rFonts w:cstheme="minorHAnsi"/>
                <w:i/>
                <w:iCs/>
              </w:rPr>
            </w:pPr>
            <w:r w:rsidRPr="00C63860">
              <w:rPr>
                <w:rFonts w:cstheme="minorHAnsi"/>
                <w:color w:val="00B0F0"/>
              </w:rPr>
              <w:t>‘</w:t>
            </w:r>
            <w:r w:rsidR="006F6056" w:rsidRPr="00C63860">
              <w:rPr>
                <w:rFonts w:cstheme="minorHAnsi"/>
              </w:rPr>
              <w:t>More common</w:t>
            </w:r>
            <w:r w:rsidRPr="00C63860">
              <w:rPr>
                <w:rFonts w:cstheme="minorHAnsi"/>
                <w:color w:val="00B0F0"/>
              </w:rPr>
              <w:t>’</w:t>
            </w:r>
            <w:r w:rsidR="00470AE4" w:rsidRPr="00C63860">
              <w:rPr>
                <w:rFonts w:cstheme="minorHAnsi"/>
              </w:rPr>
              <w:t xml:space="preserve"> operative procedure (within any readmission)</w:t>
            </w:r>
            <w:r w:rsidR="00470AE4" w:rsidRPr="00C63860">
              <w:rPr>
                <w:rFonts w:cstheme="minorHAnsi"/>
                <w:vertAlign w:val="superscript"/>
              </w:rPr>
              <w:t>a</w:t>
            </w:r>
            <w:r w:rsidR="00470AE4" w:rsidRPr="00C63860">
              <w:rPr>
                <w:rFonts w:cstheme="minorHAnsi"/>
              </w:rPr>
              <w:t>:</w:t>
            </w:r>
            <w:r w:rsidRPr="00C63860">
              <w:rPr>
                <w:rFonts w:cstheme="minorHAnsi"/>
                <w:color w:val="00B0F0"/>
              </w:rPr>
              <w:t>%</w:t>
            </w:r>
          </w:p>
        </w:tc>
        <w:tc>
          <w:tcPr>
            <w:tcW w:w="0" w:type="auto"/>
            <w:shd w:val="clear" w:color="auto" w:fill="auto"/>
            <w:vAlign w:val="center"/>
          </w:tcPr>
          <w:p w14:paraId="299F3992" w14:textId="77777777" w:rsidR="00470AE4" w:rsidRPr="00C63860" w:rsidRDefault="00470AE4" w:rsidP="00470AE4">
            <w:pPr>
              <w:jc w:val="center"/>
              <w:rPr>
                <w:rFonts w:cstheme="minorHAnsi"/>
              </w:rPr>
            </w:pPr>
            <w:r w:rsidRPr="00C63860">
              <w:rPr>
                <w:rFonts w:cstheme="minorHAnsi"/>
              </w:rPr>
              <w:t>2.6%</w:t>
            </w:r>
          </w:p>
        </w:tc>
        <w:tc>
          <w:tcPr>
            <w:tcW w:w="0" w:type="auto"/>
            <w:shd w:val="clear" w:color="auto" w:fill="auto"/>
            <w:vAlign w:val="center"/>
          </w:tcPr>
          <w:p w14:paraId="5C7050A2" w14:textId="77777777" w:rsidR="00470AE4" w:rsidRPr="00C63860" w:rsidRDefault="00470AE4" w:rsidP="00470AE4">
            <w:pPr>
              <w:jc w:val="center"/>
              <w:rPr>
                <w:rFonts w:cstheme="minorHAnsi"/>
              </w:rPr>
            </w:pPr>
            <w:r w:rsidRPr="00C63860">
              <w:rPr>
                <w:rFonts w:cstheme="minorHAnsi"/>
              </w:rPr>
              <w:t>0.5%</w:t>
            </w:r>
          </w:p>
        </w:tc>
        <w:tc>
          <w:tcPr>
            <w:tcW w:w="0" w:type="auto"/>
            <w:shd w:val="clear" w:color="auto" w:fill="auto"/>
            <w:vAlign w:val="center"/>
          </w:tcPr>
          <w:p w14:paraId="5BD23256" w14:textId="77777777" w:rsidR="00470AE4" w:rsidRPr="00C63860" w:rsidRDefault="00470AE4" w:rsidP="00470AE4">
            <w:pPr>
              <w:jc w:val="center"/>
              <w:rPr>
                <w:rFonts w:cstheme="minorHAnsi"/>
              </w:rPr>
            </w:pPr>
            <w:r w:rsidRPr="00C63860">
              <w:rPr>
                <w:rFonts w:cstheme="minorHAnsi"/>
              </w:rPr>
              <w:t>19.2%</w:t>
            </w:r>
          </w:p>
        </w:tc>
        <w:tc>
          <w:tcPr>
            <w:tcW w:w="0" w:type="auto"/>
            <w:shd w:val="clear" w:color="auto" w:fill="auto"/>
            <w:vAlign w:val="center"/>
          </w:tcPr>
          <w:p w14:paraId="29E20521" w14:textId="77777777" w:rsidR="00470AE4" w:rsidRPr="00C63860" w:rsidRDefault="00470AE4" w:rsidP="00470AE4">
            <w:pPr>
              <w:jc w:val="center"/>
              <w:rPr>
                <w:rFonts w:cstheme="minorHAnsi"/>
              </w:rPr>
            </w:pPr>
            <w:r w:rsidRPr="00C63860">
              <w:rPr>
                <w:rFonts w:cstheme="minorHAnsi"/>
              </w:rPr>
              <w:t>63.2%</w:t>
            </w:r>
          </w:p>
        </w:tc>
        <w:tc>
          <w:tcPr>
            <w:tcW w:w="0" w:type="auto"/>
            <w:shd w:val="clear" w:color="auto" w:fill="auto"/>
            <w:vAlign w:val="center"/>
          </w:tcPr>
          <w:p w14:paraId="5EEB8E71" w14:textId="77777777" w:rsidR="00470AE4" w:rsidRPr="00C63860" w:rsidRDefault="00470AE4" w:rsidP="00470AE4">
            <w:pPr>
              <w:jc w:val="center"/>
              <w:rPr>
                <w:rFonts w:cstheme="minorHAnsi"/>
              </w:rPr>
            </w:pPr>
            <w:r w:rsidRPr="00C63860">
              <w:rPr>
                <w:rFonts w:cstheme="minorHAnsi"/>
              </w:rPr>
              <w:t>18.4%</w:t>
            </w:r>
          </w:p>
        </w:tc>
        <w:tc>
          <w:tcPr>
            <w:tcW w:w="0" w:type="auto"/>
            <w:shd w:val="clear" w:color="auto" w:fill="auto"/>
            <w:vAlign w:val="center"/>
          </w:tcPr>
          <w:p w14:paraId="0DC45B85" w14:textId="77777777" w:rsidR="00470AE4" w:rsidRPr="00C63860" w:rsidRDefault="00470AE4" w:rsidP="00470AE4">
            <w:pPr>
              <w:jc w:val="center"/>
              <w:rPr>
                <w:rFonts w:cstheme="minorHAnsi"/>
              </w:rPr>
            </w:pPr>
            <w:r w:rsidRPr="00C63860">
              <w:rPr>
                <w:rFonts w:cstheme="minorHAnsi"/>
              </w:rPr>
              <w:t>11.9%</w:t>
            </w:r>
          </w:p>
        </w:tc>
        <w:tc>
          <w:tcPr>
            <w:tcW w:w="0" w:type="auto"/>
            <w:shd w:val="clear" w:color="auto" w:fill="auto"/>
            <w:vAlign w:val="center"/>
          </w:tcPr>
          <w:p w14:paraId="40F7C852" w14:textId="77777777" w:rsidR="00470AE4" w:rsidRPr="00C63860" w:rsidRDefault="00470AE4" w:rsidP="00470AE4">
            <w:pPr>
              <w:jc w:val="center"/>
              <w:rPr>
                <w:rFonts w:cstheme="minorHAnsi"/>
              </w:rPr>
            </w:pPr>
            <w:r w:rsidRPr="00C63860">
              <w:rPr>
                <w:rFonts w:cstheme="minorHAnsi"/>
              </w:rPr>
              <w:t>6.5%</w:t>
            </w:r>
          </w:p>
        </w:tc>
        <w:tc>
          <w:tcPr>
            <w:tcW w:w="0" w:type="auto"/>
            <w:shd w:val="clear" w:color="auto" w:fill="auto"/>
            <w:vAlign w:val="center"/>
          </w:tcPr>
          <w:p w14:paraId="7CCCC4CE" w14:textId="77777777" w:rsidR="00470AE4" w:rsidRPr="00C63860" w:rsidRDefault="00470AE4" w:rsidP="00470AE4">
            <w:pPr>
              <w:jc w:val="center"/>
              <w:rPr>
                <w:rFonts w:cstheme="minorHAnsi"/>
              </w:rPr>
            </w:pPr>
            <w:r w:rsidRPr="00C63860">
              <w:rPr>
                <w:rFonts w:cstheme="minorHAnsi"/>
              </w:rPr>
              <w:t>47.9%</w:t>
            </w:r>
          </w:p>
        </w:tc>
        <w:tc>
          <w:tcPr>
            <w:tcW w:w="0" w:type="auto"/>
            <w:shd w:val="clear" w:color="auto" w:fill="auto"/>
            <w:vAlign w:val="center"/>
          </w:tcPr>
          <w:p w14:paraId="56A71CED" w14:textId="77777777" w:rsidR="00470AE4" w:rsidRPr="00C63860" w:rsidRDefault="00470AE4" w:rsidP="00470AE4">
            <w:pPr>
              <w:jc w:val="center"/>
              <w:rPr>
                <w:rFonts w:cstheme="minorHAnsi"/>
              </w:rPr>
            </w:pPr>
            <w:r w:rsidRPr="00C63860">
              <w:rPr>
                <w:rFonts w:cstheme="minorHAnsi"/>
              </w:rPr>
              <w:t>20.7%</w:t>
            </w:r>
          </w:p>
        </w:tc>
        <w:tc>
          <w:tcPr>
            <w:tcW w:w="0" w:type="auto"/>
            <w:shd w:val="clear" w:color="auto" w:fill="auto"/>
            <w:vAlign w:val="center"/>
          </w:tcPr>
          <w:p w14:paraId="640DA74F" w14:textId="77777777" w:rsidR="00470AE4" w:rsidRPr="00C63860" w:rsidRDefault="00470AE4" w:rsidP="00470AE4">
            <w:pPr>
              <w:jc w:val="center"/>
              <w:rPr>
                <w:rFonts w:cstheme="minorHAnsi"/>
              </w:rPr>
            </w:pPr>
            <w:r w:rsidRPr="00C63860">
              <w:rPr>
                <w:rFonts w:cstheme="minorHAnsi"/>
              </w:rPr>
              <w:t>11.7%</w:t>
            </w:r>
          </w:p>
        </w:tc>
      </w:tr>
      <w:tr w:rsidR="00C63860" w:rsidRPr="00C63860" w14:paraId="3CDA4DC2" w14:textId="77777777" w:rsidTr="00C63860">
        <w:trPr>
          <w:cantSplit/>
        </w:trPr>
        <w:tc>
          <w:tcPr>
            <w:tcW w:w="0" w:type="auto"/>
            <w:shd w:val="clear" w:color="auto" w:fill="auto"/>
            <w:vAlign w:val="center"/>
          </w:tcPr>
          <w:p w14:paraId="592E2F73" w14:textId="77777777" w:rsidR="00470AE4" w:rsidRPr="00C63860" w:rsidRDefault="00470AE4" w:rsidP="00470AE4">
            <w:pPr>
              <w:rPr>
                <w:rFonts w:cstheme="minorHAnsi"/>
                <w:i/>
                <w:iCs/>
              </w:rPr>
            </w:pPr>
          </w:p>
        </w:tc>
        <w:tc>
          <w:tcPr>
            <w:tcW w:w="0" w:type="auto"/>
            <w:shd w:val="clear" w:color="auto" w:fill="auto"/>
            <w:vAlign w:val="center"/>
          </w:tcPr>
          <w:p w14:paraId="5BDF3CD8" w14:textId="77777777" w:rsidR="00470AE4" w:rsidRPr="00C63860" w:rsidRDefault="00470AE4" w:rsidP="00470AE4">
            <w:pPr>
              <w:jc w:val="center"/>
              <w:rPr>
                <w:rFonts w:cstheme="minorHAnsi"/>
              </w:rPr>
            </w:pPr>
          </w:p>
        </w:tc>
        <w:tc>
          <w:tcPr>
            <w:tcW w:w="0" w:type="auto"/>
            <w:shd w:val="clear" w:color="auto" w:fill="auto"/>
            <w:vAlign w:val="center"/>
          </w:tcPr>
          <w:p w14:paraId="1E2E2428" w14:textId="77777777" w:rsidR="00470AE4" w:rsidRPr="00C63860" w:rsidRDefault="00470AE4" w:rsidP="00470AE4">
            <w:pPr>
              <w:jc w:val="center"/>
              <w:rPr>
                <w:rFonts w:cstheme="minorHAnsi"/>
              </w:rPr>
            </w:pPr>
          </w:p>
        </w:tc>
        <w:tc>
          <w:tcPr>
            <w:tcW w:w="0" w:type="auto"/>
            <w:shd w:val="clear" w:color="auto" w:fill="auto"/>
            <w:vAlign w:val="center"/>
          </w:tcPr>
          <w:p w14:paraId="6B2DC568" w14:textId="77777777" w:rsidR="00470AE4" w:rsidRPr="00C63860" w:rsidRDefault="00470AE4" w:rsidP="00470AE4">
            <w:pPr>
              <w:jc w:val="center"/>
              <w:rPr>
                <w:rFonts w:cstheme="minorHAnsi"/>
              </w:rPr>
            </w:pPr>
          </w:p>
        </w:tc>
        <w:tc>
          <w:tcPr>
            <w:tcW w:w="0" w:type="auto"/>
            <w:shd w:val="clear" w:color="auto" w:fill="auto"/>
            <w:vAlign w:val="center"/>
          </w:tcPr>
          <w:p w14:paraId="55FB0D6F" w14:textId="77777777" w:rsidR="00470AE4" w:rsidRPr="00C63860" w:rsidRDefault="00470AE4" w:rsidP="00470AE4">
            <w:pPr>
              <w:jc w:val="center"/>
              <w:rPr>
                <w:rFonts w:cstheme="minorHAnsi"/>
              </w:rPr>
            </w:pPr>
          </w:p>
        </w:tc>
        <w:tc>
          <w:tcPr>
            <w:tcW w:w="0" w:type="auto"/>
            <w:shd w:val="clear" w:color="auto" w:fill="auto"/>
            <w:vAlign w:val="center"/>
          </w:tcPr>
          <w:p w14:paraId="1B3F2F79" w14:textId="77777777" w:rsidR="00470AE4" w:rsidRPr="00C63860" w:rsidRDefault="00470AE4" w:rsidP="00470AE4">
            <w:pPr>
              <w:jc w:val="center"/>
              <w:rPr>
                <w:rFonts w:cstheme="minorHAnsi"/>
              </w:rPr>
            </w:pPr>
          </w:p>
        </w:tc>
        <w:tc>
          <w:tcPr>
            <w:tcW w:w="0" w:type="auto"/>
            <w:shd w:val="clear" w:color="auto" w:fill="auto"/>
            <w:vAlign w:val="center"/>
          </w:tcPr>
          <w:p w14:paraId="620CE7C2" w14:textId="77777777" w:rsidR="00470AE4" w:rsidRPr="00C63860" w:rsidRDefault="00470AE4" w:rsidP="00470AE4">
            <w:pPr>
              <w:jc w:val="center"/>
              <w:rPr>
                <w:rFonts w:cstheme="minorHAnsi"/>
              </w:rPr>
            </w:pPr>
          </w:p>
        </w:tc>
        <w:tc>
          <w:tcPr>
            <w:tcW w:w="0" w:type="auto"/>
            <w:shd w:val="clear" w:color="auto" w:fill="auto"/>
            <w:vAlign w:val="center"/>
          </w:tcPr>
          <w:p w14:paraId="2423DD29" w14:textId="77777777" w:rsidR="00470AE4" w:rsidRPr="00C63860" w:rsidRDefault="00470AE4" w:rsidP="00470AE4">
            <w:pPr>
              <w:jc w:val="center"/>
              <w:rPr>
                <w:rFonts w:cstheme="minorHAnsi"/>
              </w:rPr>
            </w:pPr>
          </w:p>
        </w:tc>
        <w:tc>
          <w:tcPr>
            <w:tcW w:w="0" w:type="auto"/>
            <w:shd w:val="clear" w:color="auto" w:fill="auto"/>
            <w:vAlign w:val="center"/>
          </w:tcPr>
          <w:p w14:paraId="0EE84603" w14:textId="77777777" w:rsidR="00470AE4" w:rsidRPr="00C63860" w:rsidRDefault="00470AE4" w:rsidP="00470AE4">
            <w:pPr>
              <w:jc w:val="center"/>
              <w:rPr>
                <w:rFonts w:cstheme="minorHAnsi"/>
              </w:rPr>
            </w:pPr>
          </w:p>
        </w:tc>
        <w:tc>
          <w:tcPr>
            <w:tcW w:w="0" w:type="auto"/>
            <w:shd w:val="clear" w:color="auto" w:fill="auto"/>
            <w:vAlign w:val="center"/>
          </w:tcPr>
          <w:p w14:paraId="7FD2ABF1" w14:textId="77777777" w:rsidR="00470AE4" w:rsidRPr="00C63860" w:rsidRDefault="00470AE4" w:rsidP="00470AE4">
            <w:pPr>
              <w:jc w:val="center"/>
              <w:rPr>
                <w:rFonts w:cstheme="minorHAnsi"/>
              </w:rPr>
            </w:pPr>
          </w:p>
        </w:tc>
        <w:tc>
          <w:tcPr>
            <w:tcW w:w="0" w:type="auto"/>
            <w:shd w:val="clear" w:color="auto" w:fill="auto"/>
            <w:vAlign w:val="center"/>
          </w:tcPr>
          <w:p w14:paraId="501B27FF" w14:textId="77777777" w:rsidR="00470AE4" w:rsidRPr="00C63860" w:rsidRDefault="00470AE4" w:rsidP="00470AE4">
            <w:pPr>
              <w:jc w:val="center"/>
              <w:rPr>
                <w:rFonts w:cstheme="minorHAnsi"/>
              </w:rPr>
            </w:pPr>
          </w:p>
        </w:tc>
      </w:tr>
      <w:tr w:rsidR="00C63860" w:rsidRPr="00C63860" w14:paraId="65284301" w14:textId="77777777" w:rsidTr="00C63860">
        <w:trPr>
          <w:cantSplit/>
        </w:trPr>
        <w:tc>
          <w:tcPr>
            <w:tcW w:w="0" w:type="auto"/>
            <w:shd w:val="clear" w:color="auto" w:fill="auto"/>
            <w:vAlign w:val="center"/>
          </w:tcPr>
          <w:p w14:paraId="1DE5E970" w14:textId="77777777" w:rsidR="00470AE4" w:rsidRPr="00C63860" w:rsidRDefault="00470AE4" w:rsidP="00470AE4">
            <w:pPr>
              <w:rPr>
                <w:rFonts w:cstheme="minorHAnsi"/>
                <w:i/>
                <w:iCs/>
              </w:rPr>
            </w:pPr>
            <w:r w:rsidRPr="00C63860">
              <w:rPr>
                <w:rFonts w:cstheme="minorHAnsi"/>
                <w:i/>
                <w:iCs/>
              </w:rPr>
              <w:t>Total hospital days at one year</w:t>
            </w:r>
          </w:p>
        </w:tc>
        <w:tc>
          <w:tcPr>
            <w:tcW w:w="0" w:type="auto"/>
            <w:shd w:val="clear" w:color="auto" w:fill="auto"/>
            <w:vAlign w:val="center"/>
          </w:tcPr>
          <w:p w14:paraId="18393EFD" w14:textId="77777777" w:rsidR="00470AE4" w:rsidRPr="00C63860" w:rsidRDefault="00470AE4" w:rsidP="00470AE4">
            <w:pPr>
              <w:jc w:val="center"/>
              <w:rPr>
                <w:rFonts w:cstheme="minorHAnsi"/>
              </w:rPr>
            </w:pPr>
            <w:r w:rsidRPr="00C63860">
              <w:rPr>
                <w:rFonts w:cstheme="minorHAnsi"/>
              </w:rPr>
              <w:t>6.0 (8.9)</w:t>
            </w:r>
          </w:p>
        </w:tc>
        <w:tc>
          <w:tcPr>
            <w:tcW w:w="0" w:type="auto"/>
            <w:shd w:val="clear" w:color="auto" w:fill="auto"/>
            <w:vAlign w:val="center"/>
          </w:tcPr>
          <w:p w14:paraId="67322675" w14:textId="77777777" w:rsidR="00470AE4" w:rsidRPr="00C63860" w:rsidRDefault="00470AE4" w:rsidP="00470AE4">
            <w:pPr>
              <w:jc w:val="center"/>
              <w:rPr>
                <w:rFonts w:cstheme="minorHAnsi"/>
              </w:rPr>
            </w:pPr>
            <w:r w:rsidRPr="00C63860">
              <w:rPr>
                <w:rFonts w:cstheme="minorHAnsi"/>
              </w:rPr>
              <w:t>6.4 (8.5)</w:t>
            </w:r>
          </w:p>
        </w:tc>
        <w:tc>
          <w:tcPr>
            <w:tcW w:w="0" w:type="auto"/>
            <w:shd w:val="clear" w:color="auto" w:fill="auto"/>
            <w:vAlign w:val="center"/>
          </w:tcPr>
          <w:p w14:paraId="09FA3957" w14:textId="77777777" w:rsidR="00470AE4" w:rsidRPr="00C63860" w:rsidRDefault="00470AE4" w:rsidP="00470AE4">
            <w:pPr>
              <w:jc w:val="center"/>
              <w:rPr>
                <w:rFonts w:cstheme="minorHAnsi"/>
              </w:rPr>
            </w:pPr>
            <w:r w:rsidRPr="00C63860">
              <w:rPr>
                <w:rFonts w:cstheme="minorHAnsi"/>
              </w:rPr>
              <w:t>11.0 (16.9)</w:t>
            </w:r>
          </w:p>
        </w:tc>
        <w:tc>
          <w:tcPr>
            <w:tcW w:w="0" w:type="auto"/>
            <w:shd w:val="clear" w:color="auto" w:fill="auto"/>
            <w:vAlign w:val="center"/>
          </w:tcPr>
          <w:p w14:paraId="5F76621F" w14:textId="77777777" w:rsidR="00470AE4" w:rsidRPr="00C63860" w:rsidRDefault="00470AE4" w:rsidP="00470AE4">
            <w:pPr>
              <w:jc w:val="center"/>
              <w:rPr>
                <w:rFonts w:cstheme="minorHAnsi"/>
              </w:rPr>
            </w:pPr>
            <w:r w:rsidRPr="00C63860">
              <w:rPr>
                <w:rFonts w:cstheme="minorHAnsi"/>
              </w:rPr>
              <w:t>12.4 (15.5)</w:t>
            </w:r>
          </w:p>
        </w:tc>
        <w:tc>
          <w:tcPr>
            <w:tcW w:w="0" w:type="auto"/>
            <w:shd w:val="clear" w:color="auto" w:fill="auto"/>
            <w:vAlign w:val="center"/>
          </w:tcPr>
          <w:p w14:paraId="5B9F1CD9" w14:textId="77777777" w:rsidR="00470AE4" w:rsidRPr="00C63860" w:rsidRDefault="00470AE4" w:rsidP="00470AE4">
            <w:pPr>
              <w:jc w:val="center"/>
              <w:rPr>
                <w:rFonts w:cstheme="minorHAnsi"/>
              </w:rPr>
            </w:pPr>
            <w:r w:rsidRPr="00C63860">
              <w:rPr>
                <w:rFonts w:cstheme="minorHAnsi"/>
              </w:rPr>
              <w:t>15.1 (23.9)</w:t>
            </w:r>
          </w:p>
        </w:tc>
        <w:tc>
          <w:tcPr>
            <w:tcW w:w="0" w:type="auto"/>
            <w:shd w:val="clear" w:color="auto" w:fill="auto"/>
            <w:vAlign w:val="center"/>
          </w:tcPr>
          <w:p w14:paraId="022285A8" w14:textId="77777777" w:rsidR="00470AE4" w:rsidRPr="00C63860" w:rsidRDefault="00470AE4" w:rsidP="00470AE4">
            <w:pPr>
              <w:jc w:val="center"/>
              <w:rPr>
                <w:rFonts w:cstheme="minorHAnsi"/>
              </w:rPr>
            </w:pPr>
            <w:r w:rsidRPr="00C63860">
              <w:rPr>
                <w:rFonts w:cstheme="minorHAnsi"/>
              </w:rPr>
              <w:t>10.7 (19.2)</w:t>
            </w:r>
          </w:p>
        </w:tc>
        <w:tc>
          <w:tcPr>
            <w:tcW w:w="0" w:type="auto"/>
            <w:shd w:val="clear" w:color="auto" w:fill="auto"/>
            <w:vAlign w:val="center"/>
          </w:tcPr>
          <w:p w14:paraId="016E22D3" w14:textId="77777777" w:rsidR="00470AE4" w:rsidRPr="00C63860" w:rsidRDefault="00470AE4" w:rsidP="00470AE4">
            <w:pPr>
              <w:jc w:val="center"/>
              <w:rPr>
                <w:rFonts w:cstheme="minorHAnsi"/>
              </w:rPr>
            </w:pPr>
            <w:r w:rsidRPr="00C63860">
              <w:rPr>
                <w:rFonts w:cstheme="minorHAnsi"/>
              </w:rPr>
              <w:t>9.4 (19.0)</w:t>
            </w:r>
          </w:p>
        </w:tc>
        <w:tc>
          <w:tcPr>
            <w:tcW w:w="0" w:type="auto"/>
            <w:shd w:val="clear" w:color="auto" w:fill="auto"/>
            <w:vAlign w:val="center"/>
          </w:tcPr>
          <w:p w14:paraId="793AB33F" w14:textId="77777777" w:rsidR="00470AE4" w:rsidRPr="00C63860" w:rsidRDefault="00470AE4" w:rsidP="00470AE4">
            <w:pPr>
              <w:jc w:val="center"/>
              <w:rPr>
                <w:rFonts w:cstheme="minorHAnsi"/>
              </w:rPr>
            </w:pPr>
            <w:r w:rsidRPr="00C63860">
              <w:rPr>
                <w:rFonts w:cstheme="minorHAnsi"/>
              </w:rPr>
              <w:t>7.9 (18.0)</w:t>
            </w:r>
          </w:p>
        </w:tc>
        <w:tc>
          <w:tcPr>
            <w:tcW w:w="0" w:type="auto"/>
            <w:shd w:val="clear" w:color="auto" w:fill="auto"/>
            <w:vAlign w:val="center"/>
          </w:tcPr>
          <w:p w14:paraId="5BFB6A5F" w14:textId="77777777" w:rsidR="00470AE4" w:rsidRPr="00C63860" w:rsidRDefault="00470AE4" w:rsidP="00470AE4">
            <w:pPr>
              <w:jc w:val="center"/>
              <w:rPr>
                <w:rFonts w:cstheme="minorHAnsi"/>
              </w:rPr>
            </w:pPr>
            <w:r w:rsidRPr="00C63860">
              <w:rPr>
                <w:rFonts w:cstheme="minorHAnsi"/>
              </w:rPr>
              <w:t>10.4 (31.6)</w:t>
            </w:r>
          </w:p>
        </w:tc>
        <w:tc>
          <w:tcPr>
            <w:tcW w:w="0" w:type="auto"/>
            <w:shd w:val="clear" w:color="auto" w:fill="auto"/>
            <w:vAlign w:val="center"/>
          </w:tcPr>
          <w:p w14:paraId="572C9A4C" w14:textId="77777777" w:rsidR="00470AE4" w:rsidRPr="00C63860" w:rsidRDefault="00470AE4" w:rsidP="00470AE4">
            <w:pPr>
              <w:jc w:val="center"/>
              <w:rPr>
                <w:rFonts w:cstheme="minorHAnsi"/>
              </w:rPr>
            </w:pPr>
            <w:r w:rsidRPr="00C63860">
              <w:rPr>
                <w:rFonts w:cstheme="minorHAnsi"/>
              </w:rPr>
              <w:t>17.4 (27.2)</w:t>
            </w:r>
          </w:p>
        </w:tc>
      </w:tr>
      <w:tr w:rsidR="00470AE4" w:rsidRPr="00C63860" w14:paraId="579459F3" w14:textId="77777777" w:rsidTr="00C63860">
        <w:trPr>
          <w:cantSplit/>
        </w:trPr>
        <w:tc>
          <w:tcPr>
            <w:tcW w:w="0" w:type="auto"/>
            <w:shd w:val="clear" w:color="auto" w:fill="auto"/>
            <w:vAlign w:val="center"/>
          </w:tcPr>
          <w:p w14:paraId="549F5EB2" w14:textId="77777777" w:rsidR="00470AE4" w:rsidRPr="00C63860" w:rsidRDefault="00470AE4" w:rsidP="00470AE4">
            <w:pPr>
              <w:rPr>
                <w:rFonts w:cstheme="minorHAnsi"/>
                <w:i/>
                <w:iCs/>
              </w:rPr>
            </w:pPr>
            <w:r w:rsidRPr="00C63860">
              <w:rPr>
                <w:rFonts w:cstheme="minorHAnsi"/>
                <w:i/>
                <w:iCs/>
              </w:rPr>
              <w:t>Total hospital days at one year: incremental effect</w:t>
            </w:r>
          </w:p>
        </w:tc>
        <w:tc>
          <w:tcPr>
            <w:tcW w:w="0" w:type="auto"/>
            <w:gridSpan w:val="2"/>
            <w:shd w:val="clear" w:color="auto" w:fill="auto"/>
            <w:vAlign w:val="center"/>
          </w:tcPr>
          <w:p w14:paraId="0100AAA2" w14:textId="67C279BB" w:rsidR="00470AE4" w:rsidRPr="00C63860" w:rsidRDefault="00C63860" w:rsidP="00470AE4">
            <w:pPr>
              <w:jc w:val="center"/>
              <w:rPr>
                <w:rFonts w:cstheme="minorHAnsi"/>
              </w:rPr>
            </w:pPr>
            <w:r w:rsidRPr="00C63860">
              <w:rPr>
                <w:rFonts w:cstheme="minorHAnsi"/>
                <w:color w:val="00B0F0"/>
              </w:rPr>
              <w:t>–0</w:t>
            </w:r>
            <w:r w:rsidR="00470AE4" w:rsidRPr="00C63860">
              <w:rPr>
                <w:rFonts w:cstheme="minorHAnsi"/>
              </w:rPr>
              <w:t>.4 days</w:t>
            </w:r>
          </w:p>
        </w:tc>
        <w:tc>
          <w:tcPr>
            <w:tcW w:w="0" w:type="auto"/>
            <w:gridSpan w:val="2"/>
            <w:shd w:val="clear" w:color="auto" w:fill="auto"/>
            <w:vAlign w:val="center"/>
          </w:tcPr>
          <w:p w14:paraId="119EC5C5" w14:textId="46C275C2" w:rsidR="00470AE4" w:rsidRPr="00C63860" w:rsidRDefault="00C63860" w:rsidP="00470AE4">
            <w:pPr>
              <w:jc w:val="center"/>
              <w:rPr>
                <w:rFonts w:cstheme="minorHAnsi"/>
              </w:rPr>
            </w:pPr>
            <w:r w:rsidRPr="00C63860">
              <w:rPr>
                <w:rFonts w:cstheme="minorHAnsi"/>
                <w:color w:val="00B0F0"/>
              </w:rPr>
              <w:t>–1</w:t>
            </w:r>
            <w:r w:rsidR="00470AE4" w:rsidRPr="00C63860">
              <w:rPr>
                <w:rFonts w:cstheme="minorHAnsi"/>
              </w:rPr>
              <w:t>.4 days</w:t>
            </w:r>
          </w:p>
        </w:tc>
        <w:tc>
          <w:tcPr>
            <w:tcW w:w="0" w:type="auto"/>
            <w:gridSpan w:val="2"/>
            <w:shd w:val="clear" w:color="auto" w:fill="auto"/>
            <w:vAlign w:val="center"/>
          </w:tcPr>
          <w:p w14:paraId="1315E3E6" w14:textId="77777777" w:rsidR="00470AE4" w:rsidRPr="00C63860" w:rsidRDefault="00470AE4" w:rsidP="00470AE4">
            <w:pPr>
              <w:jc w:val="center"/>
              <w:rPr>
                <w:rFonts w:cstheme="minorHAnsi"/>
              </w:rPr>
            </w:pPr>
            <w:r w:rsidRPr="00C63860">
              <w:rPr>
                <w:rFonts w:cstheme="minorHAnsi"/>
              </w:rPr>
              <w:t>+4.4 days</w:t>
            </w:r>
          </w:p>
        </w:tc>
        <w:tc>
          <w:tcPr>
            <w:tcW w:w="0" w:type="auto"/>
            <w:gridSpan w:val="2"/>
            <w:shd w:val="clear" w:color="auto" w:fill="auto"/>
            <w:vAlign w:val="center"/>
          </w:tcPr>
          <w:p w14:paraId="49D4988D" w14:textId="77777777" w:rsidR="00470AE4" w:rsidRPr="00C63860" w:rsidRDefault="00470AE4" w:rsidP="00470AE4">
            <w:pPr>
              <w:jc w:val="center"/>
              <w:rPr>
                <w:rFonts w:cstheme="minorHAnsi"/>
              </w:rPr>
            </w:pPr>
            <w:r w:rsidRPr="00C63860">
              <w:rPr>
                <w:rFonts w:cstheme="minorHAnsi"/>
              </w:rPr>
              <w:t>+1.5 days</w:t>
            </w:r>
          </w:p>
        </w:tc>
        <w:tc>
          <w:tcPr>
            <w:tcW w:w="0" w:type="auto"/>
            <w:gridSpan w:val="2"/>
            <w:shd w:val="clear" w:color="auto" w:fill="auto"/>
            <w:vAlign w:val="center"/>
          </w:tcPr>
          <w:p w14:paraId="7BED3EEF" w14:textId="06AE49F7" w:rsidR="00470AE4" w:rsidRPr="00C63860" w:rsidRDefault="00C63860" w:rsidP="00470AE4">
            <w:pPr>
              <w:jc w:val="center"/>
              <w:rPr>
                <w:rFonts w:cstheme="minorHAnsi"/>
              </w:rPr>
            </w:pPr>
            <w:r w:rsidRPr="00C63860">
              <w:rPr>
                <w:rFonts w:cstheme="minorHAnsi"/>
                <w:color w:val="00B0F0"/>
              </w:rPr>
              <w:t>–7</w:t>
            </w:r>
            <w:r w:rsidR="00470AE4" w:rsidRPr="00C63860">
              <w:rPr>
                <w:rFonts w:cstheme="minorHAnsi"/>
              </w:rPr>
              <w:t xml:space="preserve"> days</w:t>
            </w:r>
          </w:p>
        </w:tc>
      </w:tr>
    </w:tbl>
    <w:p w14:paraId="1A574714" w14:textId="7CD59386" w:rsidR="00C63860" w:rsidRPr="00C63860" w:rsidRDefault="00470AE4" w:rsidP="00470AE4">
      <w:pPr>
        <w:rPr>
          <w:rFonts w:cstheme="minorHAnsi"/>
        </w:rPr>
      </w:pPr>
      <w:r w:rsidRPr="00C63860">
        <w:rPr>
          <w:rFonts w:cstheme="minorHAnsi"/>
          <w:vertAlign w:val="superscript"/>
        </w:rPr>
        <w:t>a</w:t>
      </w:r>
      <w:r w:rsidRPr="00C63860">
        <w:rPr>
          <w:rFonts w:cstheme="minorHAnsi"/>
        </w:rPr>
        <w:t xml:space="preserve">Percentage of </w:t>
      </w:r>
      <w:r w:rsidR="00C63860" w:rsidRPr="00C63860">
        <w:rPr>
          <w:rFonts w:cstheme="minorHAnsi"/>
          <w:color w:val="00B0F0"/>
        </w:rPr>
        <w:t>patients who</w:t>
      </w:r>
      <w:r w:rsidRPr="00C63860">
        <w:rPr>
          <w:rFonts w:cstheme="minorHAnsi"/>
        </w:rPr>
        <w:t xml:space="preserve"> received a procedure with a prevalence that exceeded 1% in the index admission (See Section 4.2.3).</w:t>
      </w:r>
    </w:p>
    <w:p w14:paraId="1F57472E" w14:textId="5A1AB6C3" w:rsidR="006B4614" w:rsidRPr="00C63860" w:rsidRDefault="00C63860" w:rsidP="006B4614">
      <w:pPr>
        <w:pStyle w:val="Caption"/>
        <w:rPr>
          <w:b/>
          <w:bCs/>
          <w:color w:val="auto"/>
          <w:sz w:val="22"/>
          <w:szCs w:val="22"/>
        </w:rPr>
      </w:pPr>
      <w:bookmarkStart w:id="85" w:name="_Toc86670789"/>
      <w:r w:rsidRPr="00C63860">
        <w:rPr>
          <w:b/>
          <w:bCs/>
          <w:color w:val="FF0000"/>
          <w:sz w:val="22"/>
          <w:szCs w:val="22"/>
        </w:rPr>
        <w:t xml:space="preserve">Table </w:t>
      </w:r>
      <w:r w:rsidRPr="00C63860">
        <w:rPr>
          <w:b/>
          <w:bCs/>
          <w:noProof/>
          <w:color w:val="FF0000"/>
          <w:sz w:val="22"/>
          <w:szCs w:val="22"/>
        </w:rPr>
        <w:t>17</w:t>
      </w:r>
      <w:r w:rsidR="006B4614" w:rsidRPr="00C63860">
        <w:rPr>
          <w:b/>
          <w:bCs/>
          <w:color w:val="auto"/>
          <w:sz w:val="22"/>
          <w:szCs w:val="22"/>
        </w:rPr>
        <w:t>: Estimated incremental net monetary benefit (INB, £GBP 2019/20), costs (£GBP 2019/20), LYs and QALYs of emergency surgery (ES) vs non-emergency surgery (NES) strategies, from the LIV approach, adjusting for confounding. Means (95% CI)</w:t>
      </w:r>
      <w:bookmarkEnd w:id="85"/>
    </w:p>
    <w:tbl>
      <w:tblPr>
        <w:tblStyle w:val="PlainTable2"/>
        <w:tblW w:w="0" w:type="auto"/>
        <w:tblBorders>
          <w:top w:val="none" w:sz="0" w:space="0" w:color="auto"/>
          <w:bottom w:val="none" w:sz="0" w:space="0" w:color="auto"/>
        </w:tblBorders>
        <w:tblCellMar>
          <w:top w:w="40" w:type="dxa"/>
          <w:left w:w="60" w:type="dxa"/>
          <w:bottom w:w="40" w:type="dxa"/>
          <w:right w:w="60" w:type="dxa"/>
        </w:tblCellMar>
        <w:tblLook w:val="04A0" w:firstRow="1" w:lastRow="0" w:firstColumn="1" w:lastColumn="0" w:noHBand="0" w:noVBand="1"/>
      </w:tblPr>
      <w:tblGrid>
        <w:gridCol w:w="1398"/>
        <w:gridCol w:w="2020"/>
        <w:gridCol w:w="965"/>
        <w:gridCol w:w="2156"/>
        <w:gridCol w:w="1606"/>
        <w:gridCol w:w="881"/>
      </w:tblGrid>
      <w:tr w:rsidR="00470AE4" w:rsidRPr="00C63860" w14:paraId="62F42E1F" w14:textId="77777777" w:rsidTr="00C6386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shd w:val="clear" w:color="auto" w:fill="auto"/>
            <w:noWrap/>
          </w:tcPr>
          <w:p w14:paraId="29E620F9" w14:textId="77777777" w:rsidR="00470AE4" w:rsidRPr="00C63860" w:rsidRDefault="00470AE4" w:rsidP="00470AE4">
            <w:pPr>
              <w:spacing w:before="100" w:beforeAutospacing="1" w:after="100" w:afterAutospacing="1"/>
              <w:contextualSpacing/>
              <w:jc w:val="center"/>
              <w:rPr>
                <w:rFonts w:cstheme="minorHAnsi"/>
                <w:bCs w:val="0"/>
                <w:sz w:val="22"/>
                <w:szCs w:val="22"/>
              </w:rPr>
            </w:pPr>
          </w:p>
        </w:tc>
        <w:tc>
          <w:tcPr>
            <w:tcW w:w="0" w:type="auto"/>
            <w:tcBorders>
              <w:bottom w:val="none" w:sz="0" w:space="0" w:color="auto"/>
            </w:tcBorders>
            <w:shd w:val="clear" w:color="auto" w:fill="auto"/>
            <w:noWrap/>
          </w:tcPr>
          <w:p w14:paraId="7C8BB071" w14:textId="77777777" w:rsidR="00470AE4"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sz w:val="22"/>
                <w:szCs w:val="22"/>
              </w:rPr>
            </w:pPr>
            <w:r w:rsidRPr="00C63860">
              <w:rPr>
                <w:rFonts w:cstheme="minorHAnsi"/>
                <w:sz w:val="22"/>
                <w:szCs w:val="22"/>
              </w:rPr>
              <w:t>Appendicitis (N=268,144)</w:t>
            </w:r>
          </w:p>
        </w:tc>
        <w:tc>
          <w:tcPr>
            <w:tcW w:w="0" w:type="auto"/>
            <w:tcBorders>
              <w:bottom w:val="none" w:sz="0" w:space="0" w:color="auto"/>
            </w:tcBorders>
            <w:shd w:val="clear" w:color="auto" w:fill="auto"/>
          </w:tcPr>
          <w:p w14:paraId="45F27A00" w14:textId="77777777" w:rsidR="00C63860"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Cholelithiasis</w:t>
            </w:r>
          </w:p>
          <w:p w14:paraId="21BFCA58" w14:textId="76CA3224" w:rsidR="00470AE4"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(N=</w:t>
            </w:r>
            <w:r w:rsidRPr="00C63860">
              <w:rPr>
                <w:sz w:val="22"/>
                <w:szCs w:val="22"/>
              </w:rPr>
              <w:t xml:space="preserve"> </w:t>
            </w:r>
            <w:r w:rsidRPr="00C63860">
              <w:rPr>
                <w:rFonts w:cstheme="minorHAnsi"/>
                <w:sz w:val="22"/>
                <w:szCs w:val="22"/>
              </w:rPr>
              <w:t>240,977)</w:t>
            </w:r>
          </w:p>
        </w:tc>
        <w:tc>
          <w:tcPr>
            <w:tcW w:w="0" w:type="auto"/>
            <w:tcBorders>
              <w:bottom w:val="none" w:sz="0" w:space="0" w:color="auto"/>
            </w:tcBorders>
            <w:shd w:val="clear" w:color="auto" w:fill="auto"/>
            <w:noWrap/>
          </w:tcPr>
          <w:p w14:paraId="55C25900" w14:textId="77777777" w:rsidR="00470AE4"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sz w:val="22"/>
                <w:szCs w:val="22"/>
              </w:rPr>
            </w:pPr>
            <w:r w:rsidRPr="00C63860">
              <w:rPr>
                <w:rFonts w:cstheme="minorHAnsi"/>
                <w:sz w:val="22"/>
                <w:szCs w:val="22"/>
              </w:rPr>
              <w:t>Diverticular disease (N=138,869)</w:t>
            </w:r>
          </w:p>
        </w:tc>
        <w:tc>
          <w:tcPr>
            <w:tcW w:w="0" w:type="auto"/>
            <w:tcBorders>
              <w:bottom w:val="none" w:sz="0" w:space="0" w:color="auto"/>
            </w:tcBorders>
            <w:shd w:val="clear" w:color="auto" w:fill="auto"/>
            <w:noWrap/>
          </w:tcPr>
          <w:p w14:paraId="4DAC9B54" w14:textId="77777777" w:rsidR="00C63860"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Hernia</w:t>
            </w:r>
          </w:p>
          <w:p w14:paraId="107A32D9" w14:textId="023F33A3" w:rsidR="00470AE4"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sz w:val="22"/>
                <w:szCs w:val="22"/>
              </w:rPr>
            </w:pPr>
            <w:r w:rsidRPr="00C63860">
              <w:rPr>
                <w:rFonts w:cstheme="minorHAnsi"/>
                <w:sz w:val="22"/>
                <w:szCs w:val="22"/>
              </w:rPr>
              <w:t>(N=106,432)</w:t>
            </w:r>
          </w:p>
        </w:tc>
        <w:tc>
          <w:tcPr>
            <w:tcW w:w="0" w:type="auto"/>
            <w:tcBorders>
              <w:bottom w:val="none" w:sz="0" w:space="0" w:color="auto"/>
            </w:tcBorders>
            <w:shd w:val="clear" w:color="auto" w:fill="auto"/>
          </w:tcPr>
          <w:p w14:paraId="48DEBAE4" w14:textId="77777777" w:rsidR="00C63860"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Intestinal obstruction</w:t>
            </w:r>
          </w:p>
          <w:p w14:paraId="271B7214" w14:textId="71CFB850" w:rsidR="00470AE4" w:rsidRPr="00C63860"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(N=133,073)</w:t>
            </w:r>
          </w:p>
        </w:tc>
      </w:tr>
      <w:tr w:rsidR="00470AE4" w:rsidRPr="00C63860" w14:paraId="2009E127"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noWrap/>
            <w:vAlign w:val="center"/>
          </w:tcPr>
          <w:p w14:paraId="4C9A58B1" w14:textId="77777777" w:rsidR="00470AE4" w:rsidRPr="00C63860" w:rsidRDefault="00470AE4" w:rsidP="00470AE4">
            <w:pPr>
              <w:contextualSpacing/>
              <w:jc w:val="center"/>
              <w:rPr>
                <w:rFonts w:cstheme="minorHAnsi"/>
                <w:b w:val="0"/>
                <w:bCs w:val="0"/>
                <w:sz w:val="22"/>
                <w:szCs w:val="22"/>
              </w:rPr>
            </w:pPr>
            <w:r w:rsidRPr="00C63860">
              <w:rPr>
                <w:rFonts w:cstheme="minorHAnsi"/>
                <w:b w:val="0"/>
                <w:bCs w:val="0"/>
                <w:sz w:val="22"/>
                <w:szCs w:val="22"/>
              </w:rPr>
              <w:t>ES</w:t>
            </w:r>
          </w:p>
        </w:tc>
        <w:tc>
          <w:tcPr>
            <w:tcW w:w="0" w:type="auto"/>
            <w:tcBorders>
              <w:top w:val="none" w:sz="0" w:space="0" w:color="auto"/>
              <w:bottom w:val="none" w:sz="0" w:space="0" w:color="auto"/>
            </w:tcBorders>
            <w:shd w:val="clear" w:color="auto" w:fill="auto"/>
            <w:noWrap/>
            <w:vAlign w:val="center"/>
          </w:tcPr>
          <w:p w14:paraId="58495AB0"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15,475</w:t>
            </w:r>
          </w:p>
        </w:tc>
        <w:tc>
          <w:tcPr>
            <w:tcW w:w="0" w:type="auto"/>
            <w:tcBorders>
              <w:top w:val="none" w:sz="0" w:space="0" w:color="auto"/>
              <w:bottom w:val="none" w:sz="0" w:space="0" w:color="auto"/>
            </w:tcBorders>
            <w:shd w:val="clear" w:color="auto" w:fill="auto"/>
            <w:vAlign w:val="center"/>
          </w:tcPr>
          <w:p w14:paraId="1128EA5B"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sz w:val="22"/>
                <w:szCs w:val="22"/>
              </w:rPr>
              <w:t>12,059</w:t>
            </w:r>
          </w:p>
        </w:tc>
        <w:tc>
          <w:tcPr>
            <w:tcW w:w="0" w:type="auto"/>
            <w:tcBorders>
              <w:top w:val="none" w:sz="0" w:space="0" w:color="auto"/>
              <w:bottom w:val="none" w:sz="0" w:space="0" w:color="auto"/>
            </w:tcBorders>
            <w:shd w:val="clear" w:color="auto" w:fill="auto"/>
            <w:noWrap/>
            <w:vAlign w:val="center"/>
          </w:tcPr>
          <w:p w14:paraId="69B3656B"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15,045</w:t>
            </w:r>
          </w:p>
        </w:tc>
        <w:tc>
          <w:tcPr>
            <w:tcW w:w="0" w:type="auto"/>
            <w:tcBorders>
              <w:top w:val="none" w:sz="0" w:space="0" w:color="auto"/>
              <w:bottom w:val="none" w:sz="0" w:space="0" w:color="auto"/>
            </w:tcBorders>
            <w:shd w:val="clear" w:color="auto" w:fill="auto"/>
            <w:noWrap/>
            <w:vAlign w:val="center"/>
          </w:tcPr>
          <w:p w14:paraId="2246BB33"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12,257</w:t>
            </w:r>
          </w:p>
        </w:tc>
        <w:tc>
          <w:tcPr>
            <w:tcW w:w="0" w:type="auto"/>
            <w:tcBorders>
              <w:top w:val="none" w:sz="0" w:space="0" w:color="auto"/>
              <w:bottom w:val="none" w:sz="0" w:space="0" w:color="auto"/>
            </w:tcBorders>
            <w:shd w:val="clear" w:color="auto" w:fill="auto"/>
            <w:vAlign w:val="center"/>
          </w:tcPr>
          <w:p w14:paraId="0E885AA3" w14:textId="0195D1B1" w:rsidR="00470AE4" w:rsidRPr="00C63860" w:rsidRDefault="00C63860"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color w:val="00B0F0"/>
                <w:sz w:val="22"/>
                <w:szCs w:val="22"/>
              </w:rPr>
              <w:t>–5</w:t>
            </w:r>
            <w:r w:rsidR="00470AE4" w:rsidRPr="00C63860">
              <w:rPr>
                <w:rFonts w:cstheme="minorHAnsi"/>
                <w:sz w:val="22"/>
                <w:szCs w:val="22"/>
              </w:rPr>
              <w:t>,836</w:t>
            </w:r>
          </w:p>
        </w:tc>
      </w:tr>
      <w:tr w:rsidR="00470AE4" w:rsidRPr="00C63860" w14:paraId="4B148A29"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tcPr>
          <w:p w14:paraId="360F6903" w14:textId="77777777" w:rsidR="00470AE4" w:rsidRPr="00C63860" w:rsidRDefault="00470AE4" w:rsidP="00470AE4">
            <w:pPr>
              <w:contextualSpacing/>
              <w:jc w:val="center"/>
              <w:rPr>
                <w:rFonts w:cstheme="minorHAnsi"/>
                <w:b w:val="0"/>
                <w:bCs w:val="0"/>
                <w:color w:val="000000"/>
                <w:sz w:val="22"/>
                <w:szCs w:val="22"/>
              </w:rPr>
            </w:pPr>
            <w:r w:rsidRPr="00C63860">
              <w:rPr>
                <w:rFonts w:cstheme="minorHAnsi"/>
                <w:b w:val="0"/>
                <w:bCs w:val="0"/>
                <w:sz w:val="22"/>
                <w:szCs w:val="22"/>
              </w:rPr>
              <w:t>NES</w:t>
            </w:r>
          </w:p>
        </w:tc>
        <w:tc>
          <w:tcPr>
            <w:tcW w:w="0" w:type="auto"/>
            <w:shd w:val="clear" w:color="auto" w:fill="auto"/>
            <w:noWrap/>
            <w:vAlign w:val="center"/>
          </w:tcPr>
          <w:p w14:paraId="083C7BC0"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sz w:val="22"/>
                <w:szCs w:val="22"/>
              </w:rPr>
              <w:t>15,561</w:t>
            </w:r>
          </w:p>
        </w:tc>
        <w:tc>
          <w:tcPr>
            <w:tcW w:w="0" w:type="auto"/>
            <w:shd w:val="clear" w:color="auto" w:fill="auto"/>
            <w:vAlign w:val="center"/>
          </w:tcPr>
          <w:p w14:paraId="13641832"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sz w:val="22"/>
                <w:szCs w:val="22"/>
              </w:rPr>
              <w:t>11,838</w:t>
            </w:r>
          </w:p>
        </w:tc>
        <w:tc>
          <w:tcPr>
            <w:tcW w:w="0" w:type="auto"/>
            <w:shd w:val="clear" w:color="auto" w:fill="auto"/>
            <w:noWrap/>
            <w:vAlign w:val="center"/>
          </w:tcPr>
          <w:p w14:paraId="0200E66C"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sz w:val="22"/>
                <w:szCs w:val="22"/>
              </w:rPr>
              <w:t>12,382</w:t>
            </w:r>
          </w:p>
        </w:tc>
        <w:tc>
          <w:tcPr>
            <w:tcW w:w="0" w:type="auto"/>
            <w:shd w:val="clear" w:color="auto" w:fill="auto"/>
            <w:noWrap/>
            <w:vAlign w:val="center"/>
          </w:tcPr>
          <w:p w14:paraId="77946FCF"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sz w:val="22"/>
                <w:szCs w:val="22"/>
              </w:rPr>
              <w:t>12,377</w:t>
            </w:r>
          </w:p>
        </w:tc>
        <w:tc>
          <w:tcPr>
            <w:tcW w:w="0" w:type="auto"/>
            <w:shd w:val="clear" w:color="auto" w:fill="auto"/>
            <w:vAlign w:val="center"/>
          </w:tcPr>
          <w:p w14:paraId="14924959" w14:textId="0FFB8182" w:rsidR="00470AE4" w:rsidRPr="00C63860" w:rsidRDefault="00C63860"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color w:val="00B0F0"/>
                <w:sz w:val="22"/>
                <w:szCs w:val="22"/>
              </w:rPr>
              <w:t>–6</w:t>
            </w:r>
            <w:r w:rsidR="00470AE4" w:rsidRPr="00C63860">
              <w:rPr>
                <w:rFonts w:cstheme="minorHAnsi"/>
                <w:sz w:val="22"/>
                <w:szCs w:val="22"/>
              </w:rPr>
              <w:t>,563</w:t>
            </w:r>
          </w:p>
        </w:tc>
      </w:tr>
      <w:tr w:rsidR="00470AE4" w:rsidRPr="00C63860" w14:paraId="1E938F75"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noWrap/>
            <w:vAlign w:val="center"/>
          </w:tcPr>
          <w:p w14:paraId="6E0534E3" w14:textId="77777777" w:rsidR="00470AE4" w:rsidRPr="00C63860" w:rsidRDefault="00470AE4" w:rsidP="00470AE4">
            <w:pPr>
              <w:contextualSpacing/>
              <w:jc w:val="center"/>
              <w:rPr>
                <w:rFonts w:cstheme="minorHAnsi"/>
                <w:color w:val="000000"/>
                <w:sz w:val="22"/>
                <w:szCs w:val="22"/>
              </w:rPr>
            </w:pPr>
            <w:r w:rsidRPr="00C63860">
              <w:rPr>
                <w:rFonts w:cstheme="minorHAnsi"/>
                <w:sz w:val="22"/>
                <w:szCs w:val="22"/>
              </w:rPr>
              <w:t>INB</w:t>
            </w:r>
          </w:p>
        </w:tc>
        <w:tc>
          <w:tcPr>
            <w:tcW w:w="0" w:type="auto"/>
            <w:tcBorders>
              <w:top w:val="none" w:sz="0" w:space="0" w:color="auto"/>
              <w:bottom w:val="none" w:sz="0" w:space="0" w:color="auto"/>
            </w:tcBorders>
            <w:shd w:val="clear" w:color="auto" w:fill="auto"/>
            <w:noWrap/>
            <w:vAlign w:val="center"/>
          </w:tcPr>
          <w:p w14:paraId="58CADB2E" w14:textId="34BD8989" w:rsidR="00470AE4" w:rsidRPr="00C63860" w:rsidRDefault="00C63860"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color w:val="00B0F0"/>
                <w:sz w:val="22"/>
                <w:szCs w:val="22"/>
              </w:rPr>
              <w:t>–8</w:t>
            </w:r>
            <w:r w:rsidR="00470AE4" w:rsidRPr="00C63860">
              <w:rPr>
                <w:rFonts w:cstheme="minorHAnsi"/>
                <w:sz w:val="22"/>
                <w:szCs w:val="22"/>
              </w:rPr>
              <w:t>6.2 (</w:t>
            </w:r>
            <w:r w:rsidRPr="00C63860">
              <w:rPr>
                <w:rFonts w:cstheme="minorHAnsi"/>
                <w:color w:val="00B0F0"/>
                <w:sz w:val="22"/>
                <w:szCs w:val="22"/>
              </w:rPr>
              <w:t>–1</w:t>
            </w:r>
            <w:r w:rsidR="00470AE4" w:rsidRPr="00C63860">
              <w:rPr>
                <w:rFonts w:cstheme="minorHAnsi"/>
                <w:sz w:val="22"/>
                <w:szCs w:val="22"/>
              </w:rPr>
              <w:t>,163, 991)</w:t>
            </w:r>
          </w:p>
        </w:tc>
        <w:tc>
          <w:tcPr>
            <w:tcW w:w="0" w:type="auto"/>
            <w:tcBorders>
              <w:top w:val="none" w:sz="0" w:space="0" w:color="auto"/>
              <w:bottom w:val="none" w:sz="0" w:space="0" w:color="auto"/>
            </w:tcBorders>
            <w:shd w:val="clear" w:color="auto" w:fill="auto"/>
            <w:vAlign w:val="center"/>
          </w:tcPr>
          <w:p w14:paraId="79475125" w14:textId="23253F11"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sz w:val="22"/>
                <w:szCs w:val="22"/>
              </w:rPr>
              <w:t>221 (</w:t>
            </w:r>
            <w:r w:rsidR="00C63860" w:rsidRPr="00C63860">
              <w:rPr>
                <w:rFonts w:cstheme="minorHAnsi"/>
                <w:color w:val="00B0F0"/>
                <w:sz w:val="22"/>
                <w:szCs w:val="22"/>
              </w:rPr>
              <w:t>–4</w:t>
            </w:r>
            <w:r w:rsidRPr="00C63860">
              <w:rPr>
                <w:rFonts w:cstheme="minorHAnsi"/>
                <w:sz w:val="22"/>
                <w:szCs w:val="22"/>
              </w:rPr>
              <w:t>50, 892)</w:t>
            </w:r>
          </w:p>
        </w:tc>
        <w:tc>
          <w:tcPr>
            <w:tcW w:w="0" w:type="auto"/>
            <w:tcBorders>
              <w:top w:val="none" w:sz="0" w:space="0" w:color="auto"/>
              <w:bottom w:val="none" w:sz="0" w:space="0" w:color="auto"/>
            </w:tcBorders>
            <w:shd w:val="clear" w:color="auto" w:fill="auto"/>
            <w:noWrap/>
            <w:vAlign w:val="center"/>
          </w:tcPr>
          <w:p w14:paraId="4000E5B0" w14:textId="3F8CC28E"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sz w:val="22"/>
                <w:szCs w:val="22"/>
              </w:rPr>
              <w:t>2,664 (</w:t>
            </w:r>
            <w:r w:rsidR="00C63860" w:rsidRPr="00C63860">
              <w:rPr>
                <w:rFonts w:cstheme="minorHAnsi"/>
                <w:color w:val="00B0F0"/>
                <w:sz w:val="22"/>
                <w:szCs w:val="22"/>
              </w:rPr>
              <w:t>–4</w:t>
            </w:r>
            <w:r w:rsidRPr="00C63860">
              <w:rPr>
                <w:rFonts w:cstheme="minorHAnsi"/>
                <w:sz w:val="22"/>
                <w:szCs w:val="22"/>
              </w:rPr>
              <w:t>,298, 9,626)</w:t>
            </w:r>
          </w:p>
        </w:tc>
        <w:tc>
          <w:tcPr>
            <w:tcW w:w="0" w:type="auto"/>
            <w:tcBorders>
              <w:top w:val="none" w:sz="0" w:space="0" w:color="auto"/>
              <w:bottom w:val="none" w:sz="0" w:space="0" w:color="auto"/>
            </w:tcBorders>
            <w:shd w:val="clear" w:color="auto" w:fill="auto"/>
            <w:noWrap/>
            <w:vAlign w:val="center"/>
          </w:tcPr>
          <w:p w14:paraId="7D78647B" w14:textId="39EFF70E" w:rsidR="00470AE4" w:rsidRPr="00C63860" w:rsidRDefault="00C63860"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color w:val="00B0F0"/>
                <w:sz w:val="22"/>
                <w:szCs w:val="22"/>
              </w:rPr>
              <w:t>–1</w:t>
            </w:r>
            <w:r w:rsidR="00470AE4" w:rsidRPr="00C63860">
              <w:rPr>
                <w:rFonts w:cstheme="minorHAnsi"/>
                <w:sz w:val="22"/>
                <w:szCs w:val="22"/>
              </w:rPr>
              <w:t>19 (</w:t>
            </w:r>
            <w:r w:rsidRPr="00C63860">
              <w:rPr>
                <w:rFonts w:cstheme="minorHAnsi"/>
                <w:color w:val="00B0F0"/>
                <w:sz w:val="22"/>
                <w:szCs w:val="22"/>
              </w:rPr>
              <w:t>–1</w:t>
            </w:r>
            <w:r w:rsidR="00470AE4" w:rsidRPr="00C63860">
              <w:rPr>
                <w:rFonts w:cstheme="minorHAnsi"/>
                <w:sz w:val="22"/>
                <w:szCs w:val="22"/>
              </w:rPr>
              <w:t>,282, 1,043)</w:t>
            </w:r>
          </w:p>
        </w:tc>
        <w:tc>
          <w:tcPr>
            <w:tcW w:w="0" w:type="auto"/>
            <w:tcBorders>
              <w:top w:val="none" w:sz="0" w:space="0" w:color="auto"/>
              <w:bottom w:val="none" w:sz="0" w:space="0" w:color="auto"/>
            </w:tcBorders>
            <w:shd w:val="clear" w:color="auto" w:fill="auto"/>
            <w:vAlign w:val="center"/>
          </w:tcPr>
          <w:p w14:paraId="0EB3B0D5" w14:textId="57D89AFC"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728 (</w:t>
            </w:r>
            <w:r w:rsidR="00C63860" w:rsidRPr="00C63860">
              <w:rPr>
                <w:rFonts w:cstheme="minorHAnsi"/>
                <w:color w:val="00B0F0"/>
                <w:sz w:val="22"/>
                <w:szCs w:val="22"/>
              </w:rPr>
              <w:t>–2</w:t>
            </w:r>
            <w:r w:rsidRPr="00C63860">
              <w:rPr>
                <w:rFonts w:cstheme="minorHAnsi"/>
                <w:sz w:val="22"/>
                <w:szCs w:val="22"/>
              </w:rPr>
              <w:t>,161, 3,617)</w:t>
            </w:r>
          </w:p>
        </w:tc>
      </w:tr>
      <w:tr w:rsidR="00470AE4" w:rsidRPr="00C63860" w14:paraId="3E23A192"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tcPr>
          <w:p w14:paraId="1DF33833" w14:textId="77777777" w:rsidR="00470AE4" w:rsidRPr="00C63860" w:rsidRDefault="00470AE4" w:rsidP="00470AE4">
            <w:pPr>
              <w:contextualSpacing/>
              <w:jc w:val="center"/>
              <w:rPr>
                <w:rFonts w:cstheme="minorHAnsi"/>
                <w:b w:val="0"/>
                <w:bCs w:val="0"/>
                <w:sz w:val="22"/>
                <w:szCs w:val="22"/>
              </w:rPr>
            </w:pPr>
            <w:r w:rsidRPr="00C63860">
              <w:rPr>
                <w:rFonts w:cstheme="minorHAnsi"/>
                <w:b w:val="0"/>
                <w:bCs w:val="0"/>
                <w:sz w:val="22"/>
                <w:szCs w:val="22"/>
              </w:rPr>
              <w:t>ES</w:t>
            </w:r>
          </w:p>
        </w:tc>
        <w:tc>
          <w:tcPr>
            <w:tcW w:w="0" w:type="auto"/>
            <w:shd w:val="clear" w:color="auto" w:fill="auto"/>
            <w:noWrap/>
            <w:vAlign w:val="center"/>
          </w:tcPr>
          <w:p w14:paraId="16BFB4F4"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3,366</w:t>
            </w:r>
          </w:p>
        </w:tc>
        <w:tc>
          <w:tcPr>
            <w:tcW w:w="0" w:type="auto"/>
            <w:shd w:val="clear" w:color="auto" w:fill="auto"/>
            <w:vAlign w:val="center"/>
          </w:tcPr>
          <w:p w14:paraId="538D9F80"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sz w:val="22"/>
                <w:szCs w:val="22"/>
              </w:rPr>
              <w:t>5,477</w:t>
            </w:r>
          </w:p>
        </w:tc>
        <w:tc>
          <w:tcPr>
            <w:tcW w:w="0" w:type="auto"/>
            <w:shd w:val="clear" w:color="auto" w:fill="auto"/>
            <w:noWrap/>
            <w:vAlign w:val="center"/>
          </w:tcPr>
          <w:p w14:paraId="7B2CC771"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2,643</w:t>
            </w:r>
          </w:p>
        </w:tc>
        <w:tc>
          <w:tcPr>
            <w:tcW w:w="0" w:type="auto"/>
            <w:shd w:val="clear" w:color="auto" w:fill="auto"/>
            <w:noWrap/>
            <w:vAlign w:val="center"/>
          </w:tcPr>
          <w:p w14:paraId="7FEC2100"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5,052</w:t>
            </w:r>
          </w:p>
        </w:tc>
        <w:tc>
          <w:tcPr>
            <w:tcW w:w="0" w:type="auto"/>
            <w:shd w:val="clear" w:color="auto" w:fill="auto"/>
            <w:vAlign w:val="center"/>
          </w:tcPr>
          <w:p w14:paraId="20BAED05"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9,281</w:t>
            </w:r>
          </w:p>
        </w:tc>
      </w:tr>
      <w:tr w:rsidR="00470AE4" w:rsidRPr="00C63860" w14:paraId="5FAA8216"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noWrap/>
            <w:vAlign w:val="center"/>
          </w:tcPr>
          <w:p w14:paraId="77FA4630" w14:textId="77777777" w:rsidR="00470AE4" w:rsidRPr="00C63860" w:rsidRDefault="00470AE4" w:rsidP="00470AE4">
            <w:pPr>
              <w:contextualSpacing/>
              <w:jc w:val="center"/>
              <w:rPr>
                <w:rFonts w:cstheme="minorHAnsi"/>
                <w:color w:val="000000"/>
                <w:sz w:val="22"/>
                <w:szCs w:val="22"/>
              </w:rPr>
            </w:pPr>
            <w:r w:rsidRPr="00C63860">
              <w:rPr>
                <w:rFonts w:cstheme="minorHAnsi"/>
                <w:b w:val="0"/>
                <w:bCs w:val="0"/>
                <w:sz w:val="22"/>
                <w:szCs w:val="22"/>
              </w:rPr>
              <w:t>NES</w:t>
            </w:r>
          </w:p>
        </w:tc>
        <w:tc>
          <w:tcPr>
            <w:tcW w:w="0" w:type="auto"/>
            <w:tcBorders>
              <w:top w:val="none" w:sz="0" w:space="0" w:color="auto"/>
              <w:bottom w:val="none" w:sz="0" w:space="0" w:color="auto"/>
            </w:tcBorders>
            <w:shd w:val="clear" w:color="auto" w:fill="auto"/>
            <w:noWrap/>
            <w:vAlign w:val="center"/>
          </w:tcPr>
          <w:p w14:paraId="57638BB5"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sz w:val="22"/>
                <w:szCs w:val="22"/>
              </w:rPr>
              <w:t>3,475</w:t>
            </w:r>
          </w:p>
        </w:tc>
        <w:tc>
          <w:tcPr>
            <w:tcW w:w="0" w:type="auto"/>
            <w:tcBorders>
              <w:top w:val="none" w:sz="0" w:space="0" w:color="auto"/>
              <w:bottom w:val="none" w:sz="0" w:space="0" w:color="auto"/>
            </w:tcBorders>
            <w:shd w:val="clear" w:color="auto" w:fill="auto"/>
            <w:vAlign w:val="center"/>
          </w:tcPr>
          <w:p w14:paraId="20F38ABA"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sz w:val="22"/>
                <w:szCs w:val="22"/>
              </w:rPr>
              <w:t>5,554</w:t>
            </w:r>
          </w:p>
        </w:tc>
        <w:tc>
          <w:tcPr>
            <w:tcW w:w="0" w:type="auto"/>
            <w:tcBorders>
              <w:top w:val="none" w:sz="0" w:space="0" w:color="auto"/>
              <w:bottom w:val="none" w:sz="0" w:space="0" w:color="auto"/>
            </w:tcBorders>
            <w:shd w:val="clear" w:color="auto" w:fill="auto"/>
            <w:noWrap/>
            <w:vAlign w:val="center"/>
          </w:tcPr>
          <w:p w14:paraId="3A1DD198"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sz w:val="22"/>
                <w:szCs w:val="22"/>
              </w:rPr>
              <w:t>4,365</w:t>
            </w:r>
          </w:p>
        </w:tc>
        <w:tc>
          <w:tcPr>
            <w:tcW w:w="0" w:type="auto"/>
            <w:tcBorders>
              <w:top w:val="none" w:sz="0" w:space="0" w:color="auto"/>
              <w:bottom w:val="none" w:sz="0" w:space="0" w:color="auto"/>
            </w:tcBorders>
            <w:shd w:val="clear" w:color="auto" w:fill="auto"/>
            <w:noWrap/>
            <w:vAlign w:val="center"/>
          </w:tcPr>
          <w:p w14:paraId="24FE8DC3"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sz w:val="22"/>
                <w:szCs w:val="22"/>
              </w:rPr>
              <w:t>4,161</w:t>
            </w:r>
          </w:p>
        </w:tc>
        <w:tc>
          <w:tcPr>
            <w:tcW w:w="0" w:type="auto"/>
            <w:tcBorders>
              <w:top w:val="none" w:sz="0" w:space="0" w:color="auto"/>
              <w:bottom w:val="none" w:sz="0" w:space="0" w:color="auto"/>
            </w:tcBorders>
            <w:shd w:val="clear" w:color="auto" w:fill="auto"/>
            <w:vAlign w:val="center"/>
          </w:tcPr>
          <w:p w14:paraId="549127A3"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9,817</w:t>
            </w:r>
          </w:p>
        </w:tc>
      </w:tr>
      <w:tr w:rsidR="00470AE4" w:rsidRPr="00C63860" w14:paraId="50386819"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tcPr>
          <w:p w14:paraId="2B4D7915" w14:textId="77777777" w:rsidR="00470AE4" w:rsidRPr="00C63860" w:rsidRDefault="00470AE4" w:rsidP="00470AE4">
            <w:pPr>
              <w:contextualSpacing/>
              <w:jc w:val="center"/>
              <w:rPr>
                <w:rFonts w:cstheme="minorHAnsi"/>
                <w:color w:val="000000"/>
                <w:sz w:val="22"/>
                <w:szCs w:val="22"/>
              </w:rPr>
            </w:pPr>
            <w:r w:rsidRPr="00C63860">
              <w:rPr>
                <w:rFonts w:cstheme="minorHAnsi"/>
                <w:sz w:val="22"/>
                <w:szCs w:val="22"/>
              </w:rPr>
              <w:t>Incremental costs</w:t>
            </w:r>
          </w:p>
        </w:tc>
        <w:tc>
          <w:tcPr>
            <w:tcW w:w="0" w:type="auto"/>
            <w:shd w:val="clear" w:color="auto" w:fill="auto"/>
            <w:noWrap/>
            <w:vAlign w:val="center"/>
          </w:tcPr>
          <w:p w14:paraId="562AF478" w14:textId="32642FD6" w:rsidR="00470AE4" w:rsidRPr="00C63860" w:rsidRDefault="00C63860"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color w:val="00B0F0"/>
                <w:sz w:val="22"/>
                <w:szCs w:val="22"/>
              </w:rPr>
              <w:t>–1</w:t>
            </w:r>
            <w:r w:rsidR="00470AE4" w:rsidRPr="00C63860">
              <w:rPr>
                <w:rFonts w:cstheme="minorHAnsi"/>
                <w:sz w:val="22"/>
                <w:szCs w:val="22"/>
              </w:rPr>
              <w:t>09 (</w:t>
            </w:r>
            <w:r w:rsidRPr="00C63860">
              <w:rPr>
                <w:rFonts w:cstheme="minorHAnsi"/>
                <w:color w:val="00B0F0"/>
                <w:sz w:val="22"/>
                <w:szCs w:val="22"/>
              </w:rPr>
              <w:t>–1</w:t>
            </w:r>
            <w:r w:rsidR="00470AE4" w:rsidRPr="00C63860">
              <w:rPr>
                <w:rFonts w:cstheme="minorHAnsi"/>
                <w:sz w:val="22"/>
                <w:szCs w:val="22"/>
              </w:rPr>
              <w:t>,130, 913)</w:t>
            </w:r>
          </w:p>
        </w:tc>
        <w:tc>
          <w:tcPr>
            <w:tcW w:w="0" w:type="auto"/>
            <w:shd w:val="clear" w:color="auto" w:fill="auto"/>
            <w:vAlign w:val="center"/>
          </w:tcPr>
          <w:p w14:paraId="48F17144" w14:textId="257BC774" w:rsidR="00470AE4" w:rsidRPr="00C63860" w:rsidRDefault="00C63860"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color w:val="00B0F0"/>
                <w:sz w:val="22"/>
                <w:szCs w:val="22"/>
              </w:rPr>
              <w:t>–7</w:t>
            </w:r>
            <w:r w:rsidR="00470AE4" w:rsidRPr="00C63860">
              <w:rPr>
                <w:rFonts w:cstheme="minorHAnsi"/>
                <w:sz w:val="22"/>
                <w:szCs w:val="22"/>
              </w:rPr>
              <w:t>6.8 (</w:t>
            </w:r>
            <w:r w:rsidRPr="00C63860">
              <w:rPr>
                <w:rFonts w:cstheme="minorHAnsi"/>
                <w:color w:val="00B0F0"/>
                <w:sz w:val="22"/>
                <w:szCs w:val="22"/>
              </w:rPr>
              <w:t>–7</w:t>
            </w:r>
            <w:r w:rsidR="00470AE4" w:rsidRPr="00C63860">
              <w:rPr>
                <w:rFonts w:cstheme="minorHAnsi"/>
                <w:sz w:val="22"/>
                <w:szCs w:val="22"/>
              </w:rPr>
              <w:t>02, 548)</w:t>
            </w:r>
          </w:p>
        </w:tc>
        <w:tc>
          <w:tcPr>
            <w:tcW w:w="0" w:type="auto"/>
            <w:shd w:val="clear" w:color="auto" w:fill="auto"/>
            <w:noWrap/>
            <w:vAlign w:val="center"/>
          </w:tcPr>
          <w:p w14:paraId="71931717" w14:textId="78E4BE84" w:rsidR="00470AE4" w:rsidRPr="00C63860" w:rsidRDefault="00C63860"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color w:val="00B0F0"/>
                <w:sz w:val="22"/>
                <w:szCs w:val="22"/>
              </w:rPr>
              <w:t>–1</w:t>
            </w:r>
            <w:r w:rsidR="00470AE4" w:rsidRPr="00C63860">
              <w:rPr>
                <w:rFonts w:cstheme="minorHAnsi"/>
                <w:sz w:val="22"/>
                <w:szCs w:val="22"/>
              </w:rPr>
              <w:t>,724 (</w:t>
            </w:r>
            <w:r w:rsidRPr="00C63860">
              <w:rPr>
                <w:rFonts w:cstheme="minorHAnsi"/>
                <w:color w:val="00B0F0"/>
                <w:sz w:val="22"/>
                <w:szCs w:val="22"/>
              </w:rPr>
              <w:t>–7</w:t>
            </w:r>
            <w:r w:rsidR="00470AE4" w:rsidRPr="00C63860">
              <w:rPr>
                <w:rFonts w:cstheme="minorHAnsi"/>
                <w:sz w:val="22"/>
                <w:szCs w:val="22"/>
              </w:rPr>
              <w:t>,878, 4,430)</w:t>
            </w:r>
          </w:p>
        </w:tc>
        <w:tc>
          <w:tcPr>
            <w:tcW w:w="0" w:type="auto"/>
            <w:shd w:val="clear" w:color="auto" w:fill="auto"/>
            <w:noWrap/>
            <w:vAlign w:val="center"/>
          </w:tcPr>
          <w:p w14:paraId="32E9C1F2"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sz w:val="22"/>
                <w:szCs w:val="22"/>
              </w:rPr>
              <w:t>891 (20.7, 1,762)</w:t>
            </w:r>
          </w:p>
        </w:tc>
        <w:tc>
          <w:tcPr>
            <w:tcW w:w="0" w:type="auto"/>
            <w:shd w:val="clear" w:color="auto" w:fill="auto"/>
            <w:vAlign w:val="center"/>
          </w:tcPr>
          <w:p w14:paraId="4CC22CAB" w14:textId="181CAE98" w:rsidR="00470AE4" w:rsidRPr="00C63860" w:rsidRDefault="00C63860"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color w:val="00B0F0"/>
                <w:sz w:val="22"/>
                <w:szCs w:val="22"/>
              </w:rPr>
              <w:t>–5</w:t>
            </w:r>
            <w:r w:rsidR="00470AE4" w:rsidRPr="00C63860">
              <w:rPr>
                <w:rFonts w:cstheme="minorHAnsi"/>
                <w:sz w:val="22"/>
                <w:szCs w:val="22"/>
              </w:rPr>
              <w:t>35 (</w:t>
            </w:r>
            <w:r w:rsidRPr="00C63860">
              <w:rPr>
                <w:rFonts w:cstheme="minorHAnsi"/>
                <w:color w:val="00B0F0"/>
                <w:sz w:val="22"/>
                <w:szCs w:val="22"/>
              </w:rPr>
              <w:t>–3</w:t>
            </w:r>
            <w:r w:rsidR="00470AE4" w:rsidRPr="00C63860">
              <w:rPr>
                <w:rFonts w:cstheme="minorHAnsi"/>
                <w:sz w:val="22"/>
                <w:szCs w:val="22"/>
              </w:rPr>
              <w:t>,448, 2,376)</w:t>
            </w:r>
          </w:p>
        </w:tc>
      </w:tr>
      <w:tr w:rsidR="00470AE4" w:rsidRPr="00C63860" w14:paraId="7DA4CDCF"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noWrap/>
            <w:vAlign w:val="center"/>
            <w:hideMark/>
          </w:tcPr>
          <w:p w14:paraId="1EFE67F7" w14:textId="77777777" w:rsidR="00470AE4" w:rsidRPr="00C63860" w:rsidRDefault="00470AE4" w:rsidP="00470AE4">
            <w:pPr>
              <w:contextualSpacing/>
              <w:jc w:val="center"/>
              <w:rPr>
                <w:rFonts w:cstheme="minorHAnsi"/>
                <w:b w:val="0"/>
                <w:bCs w:val="0"/>
                <w:sz w:val="22"/>
                <w:szCs w:val="22"/>
              </w:rPr>
            </w:pPr>
            <w:r w:rsidRPr="00C63860">
              <w:rPr>
                <w:rFonts w:cstheme="minorHAnsi"/>
                <w:b w:val="0"/>
                <w:bCs w:val="0"/>
                <w:sz w:val="22"/>
                <w:szCs w:val="22"/>
              </w:rPr>
              <w:t>ES</w:t>
            </w:r>
          </w:p>
        </w:tc>
        <w:tc>
          <w:tcPr>
            <w:tcW w:w="0" w:type="auto"/>
            <w:tcBorders>
              <w:top w:val="none" w:sz="0" w:space="0" w:color="auto"/>
              <w:bottom w:val="none" w:sz="0" w:space="0" w:color="auto"/>
            </w:tcBorders>
            <w:shd w:val="clear" w:color="auto" w:fill="auto"/>
            <w:noWrap/>
            <w:vAlign w:val="center"/>
          </w:tcPr>
          <w:p w14:paraId="20E74340"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bCs/>
                <w:sz w:val="22"/>
                <w:szCs w:val="22"/>
              </w:rPr>
              <w:t>0.942</w:t>
            </w:r>
          </w:p>
        </w:tc>
        <w:tc>
          <w:tcPr>
            <w:tcW w:w="0" w:type="auto"/>
            <w:tcBorders>
              <w:top w:val="none" w:sz="0" w:space="0" w:color="auto"/>
              <w:bottom w:val="none" w:sz="0" w:space="0" w:color="auto"/>
            </w:tcBorders>
            <w:shd w:val="clear" w:color="auto" w:fill="auto"/>
            <w:vAlign w:val="center"/>
          </w:tcPr>
          <w:p w14:paraId="630BC3E4"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0.877</w:t>
            </w:r>
          </w:p>
        </w:tc>
        <w:tc>
          <w:tcPr>
            <w:tcW w:w="0" w:type="auto"/>
            <w:tcBorders>
              <w:top w:val="none" w:sz="0" w:space="0" w:color="auto"/>
              <w:bottom w:val="none" w:sz="0" w:space="0" w:color="auto"/>
            </w:tcBorders>
            <w:shd w:val="clear" w:color="auto" w:fill="auto"/>
            <w:noWrap/>
            <w:vAlign w:val="center"/>
          </w:tcPr>
          <w:p w14:paraId="5566F345"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bCs/>
                <w:sz w:val="22"/>
                <w:szCs w:val="22"/>
              </w:rPr>
              <w:t>0.884</w:t>
            </w:r>
          </w:p>
        </w:tc>
        <w:tc>
          <w:tcPr>
            <w:tcW w:w="0" w:type="auto"/>
            <w:tcBorders>
              <w:top w:val="none" w:sz="0" w:space="0" w:color="auto"/>
              <w:bottom w:val="none" w:sz="0" w:space="0" w:color="auto"/>
            </w:tcBorders>
            <w:shd w:val="clear" w:color="auto" w:fill="auto"/>
            <w:noWrap/>
            <w:vAlign w:val="center"/>
          </w:tcPr>
          <w:p w14:paraId="698F780E"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bCs/>
                <w:sz w:val="22"/>
                <w:szCs w:val="22"/>
              </w:rPr>
              <w:t>0.865</w:t>
            </w:r>
          </w:p>
        </w:tc>
        <w:tc>
          <w:tcPr>
            <w:tcW w:w="0" w:type="auto"/>
            <w:tcBorders>
              <w:top w:val="none" w:sz="0" w:space="0" w:color="auto"/>
              <w:bottom w:val="none" w:sz="0" w:space="0" w:color="auto"/>
            </w:tcBorders>
            <w:shd w:val="clear" w:color="auto" w:fill="auto"/>
            <w:vAlign w:val="center"/>
          </w:tcPr>
          <w:p w14:paraId="3FFD90B2"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0.172</w:t>
            </w:r>
          </w:p>
        </w:tc>
      </w:tr>
      <w:tr w:rsidR="00470AE4" w:rsidRPr="00C63860" w14:paraId="6C20299C"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tcPr>
          <w:p w14:paraId="3678738A" w14:textId="77777777" w:rsidR="00470AE4" w:rsidRPr="00C63860" w:rsidRDefault="00470AE4" w:rsidP="00470AE4">
            <w:pPr>
              <w:contextualSpacing/>
              <w:jc w:val="center"/>
              <w:rPr>
                <w:rFonts w:cstheme="minorHAnsi"/>
                <w:sz w:val="22"/>
                <w:szCs w:val="22"/>
              </w:rPr>
            </w:pPr>
            <w:r w:rsidRPr="00C63860">
              <w:rPr>
                <w:rFonts w:cstheme="minorHAnsi"/>
                <w:b w:val="0"/>
                <w:bCs w:val="0"/>
                <w:sz w:val="22"/>
                <w:szCs w:val="22"/>
              </w:rPr>
              <w:t>NES</w:t>
            </w:r>
          </w:p>
        </w:tc>
        <w:tc>
          <w:tcPr>
            <w:tcW w:w="0" w:type="auto"/>
            <w:shd w:val="clear" w:color="auto" w:fill="auto"/>
            <w:noWrap/>
            <w:vAlign w:val="center"/>
          </w:tcPr>
          <w:p w14:paraId="45F539FE"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bCs/>
                <w:sz w:val="22"/>
                <w:szCs w:val="22"/>
              </w:rPr>
              <w:t>0</w:t>
            </w:r>
            <w:r w:rsidRPr="00C63860">
              <w:rPr>
                <w:sz w:val="22"/>
                <w:szCs w:val="22"/>
              </w:rPr>
              <w:t>.</w:t>
            </w:r>
            <w:r w:rsidRPr="00C63860">
              <w:rPr>
                <w:rFonts w:cstheme="minorHAnsi"/>
                <w:bCs/>
                <w:sz w:val="22"/>
                <w:szCs w:val="22"/>
              </w:rPr>
              <w:t>952</w:t>
            </w:r>
          </w:p>
        </w:tc>
        <w:tc>
          <w:tcPr>
            <w:tcW w:w="0" w:type="auto"/>
            <w:shd w:val="clear" w:color="auto" w:fill="auto"/>
            <w:vAlign w:val="center"/>
          </w:tcPr>
          <w:p w14:paraId="6BBE9C56"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0.870</w:t>
            </w:r>
          </w:p>
        </w:tc>
        <w:tc>
          <w:tcPr>
            <w:tcW w:w="0" w:type="auto"/>
            <w:shd w:val="clear" w:color="auto" w:fill="auto"/>
            <w:noWrap/>
            <w:vAlign w:val="center"/>
          </w:tcPr>
          <w:p w14:paraId="0A8091FF"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bCs/>
                <w:sz w:val="22"/>
                <w:szCs w:val="22"/>
              </w:rPr>
              <w:t>0.837</w:t>
            </w:r>
          </w:p>
        </w:tc>
        <w:tc>
          <w:tcPr>
            <w:tcW w:w="0" w:type="auto"/>
            <w:shd w:val="clear" w:color="auto" w:fill="auto"/>
            <w:noWrap/>
            <w:vAlign w:val="center"/>
          </w:tcPr>
          <w:p w14:paraId="016D95C5"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bCs/>
                <w:sz w:val="22"/>
                <w:szCs w:val="22"/>
              </w:rPr>
              <w:t>0.827</w:t>
            </w:r>
          </w:p>
        </w:tc>
        <w:tc>
          <w:tcPr>
            <w:tcW w:w="0" w:type="auto"/>
            <w:shd w:val="clear" w:color="auto" w:fill="auto"/>
            <w:vAlign w:val="center"/>
          </w:tcPr>
          <w:p w14:paraId="64174788"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0.163</w:t>
            </w:r>
          </w:p>
        </w:tc>
      </w:tr>
      <w:tr w:rsidR="00470AE4" w:rsidRPr="00C63860" w14:paraId="0DB20FD2"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noWrap/>
            <w:vAlign w:val="center"/>
          </w:tcPr>
          <w:p w14:paraId="28E93EFC" w14:textId="77777777" w:rsidR="00470AE4" w:rsidRPr="00C63860" w:rsidRDefault="00470AE4" w:rsidP="00470AE4">
            <w:pPr>
              <w:contextualSpacing/>
              <w:jc w:val="center"/>
              <w:rPr>
                <w:rFonts w:cstheme="minorHAnsi"/>
                <w:color w:val="000000"/>
                <w:sz w:val="22"/>
                <w:szCs w:val="22"/>
              </w:rPr>
            </w:pPr>
            <w:r w:rsidRPr="00C63860">
              <w:rPr>
                <w:rFonts w:cstheme="minorHAnsi"/>
                <w:sz w:val="22"/>
                <w:szCs w:val="22"/>
              </w:rPr>
              <w:t>Incremental QALYs</w:t>
            </w:r>
          </w:p>
        </w:tc>
        <w:tc>
          <w:tcPr>
            <w:tcW w:w="0" w:type="auto"/>
            <w:tcBorders>
              <w:top w:val="none" w:sz="0" w:space="0" w:color="auto"/>
              <w:bottom w:val="none" w:sz="0" w:space="0" w:color="auto"/>
            </w:tcBorders>
            <w:shd w:val="clear" w:color="auto" w:fill="auto"/>
            <w:noWrap/>
            <w:vAlign w:val="center"/>
          </w:tcPr>
          <w:p w14:paraId="17220006" w14:textId="0754277B" w:rsidR="00470AE4" w:rsidRPr="00C63860" w:rsidRDefault="00C63860"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color w:val="00B0F0"/>
                <w:sz w:val="22"/>
                <w:szCs w:val="22"/>
              </w:rPr>
              <w:t>–0</w:t>
            </w:r>
            <w:r w:rsidR="00470AE4" w:rsidRPr="00C63860">
              <w:rPr>
                <w:rFonts w:cstheme="minorHAnsi"/>
                <w:sz w:val="22"/>
                <w:szCs w:val="22"/>
              </w:rPr>
              <w:t>.00973 (</w:t>
            </w:r>
            <w:r w:rsidRPr="00C63860">
              <w:rPr>
                <w:rFonts w:cstheme="minorHAnsi"/>
                <w:color w:val="00B0F0"/>
                <w:sz w:val="22"/>
                <w:szCs w:val="22"/>
              </w:rPr>
              <w:t>–0</w:t>
            </w:r>
            <w:r w:rsidR="00470AE4" w:rsidRPr="00C63860">
              <w:rPr>
                <w:rFonts w:cstheme="minorHAnsi"/>
                <w:sz w:val="22"/>
                <w:szCs w:val="22"/>
              </w:rPr>
              <w:t>.0226, 0.00316)</w:t>
            </w:r>
          </w:p>
        </w:tc>
        <w:tc>
          <w:tcPr>
            <w:tcW w:w="0" w:type="auto"/>
            <w:tcBorders>
              <w:top w:val="none" w:sz="0" w:space="0" w:color="auto"/>
              <w:bottom w:val="none" w:sz="0" w:space="0" w:color="auto"/>
            </w:tcBorders>
            <w:shd w:val="clear" w:color="auto" w:fill="auto"/>
            <w:vAlign w:val="center"/>
          </w:tcPr>
          <w:p w14:paraId="0E679BAF" w14:textId="347B9ED0"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sz w:val="22"/>
                <w:szCs w:val="22"/>
              </w:rPr>
              <w:t>0.00720 (</w:t>
            </w:r>
            <w:r w:rsidR="00C63860" w:rsidRPr="00C63860">
              <w:rPr>
                <w:rFonts w:cstheme="minorHAnsi"/>
                <w:color w:val="00B0F0"/>
                <w:sz w:val="22"/>
                <w:szCs w:val="22"/>
              </w:rPr>
              <w:t>–0</w:t>
            </w:r>
            <w:r w:rsidRPr="00C63860">
              <w:rPr>
                <w:rFonts w:cstheme="minorHAnsi"/>
                <w:sz w:val="22"/>
                <w:szCs w:val="22"/>
              </w:rPr>
              <w:t>.000871, 0.0153)</w:t>
            </w:r>
          </w:p>
        </w:tc>
        <w:tc>
          <w:tcPr>
            <w:tcW w:w="0" w:type="auto"/>
            <w:tcBorders>
              <w:top w:val="none" w:sz="0" w:space="0" w:color="auto"/>
              <w:bottom w:val="none" w:sz="0" w:space="0" w:color="auto"/>
            </w:tcBorders>
            <w:shd w:val="clear" w:color="auto" w:fill="auto"/>
            <w:noWrap/>
            <w:vAlign w:val="center"/>
          </w:tcPr>
          <w:p w14:paraId="37CC3036" w14:textId="7E8C5D7F"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sz w:val="22"/>
                <w:szCs w:val="22"/>
              </w:rPr>
              <w:t>0.0471 (</w:t>
            </w:r>
            <w:r w:rsidR="00C63860" w:rsidRPr="00C63860">
              <w:rPr>
                <w:rFonts w:cstheme="minorHAnsi"/>
                <w:color w:val="00B0F0"/>
                <w:sz w:val="22"/>
                <w:szCs w:val="22"/>
              </w:rPr>
              <w:t>–0</w:t>
            </w:r>
            <w:r w:rsidRPr="00C63860">
              <w:rPr>
                <w:rFonts w:cstheme="minorHAnsi"/>
                <w:sz w:val="22"/>
                <w:szCs w:val="22"/>
              </w:rPr>
              <w:t>.0829, 0.177)</w:t>
            </w:r>
          </w:p>
        </w:tc>
        <w:tc>
          <w:tcPr>
            <w:tcW w:w="0" w:type="auto"/>
            <w:tcBorders>
              <w:top w:val="none" w:sz="0" w:space="0" w:color="auto"/>
              <w:bottom w:val="none" w:sz="0" w:space="0" w:color="auto"/>
            </w:tcBorders>
            <w:shd w:val="clear" w:color="auto" w:fill="auto"/>
            <w:noWrap/>
            <w:vAlign w:val="center"/>
          </w:tcPr>
          <w:p w14:paraId="2F6264D4"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sz w:val="22"/>
                <w:szCs w:val="22"/>
              </w:rPr>
              <w:t>0.0386 (0.00430, 0.0729)</w:t>
            </w:r>
          </w:p>
        </w:tc>
        <w:tc>
          <w:tcPr>
            <w:tcW w:w="0" w:type="auto"/>
            <w:tcBorders>
              <w:top w:val="none" w:sz="0" w:space="0" w:color="auto"/>
              <w:bottom w:val="none" w:sz="0" w:space="0" w:color="auto"/>
            </w:tcBorders>
            <w:shd w:val="clear" w:color="auto" w:fill="auto"/>
            <w:vAlign w:val="center"/>
          </w:tcPr>
          <w:p w14:paraId="6CC2F15B" w14:textId="489B63C8"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0.00962 (</w:t>
            </w:r>
            <w:r w:rsidR="00C63860" w:rsidRPr="00C63860">
              <w:rPr>
                <w:rFonts w:cstheme="minorHAnsi"/>
                <w:color w:val="00B0F0"/>
                <w:sz w:val="22"/>
                <w:szCs w:val="22"/>
              </w:rPr>
              <w:t>–0</w:t>
            </w:r>
            <w:r w:rsidRPr="00C63860">
              <w:rPr>
                <w:rFonts w:cstheme="minorHAnsi"/>
                <w:sz w:val="22"/>
                <w:szCs w:val="22"/>
              </w:rPr>
              <w:t>.0155, 0.0347)</w:t>
            </w:r>
          </w:p>
        </w:tc>
      </w:tr>
      <w:tr w:rsidR="00470AE4" w:rsidRPr="00C63860" w14:paraId="481D02C2"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tcPr>
          <w:p w14:paraId="0315A42A" w14:textId="77777777" w:rsidR="00470AE4" w:rsidRPr="00C63860" w:rsidRDefault="00470AE4" w:rsidP="00470AE4">
            <w:pPr>
              <w:contextualSpacing/>
              <w:jc w:val="center"/>
              <w:rPr>
                <w:rFonts w:cstheme="minorHAnsi"/>
                <w:sz w:val="22"/>
                <w:szCs w:val="22"/>
              </w:rPr>
            </w:pPr>
            <w:r w:rsidRPr="00C63860">
              <w:rPr>
                <w:rFonts w:cstheme="minorHAnsi"/>
                <w:b w:val="0"/>
                <w:bCs w:val="0"/>
                <w:sz w:val="22"/>
                <w:szCs w:val="22"/>
              </w:rPr>
              <w:t>ES</w:t>
            </w:r>
          </w:p>
        </w:tc>
        <w:tc>
          <w:tcPr>
            <w:tcW w:w="0" w:type="auto"/>
            <w:shd w:val="clear" w:color="auto" w:fill="auto"/>
            <w:noWrap/>
            <w:vAlign w:val="center"/>
          </w:tcPr>
          <w:p w14:paraId="70478D90"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bCs/>
                <w:sz w:val="22"/>
                <w:szCs w:val="22"/>
              </w:rPr>
              <w:t>0.996</w:t>
            </w:r>
          </w:p>
        </w:tc>
        <w:tc>
          <w:tcPr>
            <w:tcW w:w="0" w:type="auto"/>
            <w:shd w:val="clear" w:color="auto" w:fill="auto"/>
            <w:vAlign w:val="center"/>
          </w:tcPr>
          <w:p w14:paraId="040EB0E6"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0.970</w:t>
            </w:r>
          </w:p>
        </w:tc>
        <w:tc>
          <w:tcPr>
            <w:tcW w:w="0" w:type="auto"/>
            <w:shd w:val="clear" w:color="auto" w:fill="auto"/>
            <w:noWrap/>
            <w:vAlign w:val="center"/>
          </w:tcPr>
          <w:p w14:paraId="42A51B08"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bCs/>
                <w:sz w:val="22"/>
                <w:szCs w:val="22"/>
              </w:rPr>
              <w:t>0.967</w:t>
            </w:r>
          </w:p>
        </w:tc>
        <w:tc>
          <w:tcPr>
            <w:tcW w:w="0" w:type="auto"/>
            <w:shd w:val="clear" w:color="auto" w:fill="auto"/>
            <w:noWrap/>
            <w:vAlign w:val="center"/>
          </w:tcPr>
          <w:p w14:paraId="530AD394"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sz w:val="22"/>
                <w:szCs w:val="22"/>
              </w:rPr>
              <w:t>0.956</w:t>
            </w:r>
          </w:p>
        </w:tc>
        <w:tc>
          <w:tcPr>
            <w:tcW w:w="0" w:type="auto"/>
            <w:shd w:val="clear" w:color="auto" w:fill="auto"/>
            <w:vAlign w:val="center"/>
          </w:tcPr>
          <w:p w14:paraId="6163AE27"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0.832</w:t>
            </w:r>
          </w:p>
        </w:tc>
      </w:tr>
      <w:tr w:rsidR="00470AE4" w:rsidRPr="00C63860" w14:paraId="2FC3F91E"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noWrap/>
            <w:vAlign w:val="center"/>
          </w:tcPr>
          <w:p w14:paraId="1BFF983B" w14:textId="77777777" w:rsidR="00470AE4" w:rsidRPr="00C63860" w:rsidRDefault="00470AE4" w:rsidP="00470AE4">
            <w:pPr>
              <w:contextualSpacing/>
              <w:jc w:val="center"/>
              <w:rPr>
                <w:rFonts w:cstheme="minorHAnsi"/>
                <w:sz w:val="22"/>
                <w:szCs w:val="22"/>
              </w:rPr>
            </w:pPr>
            <w:r w:rsidRPr="00C63860">
              <w:rPr>
                <w:rFonts w:cstheme="minorHAnsi"/>
                <w:b w:val="0"/>
                <w:bCs w:val="0"/>
                <w:sz w:val="22"/>
                <w:szCs w:val="22"/>
              </w:rPr>
              <w:t>NES</w:t>
            </w:r>
          </w:p>
        </w:tc>
        <w:tc>
          <w:tcPr>
            <w:tcW w:w="0" w:type="auto"/>
            <w:tcBorders>
              <w:top w:val="none" w:sz="0" w:space="0" w:color="auto"/>
              <w:bottom w:val="none" w:sz="0" w:space="0" w:color="auto"/>
            </w:tcBorders>
            <w:shd w:val="clear" w:color="auto" w:fill="auto"/>
            <w:noWrap/>
            <w:vAlign w:val="center"/>
          </w:tcPr>
          <w:p w14:paraId="377FDB69"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bCs/>
                <w:sz w:val="22"/>
                <w:szCs w:val="22"/>
              </w:rPr>
              <w:t>0.999</w:t>
            </w:r>
          </w:p>
        </w:tc>
        <w:tc>
          <w:tcPr>
            <w:tcW w:w="0" w:type="auto"/>
            <w:tcBorders>
              <w:top w:val="none" w:sz="0" w:space="0" w:color="auto"/>
              <w:bottom w:val="none" w:sz="0" w:space="0" w:color="auto"/>
            </w:tcBorders>
            <w:shd w:val="clear" w:color="auto" w:fill="auto"/>
            <w:vAlign w:val="center"/>
          </w:tcPr>
          <w:p w14:paraId="3F112C07"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sz w:val="22"/>
                <w:szCs w:val="22"/>
              </w:rPr>
              <w:t>0.978</w:t>
            </w:r>
          </w:p>
        </w:tc>
        <w:tc>
          <w:tcPr>
            <w:tcW w:w="0" w:type="auto"/>
            <w:tcBorders>
              <w:top w:val="none" w:sz="0" w:space="0" w:color="auto"/>
              <w:bottom w:val="none" w:sz="0" w:space="0" w:color="auto"/>
            </w:tcBorders>
            <w:shd w:val="clear" w:color="auto" w:fill="auto"/>
            <w:noWrap/>
            <w:vAlign w:val="center"/>
          </w:tcPr>
          <w:p w14:paraId="10D2DD11"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sz w:val="22"/>
                <w:szCs w:val="22"/>
              </w:rPr>
              <w:t>0.963</w:t>
            </w:r>
          </w:p>
        </w:tc>
        <w:tc>
          <w:tcPr>
            <w:tcW w:w="0" w:type="auto"/>
            <w:tcBorders>
              <w:top w:val="none" w:sz="0" w:space="0" w:color="auto"/>
              <w:bottom w:val="none" w:sz="0" w:space="0" w:color="auto"/>
            </w:tcBorders>
            <w:shd w:val="clear" w:color="auto" w:fill="auto"/>
            <w:noWrap/>
            <w:vAlign w:val="center"/>
          </w:tcPr>
          <w:p w14:paraId="04778476"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sz w:val="22"/>
                <w:szCs w:val="22"/>
              </w:rPr>
              <w:t>0.910</w:t>
            </w:r>
          </w:p>
        </w:tc>
        <w:tc>
          <w:tcPr>
            <w:tcW w:w="0" w:type="auto"/>
            <w:tcBorders>
              <w:top w:val="none" w:sz="0" w:space="0" w:color="auto"/>
              <w:bottom w:val="none" w:sz="0" w:space="0" w:color="auto"/>
            </w:tcBorders>
            <w:shd w:val="clear" w:color="auto" w:fill="auto"/>
            <w:vAlign w:val="center"/>
          </w:tcPr>
          <w:p w14:paraId="78214794"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0.825</w:t>
            </w:r>
          </w:p>
        </w:tc>
      </w:tr>
      <w:tr w:rsidR="00470AE4" w:rsidRPr="00C63860" w14:paraId="07588BF5"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tcPr>
          <w:p w14:paraId="0C38D396" w14:textId="77777777" w:rsidR="00470AE4" w:rsidRPr="00C63860" w:rsidRDefault="00470AE4" w:rsidP="00470AE4">
            <w:pPr>
              <w:contextualSpacing/>
              <w:jc w:val="center"/>
              <w:rPr>
                <w:rFonts w:cstheme="minorHAnsi"/>
                <w:color w:val="000000"/>
                <w:sz w:val="22"/>
                <w:szCs w:val="22"/>
              </w:rPr>
            </w:pPr>
            <w:r w:rsidRPr="00C63860">
              <w:rPr>
                <w:rFonts w:cstheme="minorHAnsi"/>
                <w:sz w:val="22"/>
                <w:szCs w:val="22"/>
              </w:rPr>
              <w:t>Incremental LYs</w:t>
            </w:r>
          </w:p>
        </w:tc>
        <w:tc>
          <w:tcPr>
            <w:tcW w:w="0" w:type="auto"/>
            <w:shd w:val="clear" w:color="auto" w:fill="auto"/>
            <w:noWrap/>
            <w:vAlign w:val="center"/>
          </w:tcPr>
          <w:p w14:paraId="7B19D33E" w14:textId="1ED0622B" w:rsidR="00470AE4" w:rsidRPr="00C63860" w:rsidRDefault="00C63860"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color w:val="00B0F0"/>
                <w:sz w:val="22"/>
                <w:szCs w:val="22"/>
              </w:rPr>
              <w:t>–0</w:t>
            </w:r>
            <w:r w:rsidR="00470AE4" w:rsidRPr="00C63860">
              <w:rPr>
                <w:rFonts w:cstheme="minorHAnsi"/>
                <w:sz w:val="22"/>
                <w:szCs w:val="22"/>
              </w:rPr>
              <w:t>.00334 (</w:t>
            </w:r>
            <w:r w:rsidRPr="00C63860">
              <w:rPr>
                <w:rFonts w:cstheme="minorHAnsi"/>
                <w:color w:val="00B0F0"/>
                <w:sz w:val="22"/>
                <w:szCs w:val="22"/>
              </w:rPr>
              <w:t>–0</w:t>
            </w:r>
            <w:r w:rsidR="00470AE4" w:rsidRPr="00C63860">
              <w:rPr>
                <w:rFonts w:cstheme="minorHAnsi"/>
                <w:sz w:val="22"/>
                <w:szCs w:val="22"/>
              </w:rPr>
              <w:t>.0057</w:t>
            </w:r>
            <w:r w:rsidRPr="00C63860">
              <w:rPr>
                <w:rFonts w:cstheme="minorHAnsi"/>
                <w:color w:val="00B0F0"/>
                <w:sz w:val="22"/>
                <w:szCs w:val="22"/>
              </w:rPr>
              <w:t>2, -0</w:t>
            </w:r>
            <w:r w:rsidR="00470AE4" w:rsidRPr="00C63860">
              <w:rPr>
                <w:rFonts w:cstheme="minorHAnsi"/>
                <w:sz w:val="22"/>
                <w:szCs w:val="22"/>
              </w:rPr>
              <w:t>.000965)</w:t>
            </w:r>
          </w:p>
        </w:tc>
        <w:tc>
          <w:tcPr>
            <w:tcW w:w="0" w:type="auto"/>
            <w:shd w:val="clear" w:color="auto" w:fill="auto"/>
            <w:vAlign w:val="center"/>
          </w:tcPr>
          <w:p w14:paraId="28C9E2BE" w14:textId="06F312F4" w:rsidR="00470AE4" w:rsidRPr="00C63860" w:rsidRDefault="00C63860"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color w:val="00B0F0"/>
                <w:sz w:val="22"/>
                <w:szCs w:val="22"/>
              </w:rPr>
              <w:t>–0</w:t>
            </w:r>
            <w:r w:rsidR="00470AE4" w:rsidRPr="00C63860">
              <w:rPr>
                <w:rFonts w:cstheme="minorHAnsi"/>
                <w:sz w:val="22"/>
                <w:szCs w:val="22"/>
              </w:rPr>
              <w:t>.00862 (</w:t>
            </w:r>
            <w:r w:rsidRPr="00C63860">
              <w:rPr>
                <w:rFonts w:cstheme="minorHAnsi"/>
                <w:color w:val="00B0F0"/>
                <w:sz w:val="22"/>
                <w:szCs w:val="22"/>
              </w:rPr>
              <w:t>–0</w:t>
            </w:r>
            <w:r w:rsidR="00470AE4" w:rsidRPr="00C63860">
              <w:rPr>
                <w:rFonts w:cstheme="minorHAnsi"/>
                <w:sz w:val="22"/>
                <w:szCs w:val="22"/>
              </w:rPr>
              <w:t>.0219, 0.00466)</w:t>
            </w:r>
          </w:p>
        </w:tc>
        <w:tc>
          <w:tcPr>
            <w:tcW w:w="0" w:type="auto"/>
            <w:shd w:val="clear" w:color="auto" w:fill="auto"/>
            <w:noWrap/>
            <w:vAlign w:val="center"/>
          </w:tcPr>
          <w:p w14:paraId="640C582E" w14:textId="4E49977B"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sz w:val="22"/>
                <w:szCs w:val="22"/>
              </w:rPr>
              <w:t>0.00442 (</w:t>
            </w:r>
            <w:r w:rsidR="00C63860" w:rsidRPr="00C63860">
              <w:rPr>
                <w:rFonts w:cstheme="minorHAnsi"/>
                <w:color w:val="00B0F0"/>
                <w:sz w:val="22"/>
                <w:szCs w:val="22"/>
              </w:rPr>
              <w:t>–0</w:t>
            </w:r>
            <w:r w:rsidRPr="00C63860">
              <w:rPr>
                <w:rFonts w:cstheme="minorHAnsi"/>
                <w:sz w:val="22"/>
                <w:szCs w:val="22"/>
              </w:rPr>
              <w:t>.0730, 0.0818)</w:t>
            </w:r>
          </w:p>
        </w:tc>
        <w:tc>
          <w:tcPr>
            <w:tcW w:w="0" w:type="auto"/>
            <w:shd w:val="clear" w:color="auto" w:fill="auto"/>
            <w:noWrap/>
            <w:vAlign w:val="center"/>
          </w:tcPr>
          <w:p w14:paraId="489FCFA7"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63860">
              <w:rPr>
                <w:rFonts w:cstheme="minorHAnsi"/>
                <w:sz w:val="22"/>
                <w:szCs w:val="22"/>
              </w:rPr>
              <w:t>0.0461 (0.00428, 0.0880)</w:t>
            </w:r>
          </w:p>
        </w:tc>
        <w:tc>
          <w:tcPr>
            <w:tcW w:w="0" w:type="auto"/>
            <w:shd w:val="clear" w:color="auto" w:fill="auto"/>
            <w:vAlign w:val="center"/>
          </w:tcPr>
          <w:p w14:paraId="35EE0592" w14:textId="0D575214"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0.00693 (</w:t>
            </w:r>
            <w:r w:rsidR="00C63860" w:rsidRPr="00C63860">
              <w:rPr>
                <w:rFonts w:cstheme="minorHAnsi"/>
                <w:color w:val="00B0F0"/>
                <w:sz w:val="22"/>
                <w:szCs w:val="22"/>
              </w:rPr>
              <w:t>–0</w:t>
            </w:r>
            <w:r w:rsidRPr="00C63860">
              <w:rPr>
                <w:rFonts w:cstheme="minorHAnsi"/>
                <w:sz w:val="22"/>
                <w:szCs w:val="22"/>
              </w:rPr>
              <w:t>.0583, 0.0722)</w:t>
            </w:r>
          </w:p>
        </w:tc>
      </w:tr>
    </w:tbl>
    <w:p w14:paraId="23B490FA" w14:textId="77777777" w:rsidR="00C63860" w:rsidRPr="00C63860" w:rsidRDefault="00C63860" w:rsidP="00470AE4">
      <w:pPr>
        <w:rPr>
          <w:b/>
          <w:bCs/>
        </w:rPr>
      </w:pPr>
    </w:p>
    <w:p w14:paraId="29C4E76D" w14:textId="050EC8A4" w:rsidR="00470AE4" w:rsidRPr="00C63860" w:rsidRDefault="00C63860" w:rsidP="00A668E9">
      <w:pPr>
        <w:pStyle w:val="Caption"/>
        <w:rPr>
          <w:b/>
          <w:bCs/>
          <w:color w:val="auto"/>
          <w:sz w:val="22"/>
          <w:szCs w:val="22"/>
        </w:rPr>
      </w:pPr>
      <w:bookmarkStart w:id="86" w:name="_Toc86670790"/>
      <w:r w:rsidRPr="00C63860">
        <w:rPr>
          <w:b/>
          <w:bCs/>
          <w:color w:val="FF0000"/>
          <w:sz w:val="22"/>
          <w:szCs w:val="22"/>
        </w:rPr>
        <w:t xml:space="preserve">Table </w:t>
      </w:r>
      <w:r w:rsidRPr="00C63860">
        <w:rPr>
          <w:b/>
          <w:bCs/>
          <w:noProof/>
          <w:color w:val="FF0000"/>
          <w:sz w:val="22"/>
          <w:szCs w:val="22"/>
        </w:rPr>
        <w:t>18</w:t>
      </w:r>
      <w:r w:rsidR="00A668E9" w:rsidRPr="00C63860">
        <w:rPr>
          <w:b/>
          <w:bCs/>
          <w:color w:val="auto"/>
          <w:sz w:val="22"/>
          <w:szCs w:val="22"/>
        </w:rPr>
        <w:t>: Summary of sensitivity analyses results. Overall Incremental Net monetary Benefit (£GBP 2019/20) of emergency surgery vs non-emergency surgery strategies. Means (95% CI)</w:t>
      </w:r>
      <w:bookmarkEnd w:id="86"/>
    </w:p>
    <w:tbl>
      <w:tblPr>
        <w:tblStyle w:val="PlainTable2"/>
        <w:tblW w:w="0" w:type="auto"/>
        <w:tblBorders>
          <w:top w:val="none" w:sz="0" w:space="0" w:color="auto"/>
          <w:bottom w:val="none" w:sz="0" w:space="0" w:color="auto"/>
        </w:tblBorders>
        <w:tblCellMar>
          <w:top w:w="40" w:type="dxa"/>
          <w:left w:w="60" w:type="dxa"/>
          <w:bottom w:w="40" w:type="dxa"/>
          <w:right w:w="60" w:type="dxa"/>
        </w:tblCellMar>
        <w:tblLook w:val="04A0" w:firstRow="1" w:lastRow="0" w:firstColumn="1" w:lastColumn="0" w:noHBand="0" w:noVBand="1"/>
      </w:tblPr>
      <w:tblGrid>
        <w:gridCol w:w="916"/>
        <w:gridCol w:w="1508"/>
        <w:gridCol w:w="1330"/>
        <w:gridCol w:w="1400"/>
        <w:gridCol w:w="1308"/>
        <w:gridCol w:w="1280"/>
        <w:gridCol w:w="1284"/>
      </w:tblGrid>
      <w:tr w:rsidR="00C63860" w:rsidRPr="00C63860" w14:paraId="5D30F66C" w14:textId="77777777" w:rsidTr="00C6386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1EF0F5A" w14:textId="77777777" w:rsidR="00470AE4" w:rsidRPr="00C63860" w:rsidRDefault="00470AE4" w:rsidP="00470AE4">
            <w:pPr>
              <w:jc w:val="center"/>
              <w:rPr>
                <w:rFonts w:cstheme="minorHAnsi"/>
                <w:sz w:val="22"/>
                <w:szCs w:val="22"/>
              </w:rPr>
            </w:pPr>
            <w:bookmarkStart w:id="87" w:name="_Hlk82794166"/>
            <w:r w:rsidRPr="00C63860">
              <w:rPr>
                <w:rFonts w:cstheme="minorHAnsi"/>
                <w:sz w:val="22"/>
                <w:szCs w:val="22"/>
              </w:rPr>
              <w:t>Analysis</w:t>
            </w:r>
          </w:p>
        </w:tc>
        <w:tc>
          <w:tcPr>
            <w:tcW w:w="0" w:type="auto"/>
            <w:shd w:val="clear" w:color="auto" w:fill="auto"/>
            <w:vAlign w:val="center"/>
          </w:tcPr>
          <w:p w14:paraId="4B2C9F80"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Description</w:t>
            </w:r>
          </w:p>
        </w:tc>
        <w:tc>
          <w:tcPr>
            <w:tcW w:w="0" w:type="auto"/>
            <w:shd w:val="clear" w:color="auto" w:fill="auto"/>
            <w:vAlign w:val="center"/>
          </w:tcPr>
          <w:p w14:paraId="09EFC700"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Appendicitis (N=268,144)</w:t>
            </w:r>
          </w:p>
        </w:tc>
        <w:tc>
          <w:tcPr>
            <w:tcW w:w="0" w:type="auto"/>
            <w:shd w:val="clear" w:color="auto" w:fill="auto"/>
            <w:vAlign w:val="center"/>
          </w:tcPr>
          <w:p w14:paraId="4EB1F8C8"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rPr>
            </w:pPr>
            <w:r w:rsidRPr="00C63860">
              <w:rPr>
                <w:rFonts w:cstheme="minorHAnsi"/>
                <w:sz w:val="22"/>
                <w:szCs w:val="22"/>
              </w:rPr>
              <w:t>Cholelithiasis</w:t>
            </w:r>
          </w:p>
          <w:p w14:paraId="1CA1E9D3"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(N=</w:t>
            </w:r>
            <w:r w:rsidRPr="00C63860">
              <w:rPr>
                <w:sz w:val="22"/>
                <w:szCs w:val="22"/>
              </w:rPr>
              <w:t xml:space="preserve"> </w:t>
            </w:r>
            <w:r w:rsidRPr="00C63860">
              <w:rPr>
                <w:rFonts w:cstheme="minorHAnsi"/>
                <w:sz w:val="22"/>
                <w:szCs w:val="22"/>
              </w:rPr>
              <w:t>240,977)</w:t>
            </w:r>
          </w:p>
        </w:tc>
        <w:tc>
          <w:tcPr>
            <w:tcW w:w="0" w:type="auto"/>
            <w:shd w:val="clear" w:color="auto" w:fill="auto"/>
            <w:vAlign w:val="center"/>
          </w:tcPr>
          <w:p w14:paraId="0A93FCFA"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Diverticular disease (N=138,869)</w:t>
            </w:r>
          </w:p>
        </w:tc>
        <w:tc>
          <w:tcPr>
            <w:tcW w:w="0" w:type="auto"/>
            <w:shd w:val="clear" w:color="auto" w:fill="auto"/>
            <w:vAlign w:val="center"/>
          </w:tcPr>
          <w:p w14:paraId="6A5CB492"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Hernia (N=106,432)</w:t>
            </w:r>
          </w:p>
        </w:tc>
        <w:tc>
          <w:tcPr>
            <w:tcW w:w="0" w:type="auto"/>
            <w:shd w:val="clear" w:color="auto" w:fill="auto"/>
            <w:vAlign w:val="center"/>
          </w:tcPr>
          <w:p w14:paraId="01883643"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rPr>
            </w:pPr>
            <w:r w:rsidRPr="00C63860">
              <w:rPr>
                <w:rFonts w:cstheme="minorHAnsi"/>
                <w:sz w:val="22"/>
                <w:szCs w:val="22"/>
              </w:rPr>
              <w:t>Intestinal obstruction</w:t>
            </w:r>
          </w:p>
          <w:p w14:paraId="6196470F"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(N=133,073)</w:t>
            </w:r>
          </w:p>
        </w:tc>
      </w:tr>
      <w:tr w:rsidR="00C63860" w:rsidRPr="00C63860" w14:paraId="1AEB7D43"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A6A68B9" w14:textId="77777777" w:rsidR="00470AE4" w:rsidRPr="00C63860" w:rsidRDefault="00470AE4" w:rsidP="00470AE4">
            <w:pPr>
              <w:jc w:val="center"/>
              <w:rPr>
                <w:rFonts w:cstheme="minorHAnsi"/>
                <w:b w:val="0"/>
                <w:bCs w:val="0"/>
                <w:sz w:val="22"/>
                <w:szCs w:val="22"/>
              </w:rPr>
            </w:pPr>
            <w:r w:rsidRPr="00C63860">
              <w:rPr>
                <w:rFonts w:cstheme="minorHAnsi"/>
                <w:b w:val="0"/>
                <w:bCs w:val="0"/>
                <w:sz w:val="22"/>
                <w:szCs w:val="22"/>
              </w:rPr>
              <w:t>Base case</w:t>
            </w:r>
          </w:p>
        </w:tc>
        <w:tc>
          <w:tcPr>
            <w:tcW w:w="0" w:type="auto"/>
            <w:shd w:val="clear" w:color="auto" w:fill="auto"/>
            <w:vAlign w:val="center"/>
          </w:tcPr>
          <w:p w14:paraId="1F4052BB"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See Main document</w:t>
            </w:r>
          </w:p>
        </w:tc>
        <w:tc>
          <w:tcPr>
            <w:tcW w:w="0" w:type="auto"/>
            <w:shd w:val="clear" w:color="auto" w:fill="auto"/>
            <w:vAlign w:val="center"/>
          </w:tcPr>
          <w:p w14:paraId="01B29B64" w14:textId="7E47B8F5" w:rsidR="00470AE4" w:rsidRPr="00C63860" w:rsidRDefault="00C63860"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color w:val="00B0F0"/>
                <w:sz w:val="22"/>
                <w:szCs w:val="22"/>
              </w:rPr>
              <w:t>–8</w:t>
            </w:r>
            <w:r w:rsidR="00470AE4" w:rsidRPr="00C63860">
              <w:rPr>
                <w:rFonts w:cstheme="minorHAnsi"/>
                <w:sz w:val="22"/>
                <w:szCs w:val="22"/>
              </w:rPr>
              <w:t>6.2</w:t>
            </w:r>
          </w:p>
          <w:p w14:paraId="3BFFFB6F" w14:textId="25798F25"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sz w:val="22"/>
                <w:szCs w:val="22"/>
              </w:rPr>
              <w:t>(</w:t>
            </w:r>
            <w:r w:rsidR="00C63860" w:rsidRPr="00C63860">
              <w:rPr>
                <w:rFonts w:cstheme="minorHAnsi"/>
                <w:color w:val="00B0F0"/>
                <w:sz w:val="22"/>
                <w:szCs w:val="22"/>
              </w:rPr>
              <w:t>–1</w:t>
            </w:r>
            <w:r w:rsidRPr="00C63860">
              <w:rPr>
                <w:rFonts w:cstheme="minorHAnsi"/>
                <w:sz w:val="22"/>
                <w:szCs w:val="22"/>
              </w:rPr>
              <w:t>,163, 991)</w:t>
            </w:r>
          </w:p>
        </w:tc>
        <w:tc>
          <w:tcPr>
            <w:tcW w:w="0" w:type="auto"/>
            <w:shd w:val="clear" w:color="auto" w:fill="auto"/>
            <w:vAlign w:val="center"/>
          </w:tcPr>
          <w:p w14:paraId="665D9C54"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221</w:t>
            </w:r>
          </w:p>
          <w:p w14:paraId="30432C8A" w14:textId="37215D39"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sz w:val="22"/>
                <w:szCs w:val="22"/>
              </w:rPr>
              <w:t>(</w:t>
            </w:r>
            <w:r w:rsidR="00C63860" w:rsidRPr="00C63860">
              <w:rPr>
                <w:rFonts w:cstheme="minorHAnsi"/>
                <w:color w:val="00B0F0"/>
                <w:sz w:val="22"/>
                <w:szCs w:val="22"/>
              </w:rPr>
              <w:t>–4</w:t>
            </w:r>
            <w:r w:rsidRPr="00C63860">
              <w:rPr>
                <w:rFonts w:cstheme="minorHAnsi"/>
                <w:sz w:val="22"/>
                <w:szCs w:val="22"/>
              </w:rPr>
              <w:t>50, 892)</w:t>
            </w:r>
          </w:p>
        </w:tc>
        <w:tc>
          <w:tcPr>
            <w:tcW w:w="0" w:type="auto"/>
            <w:shd w:val="clear" w:color="auto" w:fill="auto"/>
            <w:vAlign w:val="center"/>
          </w:tcPr>
          <w:p w14:paraId="1C1084CC"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2,664</w:t>
            </w:r>
          </w:p>
          <w:p w14:paraId="40C357B5" w14:textId="578B709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sz w:val="22"/>
                <w:szCs w:val="22"/>
              </w:rPr>
              <w:t>(</w:t>
            </w:r>
            <w:r w:rsidR="00C63860" w:rsidRPr="00C63860">
              <w:rPr>
                <w:rFonts w:cstheme="minorHAnsi"/>
                <w:color w:val="00B0F0"/>
                <w:sz w:val="22"/>
                <w:szCs w:val="22"/>
              </w:rPr>
              <w:t>–4</w:t>
            </w:r>
            <w:r w:rsidRPr="00C63860">
              <w:rPr>
                <w:rFonts w:cstheme="minorHAnsi"/>
                <w:sz w:val="22"/>
                <w:szCs w:val="22"/>
              </w:rPr>
              <w:t>,298, 9,626)</w:t>
            </w:r>
          </w:p>
        </w:tc>
        <w:tc>
          <w:tcPr>
            <w:tcW w:w="0" w:type="auto"/>
            <w:shd w:val="clear" w:color="auto" w:fill="auto"/>
            <w:vAlign w:val="center"/>
          </w:tcPr>
          <w:p w14:paraId="21088D2D" w14:textId="30B88F76" w:rsidR="00470AE4" w:rsidRPr="00C63860" w:rsidRDefault="00C63860"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color w:val="00B0F0"/>
                <w:sz w:val="22"/>
                <w:szCs w:val="22"/>
              </w:rPr>
              <w:t>–1</w:t>
            </w:r>
            <w:r w:rsidR="00470AE4" w:rsidRPr="00C63860">
              <w:rPr>
                <w:rFonts w:cstheme="minorHAnsi"/>
                <w:sz w:val="22"/>
                <w:szCs w:val="22"/>
              </w:rPr>
              <w:t>19</w:t>
            </w:r>
          </w:p>
          <w:p w14:paraId="601CC9B1" w14:textId="7CB90809"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sz w:val="22"/>
                <w:szCs w:val="22"/>
              </w:rPr>
              <w:t>(</w:t>
            </w:r>
            <w:r w:rsidR="00C63860" w:rsidRPr="00C63860">
              <w:rPr>
                <w:rFonts w:cstheme="minorHAnsi"/>
                <w:color w:val="00B0F0"/>
                <w:sz w:val="22"/>
                <w:szCs w:val="22"/>
              </w:rPr>
              <w:t>–1</w:t>
            </w:r>
            <w:r w:rsidRPr="00C63860">
              <w:rPr>
                <w:rFonts w:cstheme="minorHAnsi"/>
                <w:sz w:val="22"/>
                <w:szCs w:val="22"/>
              </w:rPr>
              <w:t>,282, 1,043)</w:t>
            </w:r>
          </w:p>
        </w:tc>
        <w:tc>
          <w:tcPr>
            <w:tcW w:w="0" w:type="auto"/>
            <w:shd w:val="clear" w:color="auto" w:fill="auto"/>
            <w:vAlign w:val="center"/>
          </w:tcPr>
          <w:p w14:paraId="4B727D0B"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728</w:t>
            </w:r>
          </w:p>
          <w:p w14:paraId="0233DE80" w14:textId="2D743EC2"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highlight w:val="green"/>
              </w:rPr>
            </w:pPr>
            <w:r w:rsidRPr="00C63860">
              <w:rPr>
                <w:rFonts w:cstheme="minorHAnsi"/>
                <w:sz w:val="22"/>
                <w:szCs w:val="22"/>
              </w:rPr>
              <w:t>(</w:t>
            </w:r>
            <w:r w:rsidR="00C63860" w:rsidRPr="00C63860">
              <w:rPr>
                <w:rFonts w:cstheme="minorHAnsi"/>
                <w:color w:val="00B0F0"/>
                <w:sz w:val="22"/>
                <w:szCs w:val="22"/>
              </w:rPr>
              <w:t>–2</w:t>
            </w:r>
            <w:r w:rsidRPr="00C63860">
              <w:rPr>
                <w:rFonts w:cstheme="minorHAnsi"/>
                <w:sz w:val="22"/>
                <w:szCs w:val="22"/>
              </w:rPr>
              <w:t>,161, 3616)</w:t>
            </w:r>
          </w:p>
        </w:tc>
      </w:tr>
      <w:tr w:rsidR="00C63860" w:rsidRPr="00C63860" w14:paraId="078510EE"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573145FD" w14:textId="77777777" w:rsidR="00470AE4" w:rsidRPr="00C63860" w:rsidRDefault="00470AE4" w:rsidP="00470AE4">
            <w:pPr>
              <w:jc w:val="center"/>
              <w:rPr>
                <w:rFonts w:cstheme="minorHAnsi"/>
                <w:b w:val="0"/>
                <w:bCs w:val="0"/>
                <w:sz w:val="22"/>
                <w:szCs w:val="22"/>
              </w:rPr>
            </w:pPr>
            <w:r w:rsidRPr="00C63860">
              <w:rPr>
                <w:rFonts w:cstheme="minorHAnsi"/>
                <w:b w:val="0"/>
                <w:bCs w:val="0"/>
                <w:sz w:val="22"/>
                <w:szCs w:val="22"/>
              </w:rPr>
              <w:t>SA1</w:t>
            </w:r>
          </w:p>
        </w:tc>
        <w:tc>
          <w:tcPr>
            <w:tcW w:w="0" w:type="auto"/>
            <w:shd w:val="clear" w:color="auto" w:fill="auto"/>
            <w:vAlign w:val="center"/>
          </w:tcPr>
          <w:p w14:paraId="1856D2CE" w14:textId="0E5728AC"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sz w:val="22"/>
                <w:szCs w:val="22"/>
              </w:rPr>
              <w:t xml:space="preserve">Considered alternative measures of hospital quality derived from the </w:t>
            </w:r>
            <w:r w:rsidRPr="00C63860">
              <w:rPr>
                <w:rFonts w:cstheme="minorHAnsi"/>
                <w:i/>
                <w:sz w:val="22"/>
                <w:szCs w:val="22"/>
              </w:rPr>
              <w:t xml:space="preserve">National Emergency Laparotomy Audit (NELA) </w:t>
            </w:r>
            <w:r w:rsidRPr="00C63860">
              <w:rPr>
                <w:rFonts w:cstheme="minorHAnsi"/>
                <w:iCs/>
                <w:sz w:val="22"/>
                <w:szCs w:val="22"/>
              </w:rPr>
              <w:t>reports from 2016</w:t>
            </w:r>
            <w:r w:rsidR="00C63860" w:rsidRPr="00C63860">
              <w:rPr>
                <w:rFonts w:cstheme="minorHAnsi"/>
                <w:iCs/>
                <w:color w:val="00B0F0"/>
                <w:sz w:val="22"/>
                <w:szCs w:val="22"/>
              </w:rPr>
              <w:t>–2</w:t>
            </w:r>
            <w:r w:rsidRPr="00C63860">
              <w:rPr>
                <w:rFonts w:cstheme="minorHAnsi"/>
                <w:iCs/>
                <w:sz w:val="22"/>
                <w:szCs w:val="22"/>
              </w:rPr>
              <w:t>018 (see Section 4.2.7)</w:t>
            </w:r>
          </w:p>
        </w:tc>
        <w:tc>
          <w:tcPr>
            <w:tcW w:w="0" w:type="auto"/>
            <w:shd w:val="clear" w:color="auto" w:fill="auto"/>
            <w:vAlign w:val="center"/>
          </w:tcPr>
          <w:p w14:paraId="55E1DEC9"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408</w:t>
            </w:r>
          </w:p>
          <w:p w14:paraId="552C9677" w14:textId="18200273"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–7</w:t>
            </w:r>
            <w:r w:rsidRPr="00C63860">
              <w:rPr>
                <w:rFonts w:cstheme="minorHAnsi"/>
                <w:bCs/>
                <w:sz w:val="22"/>
                <w:szCs w:val="22"/>
              </w:rPr>
              <w:t>87, 1,605)</w:t>
            </w:r>
          </w:p>
        </w:tc>
        <w:tc>
          <w:tcPr>
            <w:tcW w:w="0" w:type="auto"/>
            <w:shd w:val="clear" w:color="auto" w:fill="auto"/>
            <w:vAlign w:val="center"/>
          </w:tcPr>
          <w:p w14:paraId="2A953E14"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664</w:t>
            </w:r>
          </w:p>
          <w:p w14:paraId="3A7B5FDB"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(47.1, 1,281)</w:t>
            </w:r>
          </w:p>
        </w:tc>
        <w:tc>
          <w:tcPr>
            <w:tcW w:w="0" w:type="auto"/>
            <w:shd w:val="clear" w:color="auto" w:fill="auto"/>
            <w:vAlign w:val="center"/>
          </w:tcPr>
          <w:p w14:paraId="2A191F30"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5,823</w:t>
            </w:r>
          </w:p>
          <w:p w14:paraId="20CE4AFB"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(1,029, 10,617)</w:t>
            </w:r>
          </w:p>
        </w:tc>
        <w:tc>
          <w:tcPr>
            <w:tcW w:w="0" w:type="auto"/>
            <w:shd w:val="clear" w:color="auto" w:fill="auto"/>
            <w:vAlign w:val="center"/>
          </w:tcPr>
          <w:p w14:paraId="251F5128"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125</w:t>
            </w:r>
          </w:p>
          <w:p w14:paraId="3D793A6E" w14:textId="5699F188"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–1</w:t>
            </w:r>
            <w:r w:rsidRPr="00C63860">
              <w:rPr>
                <w:rFonts w:cstheme="minorHAnsi"/>
                <w:bCs/>
                <w:sz w:val="22"/>
                <w:szCs w:val="22"/>
              </w:rPr>
              <w:t>,027, 1,276)</w:t>
            </w:r>
          </w:p>
        </w:tc>
        <w:tc>
          <w:tcPr>
            <w:tcW w:w="0" w:type="auto"/>
            <w:shd w:val="clear" w:color="auto" w:fill="auto"/>
            <w:vAlign w:val="center"/>
          </w:tcPr>
          <w:p w14:paraId="6EC37210"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316</w:t>
            </w:r>
          </w:p>
          <w:p w14:paraId="5AFBC36D" w14:textId="6223C965"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w:t>
            </w:r>
            <w:r w:rsidR="00C63860" w:rsidRPr="00C63860">
              <w:rPr>
                <w:rFonts w:cstheme="minorHAnsi"/>
                <w:color w:val="00B0F0"/>
                <w:sz w:val="22"/>
                <w:szCs w:val="22"/>
              </w:rPr>
              <w:t>–2</w:t>
            </w:r>
            <w:r w:rsidRPr="00C63860">
              <w:rPr>
                <w:rFonts w:cstheme="minorHAnsi"/>
                <w:sz w:val="22"/>
                <w:szCs w:val="22"/>
              </w:rPr>
              <w:t>901, 3,532)</w:t>
            </w:r>
          </w:p>
        </w:tc>
      </w:tr>
      <w:tr w:rsidR="00C63860" w:rsidRPr="00C63860" w14:paraId="6F1B40DE"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16E73642" w14:textId="77777777" w:rsidR="00470AE4" w:rsidRPr="00C63860" w:rsidRDefault="00470AE4" w:rsidP="00470AE4">
            <w:pPr>
              <w:jc w:val="center"/>
              <w:rPr>
                <w:rFonts w:cstheme="minorHAnsi"/>
                <w:b w:val="0"/>
                <w:bCs w:val="0"/>
                <w:sz w:val="22"/>
                <w:szCs w:val="22"/>
              </w:rPr>
            </w:pPr>
            <w:r w:rsidRPr="00C63860">
              <w:rPr>
                <w:rFonts w:cstheme="minorHAnsi"/>
                <w:b w:val="0"/>
                <w:bCs w:val="0"/>
                <w:sz w:val="22"/>
                <w:szCs w:val="22"/>
              </w:rPr>
              <w:t>SA2</w:t>
            </w:r>
          </w:p>
        </w:tc>
        <w:tc>
          <w:tcPr>
            <w:tcW w:w="0" w:type="auto"/>
            <w:shd w:val="clear" w:color="auto" w:fill="auto"/>
            <w:vAlign w:val="center"/>
          </w:tcPr>
          <w:p w14:paraId="3F193381"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sz w:val="22"/>
                <w:szCs w:val="22"/>
              </w:rPr>
              <w:t>Considered a 10% decrease in all unit costs in total cost calculation (see Section 4.2.7)</w:t>
            </w:r>
          </w:p>
        </w:tc>
        <w:tc>
          <w:tcPr>
            <w:tcW w:w="0" w:type="auto"/>
            <w:shd w:val="clear" w:color="auto" w:fill="auto"/>
            <w:vAlign w:val="center"/>
          </w:tcPr>
          <w:p w14:paraId="44D9B82D" w14:textId="5B8AD2A0" w:rsidR="00470AE4" w:rsidRPr="00C63860" w:rsidRDefault="00C63860"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color w:val="00B0F0"/>
                <w:sz w:val="22"/>
                <w:szCs w:val="22"/>
              </w:rPr>
              <w:t>–9</w:t>
            </w:r>
            <w:r w:rsidR="00470AE4" w:rsidRPr="00C63860">
              <w:rPr>
                <w:rFonts w:cstheme="minorHAnsi"/>
                <w:bCs/>
                <w:sz w:val="22"/>
                <w:szCs w:val="22"/>
              </w:rPr>
              <w:t>6.9</w:t>
            </w:r>
          </w:p>
          <w:p w14:paraId="6F7B67CB" w14:textId="5F9FD6CC"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–1</w:t>
            </w:r>
            <w:r w:rsidRPr="00C63860">
              <w:rPr>
                <w:rFonts w:cstheme="minorHAnsi"/>
                <w:bCs/>
                <w:sz w:val="22"/>
                <w:szCs w:val="22"/>
              </w:rPr>
              <w:t>,078, 884)</w:t>
            </w:r>
          </w:p>
        </w:tc>
        <w:tc>
          <w:tcPr>
            <w:tcW w:w="0" w:type="auto"/>
            <w:shd w:val="clear" w:color="auto" w:fill="auto"/>
            <w:vAlign w:val="center"/>
          </w:tcPr>
          <w:p w14:paraId="6C49C197"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213</w:t>
            </w:r>
          </w:p>
          <w:p w14:paraId="6494BEF4" w14:textId="047F7CF4"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–3</w:t>
            </w:r>
            <w:r w:rsidRPr="00C63860">
              <w:rPr>
                <w:rFonts w:cstheme="minorHAnsi"/>
                <w:bCs/>
                <w:sz w:val="22"/>
                <w:szCs w:val="22"/>
              </w:rPr>
              <w:t>43, 769)</w:t>
            </w:r>
          </w:p>
        </w:tc>
        <w:tc>
          <w:tcPr>
            <w:tcW w:w="0" w:type="auto"/>
            <w:shd w:val="clear" w:color="auto" w:fill="auto"/>
            <w:vAlign w:val="center"/>
          </w:tcPr>
          <w:p w14:paraId="396E95A5"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2,491</w:t>
            </w:r>
          </w:p>
          <w:p w14:paraId="626FB035" w14:textId="6B6AA559"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–3</w:t>
            </w:r>
            <w:r w:rsidRPr="00C63860">
              <w:rPr>
                <w:rFonts w:cstheme="minorHAnsi"/>
                <w:bCs/>
                <w:sz w:val="22"/>
                <w:szCs w:val="22"/>
              </w:rPr>
              <w:t>,674, 8,655)</w:t>
            </w:r>
          </w:p>
        </w:tc>
        <w:tc>
          <w:tcPr>
            <w:tcW w:w="0" w:type="auto"/>
            <w:shd w:val="clear" w:color="auto" w:fill="auto"/>
            <w:vAlign w:val="center"/>
          </w:tcPr>
          <w:p w14:paraId="71C7D637" w14:textId="4F1FE666" w:rsidR="00470AE4" w:rsidRPr="00C63860" w:rsidRDefault="00C63860"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color w:val="00B0F0"/>
                <w:sz w:val="22"/>
                <w:szCs w:val="22"/>
              </w:rPr>
              <w:t>–3</w:t>
            </w:r>
            <w:r w:rsidR="00470AE4" w:rsidRPr="00C63860">
              <w:rPr>
                <w:rFonts w:cstheme="minorHAnsi"/>
                <w:bCs/>
                <w:sz w:val="22"/>
                <w:szCs w:val="22"/>
              </w:rPr>
              <w:t>0.4</w:t>
            </w:r>
          </w:p>
          <w:p w14:paraId="1A71EA94" w14:textId="4B8525F0"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–9</w:t>
            </w:r>
            <w:r w:rsidRPr="00C63860">
              <w:rPr>
                <w:rFonts w:cstheme="minorHAnsi"/>
                <w:bCs/>
                <w:sz w:val="22"/>
                <w:szCs w:val="22"/>
              </w:rPr>
              <w:t>64, 903)</w:t>
            </w:r>
          </w:p>
        </w:tc>
        <w:tc>
          <w:tcPr>
            <w:tcW w:w="0" w:type="auto"/>
            <w:shd w:val="clear" w:color="auto" w:fill="auto"/>
            <w:vAlign w:val="center"/>
          </w:tcPr>
          <w:p w14:paraId="1F40E724"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674</w:t>
            </w:r>
          </w:p>
          <w:p w14:paraId="17F00C79" w14:textId="251E24DA"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–2</w:t>
            </w:r>
            <w:r w:rsidRPr="00C63860">
              <w:rPr>
                <w:rFonts w:cstheme="minorHAnsi"/>
                <w:bCs/>
                <w:sz w:val="22"/>
                <w:szCs w:val="22"/>
              </w:rPr>
              <w:t>,032, 3,381)</w:t>
            </w:r>
          </w:p>
        </w:tc>
      </w:tr>
      <w:tr w:rsidR="00C63860" w:rsidRPr="00C63860" w14:paraId="682552B3"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394665C" w14:textId="77777777" w:rsidR="00470AE4" w:rsidRPr="00C63860" w:rsidRDefault="00470AE4" w:rsidP="00470AE4">
            <w:pPr>
              <w:jc w:val="center"/>
              <w:rPr>
                <w:rFonts w:cstheme="minorHAnsi"/>
                <w:b w:val="0"/>
                <w:bCs w:val="0"/>
                <w:sz w:val="22"/>
                <w:szCs w:val="22"/>
              </w:rPr>
            </w:pPr>
            <w:r w:rsidRPr="00C63860">
              <w:rPr>
                <w:rFonts w:cstheme="minorHAnsi"/>
                <w:b w:val="0"/>
                <w:bCs w:val="0"/>
                <w:sz w:val="22"/>
                <w:szCs w:val="22"/>
              </w:rPr>
              <w:t>SA3</w:t>
            </w:r>
          </w:p>
        </w:tc>
        <w:tc>
          <w:tcPr>
            <w:tcW w:w="0" w:type="auto"/>
            <w:shd w:val="clear" w:color="auto" w:fill="auto"/>
            <w:vAlign w:val="center"/>
          </w:tcPr>
          <w:p w14:paraId="6F278580"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sz w:val="22"/>
                <w:szCs w:val="22"/>
              </w:rPr>
              <w:t>Considered a 10% increase in all unit costs in total cost calculation (see Section 4.2.7)</w:t>
            </w:r>
          </w:p>
        </w:tc>
        <w:tc>
          <w:tcPr>
            <w:tcW w:w="0" w:type="auto"/>
            <w:shd w:val="clear" w:color="auto" w:fill="auto"/>
            <w:vAlign w:val="center"/>
          </w:tcPr>
          <w:p w14:paraId="5A397489" w14:textId="6622831B" w:rsidR="00470AE4" w:rsidRPr="00C63860" w:rsidRDefault="00C63860"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color w:val="00B0F0"/>
                <w:sz w:val="22"/>
                <w:szCs w:val="22"/>
              </w:rPr>
              <w:t>–7</w:t>
            </w:r>
            <w:r w:rsidR="00470AE4" w:rsidRPr="00C63860">
              <w:rPr>
                <w:rFonts w:cstheme="minorHAnsi"/>
                <w:bCs/>
                <w:sz w:val="22"/>
                <w:szCs w:val="22"/>
              </w:rPr>
              <w:t>5.2</w:t>
            </w:r>
          </w:p>
          <w:p w14:paraId="6938A17B" w14:textId="0760C54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–1</w:t>
            </w:r>
            <w:r w:rsidRPr="00C63860">
              <w:rPr>
                <w:rFonts w:cstheme="minorHAnsi"/>
                <w:bCs/>
                <w:sz w:val="22"/>
                <w:szCs w:val="22"/>
              </w:rPr>
              <w:t>,257, 1,107)</w:t>
            </w:r>
          </w:p>
        </w:tc>
        <w:tc>
          <w:tcPr>
            <w:tcW w:w="0" w:type="auto"/>
            <w:shd w:val="clear" w:color="auto" w:fill="auto"/>
            <w:vAlign w:val="center"/>
          </w:tcPr>
          <w:p w14:paraId="3C97D33C"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228</w:t>
            </w:r>
          </w:p>
          <w:p w14:paraId="278F7FB0" w14:textId="37BAEF1A"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–4</w:t>
            </w:r>
            <w:r w:rsidRPr="00C63860">
              <w:rPr>
                <w:rFonts w:cstheme="minorHAnsi"/>
                <w:bCs/>
                <w:sz w:val="22"/>
                <w:szCs w:val="22"/>
              </w:rPr>
              <w:t>36, 893)</w:t>
            </w:r>
          </w:p>
        </w:tc>
        <w:tc>
          <w:tcPr>
            <w:tcW w:w="0" w:type="auto"/>
            <w:shd w:val="clear" w:color="auto" w:fill="auto"/>
            <w:vAlign w:val="center"/>
          </w:tcPr>
          <w:p w14:paraId="47224313"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2,836</w:t>
            </w:r>
          </w:p>
          <w:p w14:paraId="08741C54" w14:textId="62836C5E"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–4</w:t>
            </w:r>
            <w:r w:rsidRPr="00C63860">
              <w:rPr>
                <w:rFonts w:cstheme="minorHAnsi"/>
                <w:bCs/>
                <w:sz w:val="22"/>
                <w:szCs w:val="22"/>
              </w:rPr>
              <w:t>,357, 10,029)</w:t>
            </w:r>
          </w:p>
        </w:tc>
        <w:tc>
          <w:tcPr>
            <w:tcW w:w="0" w:type="auto"/>
            <w:shd w:val="clear" w:color="auto" w:fill="auto"/>
            <w:vAlign w:val="center"/>
          </w:tcPr>
          <w:p w14:paraId="696F6F9F" w14:textId="751611B6" w:rsidR="00470AE4" w:rsidRPr="00C63860" w:rsidRDefault="00C63860"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color w:val="00B0F0"/>
                <w:sz w:val="22"/>
                <w:szCs w:val="22"/>
              </w:rPr>
              <w:t>–2</w:t>
            </w:r>
            <w:r w:rsidR="00470AE4" w:rsidRPr="00C63860">
              <w:rPr>
                <w:rFonts w:cstheme="minorHAnsi"/>
                <w:bCs/>
                <w:sz w:val="22"/>
                <w:szCs w:val="22"/>
              </w:rPr>
              <w:t>08</w:t>
            </w:r>
          </w:p>
          <w:p w14:paraId="731A0DEF" w14:textId="1CBDADAB"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–1</w:t>
            </w:r>
            <w:r w:rsidRPr="00C63860">
              <w:rPr>
                <w:rFonts w:cstheme="minorHAnsi"/>
                <w:bCs/>
                <w:sz w:val="22"/>
                <w:szCs w:val="22"/>
              </w:rPr>
              <w:t>,254, 837)</w:t>
            </w:r>
          </w:p>
        </w:tc>
        <w:tc>
          <w:tcPr>
            <w:tcW w:w="0" w:type="auto"/>
            <w:shd w:val="clear" w:color="auto" w:fill="auto"/>
            <w:vAlign w:val="center"/>
          </w:tcPr>
          <w:p w14:paraId="49958E99"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782</w:t>
            </w:r>
          </w:p>
          <w:p w14:paraId="098C5854" w14:textId="373880EC"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–2</w:t>
            </w:r>
            <w:r w:rsidRPr="00C63860">
              <w:rPr>
                <w:rFonts w:cstheme="minorHAnsi"/>
                <w:bCs/>
                <w:sz w:val="22"/>
                <w:szCs w:val="22"/>
              </w:rPr>
              <w:t>,518, 4,082)</w:t>
            </w:r>
          </w:p>
        </w:tc>
      </w:tr>
      <w:tr w:rsidR="00C63860" w:rsidRPr="00C63860" w14:paraId="05428913"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7AE2821A" w14:textId="77777777" w:rsidR="00470AE4" w:rsidRPr="00C63860" w:rsidRDefault="00470AE4" w:rsidP="00470AE4">
            <w:pPr>
              <w:jc w:val="center"/>
              <w:rPr>
                <w:rFonts w:cstheme="minorHAnsi"/>
                <w:b w:val="0"/>
                <w:bCs w:val="0"/>
                <w:sz w:val="22"/>
                <w:szCs w:val="22"/>
              </w:rPr>
            </w:pPr>
            <w:r w:rsidRPr="00C63860">
              <w:rPr>
                <w:rFonts w:cstheme="minorHAnsi"/>
                <w:b w:val="0"/>
                <w:bCs w:val="0"/>
                <w:sz w:val="22"/>
                <w:szCs w:val="22"/>
              </w:rPr>
              <w:t>SA4</w:t>
            </w:r>
          </w:p>
        </w:tc>
        <w:tc>
          <w:tcPr>
            <w:tcW w:w="0" w:type="auto"/>
            <w:shd w:val="clear" w:color="auto" w:fill="auto"/>
            <w:vAlign w:val="center"/>
          </w:tcPr>
          <w:p w14:paraId="5EA620EB"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Used linear interpolation between baseline and one-year HRQOL endpoints for calculating QALYs (see Section 4.2.7)</w:t>
            </w:r>
          </w:p>
        </w:tc>
        <w:tc>
          <w:tcPr>
            <w:tcW w:w="0" w:type="auto"/>
            <w:shd w:val="clear" w:color="auto" w:fill="auto"/>
            <w:vAlign w:val="center"/>
          </w:tcPr>
          <w:p w14:paraId="2649D2C8" w14:textId="1CF587CE" w:rsidR="00470AE4" w:rsidRPr="00C63860" w:rsidRDefault="00C63860"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color w:val="00B0F0"/>
                <w:sz w:val="22"/>
                <w:szCs w:val="22"/>
              </w:rPr>
              <w:t>–2</w:t>
            </w:r>
            <w:r w:rsidR="00470AE4" w:rsidRPr="00C63860">
              <w:rPr>
                <w:rFonts w:cstheme="minorHAnsi"/>
                <w:sz w:val="22"/>
                <w:szCs w:val="22"/>
              </w:rPr>
              <w:t>02</w:t>
            </w:r>
          </w:p>
          <w:p w14:paraId="7927FC59" w14:textId="36E9672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w:t>
            </w:r>
            <w:r w:rsidR="00C63860" w:rsidRPr="00C63860">
              <w:rPr>
                <w:rFonts w:cstheme="minorHAnsi"/>
                <w:color w:val="00B0F0"/>
                <w:sz w:val="22"/>
                <w:szCs w:val="22"/>
              </w:rPr>
              <w:t>–1</w:t>
            </w:r>
            <w:r w:rsidRPr="00C63860">
              <w:rPr>
                <w:rFonts w:cstheme="minorHAnsi"/>
                <w:sz w:val="22"/>
                <w:szCs w:val="22"/>
              </w:rPr>
              <w:t>,514, 1,110)</w:t>
            </w:r>
          </w:p>
        </w:tc>
        <w:tc>
          <w:tcPr>
            <w:tcW w:w="0" w:type="auto"/>
            <w:shd w:val="clear" w:color="auto" w:fill="auto"/>
            <w:vAlign w:val="center"/>
          </w:tcPr>
          <w:p w14:paraId="0E08DD4B"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221</w:t>
            </w:r>
          </w:p>
          <w:p w14:paraId="051E3C93" w14:textId="26119144"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w:t>
            </w:r>
            <w:r w:rsidR="00C63860" w:rsidRPr="00C63860">
              <w:rPr>
                <w:rFonts w:cstheme="minorHAnsi"/>
                <w:color w:val="00B0F0"/>
                <w:sz w:val="22"/>
                <w:szCs w:val="22"/>
              </w:rPr>
              <w:t>–3</w:t>
            </w:r>
            <w:r w:rsidRPr="00C63860">
              <w:rPr>
                <w:rFonts w:cstheme="minorHAnsi"/>
                <w:sz w:val="22"/>
                <w:szCs w:val="22"/>
              </w:rPr>
              <w:t>64, 807)</w:t>
            </w:r>
          </w:p>
        </w:tc>
        <w:tc>
          <w:tcPr>
            <w:tcW w:w="0" w:type="auto"/>
            <w:shd w:val="clear" w:color="auto" w:fill="auto"/>
            <w:vAlign w:val="center"/>
          </w:tcPr>
          <w:p w14:paraId="74067AF6"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2,796</w:t>
            </w:r>
          </w:p>
          <w:p w14:paraId="37A82BF9" w14:textId="2A97438E"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w:t>
            </w:r>
            <w:r w:rsidR="00C63860" w:rsidRPr="00C63860">
              <w:rPr>
                <w:rFonts w:cstheme="minorHAnsi"/>
                <w:color w:val="00B0F0"/>
                <w:sz w:val="22"/>
                <w:szCs w:val="22"/>
              </w:rPr>
              <w:t>–2</w:t>
            </w:r>
            <w:r w:rsidRPr="00C63860">
              <w:rPr>
                <w:rFonts w:cstheme="minorHAnsi"/>
                <w:sz w:val="22"/>
                <w:szCs w:val="22"/>
              </w:rPr>
              <w:t>,796, 8,389)</w:t>
            </w:r>
          </w:p>
        </w:tc>
        <w:tc>
          <w:tcPr>
            <w:tcW w:w="0" w:type="auto"/>
            <w:shd w:val="clear" w:color="auto" w:fill="auto"/>
            <w:vAlign w:val="center"/>
          </w:tcPr>
          <w:p w14:paraId="49ABCBFE" w14:textId="31C0BB41" w:rsidR="00470AE4" w:rsidRPr="00C63860" w:rsidRDefault="00C63860"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color w:val="00B0F0"/>
                <w:sz w:val="22"/>
                <w:szCs w:val="22"/>
              </w:rPr>
              <w:t>–1</w:t>
            </w:r>
            <w:r w:rsidR="00470AE4" w:rsidRPr="00C63860">
              <w:rPr>
                <w:rFonts w:cstheme="minorHAnsi"/>
                <w:sz w:val="22"/>
                <w:szCs w:val="22"/>
              </w:rPr>
              <w:t>25</w:t>
            </w:r>
          </w:p>
          <w:p w14:paraId="5EBDB5A0" w14:textId="30F6FF3A"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w:t>
            </w:r>
            <w:r w:rsidR="00C63860" w:rsidRPr="00C63860">
              <w:rPr>
                <w:rFonts w:cstheme="minorHAnsi"/>
                <w:color w:val="00B0F0"/>
                <w:sz w:val="22"/>
                <w:szCs w:val="22"/>
              </w:rPr>
              <w:t>–1</w:t>
            </w:r>
            <w:r w:rsidRPr="00C63860">
              <w:rPr>
                <w:rFonts w:cstheme="minorHAnsi"/>
                <w:sz w:val="22"/>
                <w:szCs w:val="22"/>
              </w:rPr>
              <w:t>,216, 967)</w:t>
            </w:r>
          </w:p>
        </w:tc>
        <w:tc>
          <w:tcPr>
            <w:tcW w:w="0" w:type="auto"/>
            <w:shd w:val="clear" w:color="auto" w:fill="auto"/>
            <w:vAlign w:val="center"/>
          </w:tcPr>
          <w:p w14:paraId="2EED999C"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1,130</w:t>
            </w:r>
          </w:p>
          <w:p w14:paraId="6C2AD162" w14:textId="0B9A0ACC"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w:t>
            </w:r>
            <w:r w:rsidR="00C63860" w:rsidRPr="00C63860">
              <w:rPr>
                <w:rFonts w:cstheme="minorHAnsi"/>
                <w:color w:val="00B0F0"/>
                <w:sz w:val="22"/>
                <w:szCs w:val="22"/>
              </w:rPr>
              <w:t>–2</w:t>
            </w:r>
            <w:r w:rsidRPr="00C63860">
              <w:rPr>
                <w:rFonts w:cstheme="minorHAnsi"/>
                <w:sz w:val="22"/>
                <w:szCs w:val="22"/>
              </w:rPr>
              <w:t>,349, 4,609)</w:t>
            </w:r>
          </w:p>
          <w:p w14:paraId="41AF8307"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highlight w:val="green"/>
              </w:rPr>
            </w:pPr>
          </w:p>
        </w:tc>
      </w:tr>
      <w:tr w:rsidR="00C63860" w:rsidRPr="00C63860" w14:paraId="55B4CC8F"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4915619" w14:textId="77777777" w:rsidR="00470AE4" w:rsidRPr="00C63860" w:rsidRDefault="00470AE4" w:rsidP="00470AE4">
            <w:pPr>
              <w:jc w:val="center"/>
              <w:rPr>
                <w:rFonts w:cstheme="minorHAnsi"/>
                <w:b w:val="0"/>
                <w:bCs w:val="0"/>
                <w:sz w:val="22"/>
                <w:szCs w:val="22"/>
              </w:rPr>
            </w:pPr>
            <w:r w:rsidRPr="00C63860">
              <w:rPr>
                <w:rFonts w:cstheme="minorHAnsi"/>
                <w:b w:val="0"/>
                <w:bCs w:val="0"/>
                <w:sz w:val="22"/>
                <w:szCs w:val="22"/>
              </w:rPr>
              <w:t>SA5</w:t>
            </w:r>
          </w:p>
        </w:tc>
        <w:tc>
          <w:tcPr>
            <w:tcW w:w="0" w:type="auto"/>
            <w:shd w:val="clear" w:color="auto" w:fill="auto"/>
            <w:vAlign w:val="center"/>
          </w:tcPr>
          <w:p w14:paraId="36A0DFC3"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sz w:val="22"/>
                <w:szCs w:val="22"/>
              </w:rPr>
              <w:t>Evaluated costs and effects of ES and NES over a five-year time horizon (see Section 4.2.7)</w:t>
            </w:r>
          </w:p>
        </w:tc>
        <w:tc>
          <w:tcPr>
            <w:tcW w:w="0" w:type="auto"/>
            <w:shd w:val="clear" w:color="auto" w:fill="auto"/>
            <w:vAlign w:val="center"/>
          </w:tcPr>
          <w:p w14:paraId="54B51E25" w14:textId="6D0857F3" w:rsidR="00470AE4" w:rsidRPr="00C63860" w:rsidRDefault="00C63860"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color w:val="00B0F0"/>
                <w:sz w:val="22"/>
                <w:szCs w:val="22"/>
              </w:rPr>
              <w:t>–3</w:t>
            </w:r>
            <w:r w:rsidR="00470AE4" w:rsidRPr="00C63860">
              <w:rPr>
                <w:rFonts w:cstheme="minorHAnsi"/>
                <w:bCs/>
                <w:sz w:val="22"/>
                <w:szCs w:val="22"/>
              </w:rPr>
              <w:t>,786</w:t>
            </w:r>
          </w:p>
          <w:p w14:paraId="43525745" w14:textId="3012C809"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–9</w:t>
            </w:r>
            <w:r w:rsidRPr="00C63860">
              <w:rPr>
                <w:rFonts w:cstheme="minorHAnsi"/>
                <w:bCs/>
                <w:sz w:val="22"/>
                <w:szCs w:val="22"/>
              </w:rPr>
              <w:t>,113, 1,541)</w:t>
            </w:r>
          </w:p>
        </w:tc>
        <w:tc>
          <w:tcPr>
            <w:tcW w:w="0" w:type="auto"/>
            <w:shd w:val="clear" w:color="auto" w:fill="auto"/>
            <w:vAlign w:val="center"/>
          </w:tcPr>
          <w:p w14:paraId="48EAC623" w14:textId="559EDD03"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sz w:val="22"/>
                <w:szCs w:val="22"/>
              </w:rPr>
              <w:t>792 (</w:t>
            </w:r>
            <w:r w:rsidR="00C63860" w:rsidRPr="00C63860">
              <w:rPr>
                <w:rFonts w:cstheme="minorHAnsi"/>
                <w:color w:val="00B0F0"/>
                <w:sz w:val="22"/>
                <w:szCs w:val="22"/>
              </w:rPr>
              <w:t>–2</w:t>
            </w:r>
            <w:r w:rsidRPr="00C63860">
              <w:rPr>
                <w:rFonts w:cstheme="minorHAnsi"/>
                <w:sz w:val="22"/>
                <w:szCs w:val="22"/>
              </w:rPr>
              <w:t>761, 4,345)</w:t>
            </w:r>
          </w:p>
        </w:tc>
        <w:tc>
          <w:tcPr>
            <w:tcW w:w="0" w:type="auto"/>
            <w:shd w:val="clear" w:color="auto" w:fill="auto"/>
            <w:vAlign w:val="center"/>
          </w:tcPr>
          <w:p w14:paraId="71BFFEE9" w14:textId="28475459" w:rsidR="00470AE4" w:rsidRPr="00C63860" w:rsidRDefault="00C63860"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color w:val="00B0F0"/>
                <w:sz w:val="22"/>
                <w:szCs w:val="22"/>
              </w:rPr>
              <w:t>–1</w:t>
            </w:r>
            <w:r w:rsidR="00470AE4" w:rsidRPr="00C63860">
              <w:rPr>
                <w:rFonts w:cstheme="minorHAnsi"/>
                <w:bCs/>
                <w:sz w:val="22"/>
                <w:szCs w:val="22"/>
              </w:rPr>
              <w:t>,502</w:t>
            </w:r>
          </w:p>
          <w:p w14:paraId="6DA31472" w14:textId="30DCC122"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–2</w:t>
            </w:r>
            <w:r w:rsidRPr="00C63860">
              <w:rPr>
                <w:rFonts w:cstheme="minorHAnsi"/>
                <w:bCs/>
                <w:sz w:val="22"/>
                <w:szCs w:val="22"/>
              </w:rPr>
              <w:t>7,066, 24,062)</w:t>
            </w:r>
          </w:p>
        </w:tc>
        <w:tc>
          <w:tcPr>
            <w:tcW w:w="0" w:type="auto"/>
            <w:shd w:val="clear" w:color="auto" w:fill="auto"/>
            <w:vAlign w:val="center"/>
          </w:tcPr>
          <w:p w14:paraId="24545785"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700</w:t>
            </w:r>
          </w:p>
          <w:p w14:paraId="52AE57C4" w14:textId="56A6EF18"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–6</w:t>
            </w:r>
            <w:r w:rsidRPr="00C63860">
              <w:rPr>
                <w:rFonts w:cstheme="minorHAnsi"/>
                <w:bCs/>
                <w:sz w:val="22"/>
                <w:szCs w:val="22"/>
              </w:rPr>
              <w:t>,812, 8,212)</w:t>
            </w:r>
          </w:p>
        </w:tc>
        <w:tc>
          <w:tcPr>
            <w:tcW w:w="0" w:type="auto"/>
            <w:shd w:val="clear" w:color="auto" w:fill="auto"/>
            <w:vAlign w:val="center"/>
          </w:tcPr>
          <w:p w14:paraId="0569DADD"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63860">
              <w:rPr>
                <w:rFonts w:cstheme="minorHAnsi"/>
                <w:sz w:val="22"/>
                <w:szCs w:val="22"/>
              </w:rPr>
              <w:t>5,399</w:t>
            </w:r>
          </w:p>
          <w:p w14:paraId="48FE0FE6" w14:textId="1CF045CD"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63860">
              <w:rPr>
                <w:rFonts w:cstheme="minorHAnsi"/>
                <w:bCs/>
                <w:sz w:val="22"/>
                <w:szCs w:val="22"/>
              </w:rPr>
              <w:t>(</w:t>
            </w:r>
            <w:r w:rsidR="00C63860" w:rsidRPr="00C63860">
              <w:rPr>
                <w:rFonts w:cstheme="minorHAnsi"/>
                <w:bCs/>
                <w:color w:val="00B0F0"/>
                <w:sz w:val="22"/>
                <w:szCs w:val="22"/>
              </w:rPr>
              <w:t>–6</w:t>
            </w:r>
            <w:r w:rsidRPr="00C63860">
              <w:rPr>
                <w:rFonts w:cstheme="minorHAnsi"/>
                <w:bCs/>
                <w:sz w:val="22"/>
                <w:szCs w:val="22"/>
              </w:rPr>
              <w:t>33, 11,430)</w:t>
            </w:r>
          </w:p>
        </w:tc>
      </w:tr>
      <w:tr w:rsidR="00C63860" w:rsidRPr="00C63860" w14:paraId="4147C70D"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14187A45" w14:textId="77777777" w:rsidR="00470AE4" w:rsidRPr="00C63860" w:rsidRDefault="00470AE4" w:rsidP="00470AE4">
            <w:pPr>
              <w:jc w:val="center"/>
              <w:rPr>
                <w:rFonts w:cstheme="minorHAnsi"/>
                <w:b w:val="0"/>
                <w:bCs w:val="0"/>
                <w:sz w:val="22"/>
                <w:szCs w:val="22"/>
              </w:rPr>
            </w:pPr>
            <w:r w:rsidRPr="00C63860">
              <w:rPr>
                <w:rFonts w:cstheme="minorHAnsi"/>
                <w:b w:val="0"/>
                <w:bCs w:val="0"/>
                <w:sz w:val="22"/>
                <w:szCs w:val="22"/>
              </w:rPr>
              <w:t>SA6</w:t>
            </w:r>
          </w:p>
        </w:tc>
        <w:tc>
          <w:tcPr>
            <w:tcW w:w="0" w:type="auto"/>
            <w:shd w:val="clear" w:color="auto" w:fill="auto"/>
            <w:vAlign w:val="center"/>
          </w:tcPr>
          <w:p w14:paraId="0A176743"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Risk-adjustment using GLM regression (see Section 4.2.7)</w:t>
            </w:r>
          </w:p>
        </w:tc>
        <w:tc>
          <w:tcPr>
            <w:tcW w:w="0" w:type="auto"/>
            <w:shd w:val="clear" w:color="auto" w:fill="auto"/>
            <w:vAlign w:val="center"/>
          </w:tcPr>
          <w:p w14:paraId="3EE11FAD" w14:textId="4831CD10" w:rsidR="00470AE4" w:rsidRPr="00C63860" w:rsidRDefault="00C63860"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color w:val="00B0F0"/>
                <w:sz w:val="22"/>
                <w:szCs w:val="22"/>
              </w:rPr>
              <w:t>–1</w:t>
            </w:r>
            <w:r w:rsidR="00470AE4" w:rsidRPr="00C63860">
              <w:rPr>
                <w:rFonts w:cstheme="minorHAnsi"/>
                <w:sz w:val="22"/>
                <w:szCs w:val="22"/>
              </w:rPr>
              <w:t>65 (</w:t>
            </w:r>
            <w:r w:rsidRPr="00C63860">
              <w:rPr>
                <w:rFonts w:cstheme="minorHAnsi"/>
                <w:color w:val="00B0F0"/>
                <w:sz w:val="22"/>
                <w:szCs w:val="22"/>
              </w:rPr>
              <w:t>–2</w:t>
            </w:r>
            <w:r w:rsidR="00470AE4" w:rsidRPr="00C63860">
              <w:rPr>
                <w:rFonts w:cstheme="minorHAnsi"/>
                <w:sz w:val="22"/>
                <w:szCs w:val="22"/>
              </w:rPr>
              <w:t>8</w:t>
            </w:r>
            <w:r w:rsidRPr="00C63860">
              <w:rPr>
                <w:rFonts w:cstheme="minorHAnsi"/>
                <w:color w:val="00B0F0"/>
                <w:sz w:val="22"/>
                <w:szCs w:val="22"/>
              </w:rPr>
              <w:t>7, -4</w:t>
            </w:r>
            <w:r w:rsidR="00470AE4" w:rsidRPr="00C63860">
              <w:rPr>
                <w:rFonts w:cstheme="minorHAnsi"/>
                <w:sz w:val="22"/>
                <w:szCs w:val="22"/>
              </w:rPr>
              <w:t>2)</w:t>
            </w:r>
          </w:p>
        </w:tc>
        <w:tc>
          <w:tcPr>
            <w:tcW w:w="0" w:type="auto"/>
            <w:shd w:val="clear" w:color="auto" w:fill="auto"/>
            <w:vAlign w:val="center"/>
          </w:tcPr>
          <w:p w14:paraId="5D88FB60" w14:textId="05AD2E24" w:rsidR="00470AE4" w:rsidRPr="00C63860" w:rsidRDefault="00C63860"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63860">
              <w:rPr>
                <w:rFonts w:cstheme="minorHAnsi"/>
                <w:color w:val="00B0F0"/>
                <w:sz w:val="22"/>
                <w:szCs w:val="22"/>
              </w:rPr>
              <w:t>–1</w:t>
            </w:r>
            <w:r w:rsidR="00470AE4" w:rsidRPr="00C63860">
              <w:rPr>
                <w:rFonts w:cstheme="minorHAnsi"/>
                <w:sz w:val="22"/>
                <w:szCs w:val="22"/>
              </w:rPr>
              <w:t>90 (</w:t>
            </w:r>
            <w:r w:rsidRPr="00C63860">
              <w:rPr>
                <w:rFonts w:cstheme="minorHAnsi"/>
                <w:color w:val="00B0F0"/>
                <w:sz w:val="22"/>
                <w:szCs w:val="22"/>
              </w:rPr>
              <w:t>–2</w:t>
            </w:r>
            <w:r w:rsidR="00470AE4" w:rsidRPr="00C63860">
              <w:rPr>
                <w:rFonts w:cstheme="minorHAnsi"/>
                <w:sz w:val="22"/>
                <w:szCs w:val="22"/>
              </w:rPr>
              <w:t>9</w:t>
            </w:r>
            <w:r w:rsidRPr="00C63860">
              <w:rPr>
                <w:rFonts w:cstheme="minorHAnsi"/>
                <w:color w:val="00B0F0"/>
                <w:sz w:val="22"/>
                <w:szCs w:val="22"/>
              </w:rPr>
              <w:t>0, -9</w:t>
            </w:r>
            <w:r w:rsidR="00470AE4" w:rsidRPr="00C63860">
              <w:rPr>
                <w:rFonts w:cstheme="minorHAnsi"/>
                <w:sz w:val="22"/>
                <w:szCs w:val="22"/>
              </w:rPr>
              <w:t>0.7)</w:t>
            </w:r>
          </w:p>
        </w:tc>
        <w:tc>
          <w:tcPr>
            <w:tcW w:w="0" w:type="auto"/>
            <w:shd w:val="clear" w:color="auto" w:fill="auto"/>
            <w:vAlign w:val="center"/>
          </w:tcPr>
          <w:p w14:paraId="6B206F4F" w14:textId="6E93B99A" w:rsidR="00470AE4" w:rsidRPr="00C63860" w:rsidRDefault="00C63860"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color w:val="00B0F0"/>
                <w:sz w:val="22"/>
                <w:szCs w:val="22"/>
              </w:rPr>
              <w:t>–1</w:t>
            </w:r>
            <w:r w:rsidR="00470AE4" w:rsidRPr="00C63860">
              <w:rPr>
                <w:rFonts w:cstheme="minorHAnsi"/>
                <w:sz w:val="22"/>
                <w:szCs w:val="22"/>
              </w:rPr>
              <w:t>2,381</w:t>
            </w:r>
          </w:p>
          <w:p w14:paraId="565B16F2" w14:textId="3AE3362D"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sz w:val="22"/>
                <w:szCs w:val="22"/>
              </w:rPr>
              <w:t>(</w:t>
            </w:r>
            <w:r w:rsidR="00C63860" w:rsidRPr="00C63860">
              <w:rPr>
                <w:rFonts w:cstheme="minorHAnsi"/>
                <w:color w:val="00B0F0"/>
                <w:sz w:val="22"/>
                <w:szCs w:val="22"/>
              </w:rPr>
              <w:t>–1</w:t>
            </w:r>
            <w:r w:rsidRPr="00C63860">
              <w:rPr>
                <w:rFonts w:cstheme="minorHAnsi"/>
                <w:sz w:val="22"/>
                <w:szCs w:val="22"/>
              </w:rPr>
              <w:t>2,84</w:t>
            </w:r>
            <w:r w:rsidR="00C63860" w:rsidRPr="00C63860">
              <w:rPr>
                <w:rFonts w:cstheme="minorHAnsi"/>
                <w:color w:val="00B0F0"/>
                <w:sz w:val="22"/>
                <w:szCs w:val="22"/>
              </w:rPr>
              <w:t>8, -1</w:t>
            </w:r>
            <w:r w:rsidRPr="00C63860">
              <w:rPr>
                <w:rFonts w:cstheme="minorHAnsi"/>
                <w:sz w:val="22"/>
                <w:szCs w:val="22"/>
              </w:rPr>
              <w:t>2,058)</w:t>
            </w:r>
          </w:p>
        </w:tc>
        <w:tc>
          <w:tcPr>
            <w:tcW w:w="0" w:type="auto"/>
            <w:shd w:val="clear" w:color="auto" w:fill="auto"/>
            <w:vAlign w:val="center"/>
          </w:tcPr>
          <w:p w14:paraId="7F8C1575" w14:textId="31B62C27" w:rsidR="00470AE4" w:rsidRPr="00C63860" w:rsidRDefault="00C63860"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color w:val="00B0F0"/>
                <w:sz w:val="22"/>
                <w:szCs w:val="22"/>
              </w:rPr>
              <w:t>–5</w:t>
            </w:r>
            <w:r w:rsidR="00470AE4" w:rsidRPr="00C63860">
              <w:rPr>
                <w:rFonts w:cstheme="minorHAnsi"/>
                <w:sz w:val="22"/>
                <w:szCs w:val="22"/>
              </w:rPr>
              <w:t>0.1</w:t>
            </w:r>
          </w:p>
          <w:p w14:paraId="3C2017A6" w14:textId="56C91766"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63860">
              <w:rPr>
                <w:rFonts w:cstheme="minorHAnsi"/>
                <w:sz w:val="22"/>
                <w:szCs w:val="22"/>
              </w:rPr>
              <w:t>(</w:t>
            </w:r>
            <w:r w:rsidR="00C63860" w:rsidRPr="00C63860">
              <w:rPr>
                <w:rFonts w:cstheme="minorHAnsi"/>
                <w:color w:val="00B0F0"/>
                <w:sz w:val="22"/>
                <w:szCs w:val="22"/>
              </w:rPr>
              <w:t>–2</w:t>
            </w:r>
            <w:r w:rsidRPr="00C63860">
              <w:rPr>
                <w:rFonts w:cstheme="minorHAnsi"/>
                <w:sz w:val="22"/>
                <w:szCs w:val="22"/>
              </w:rPr>
              <w:t>41, 141)</w:t>
            </w:r>
          </w:p>
        </w:tc>
        <w:tc>
          <w:tcPr>
            <w:tcW w:w="0" w:type="auto"/>
            <w:shd w:val="clear" w:color="auto" w:fill="auto"/>
            <w:vAlign w:val="center"/>
          </w:tcPr>
          <w:p w14:paraId="363815BE" w14:textId="0B361504" w:rsidR="00470AE4" w:rsidRPr="00C63860" w:rsidRDefault="00C63860"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color w:val="00B0F0"/>
                <w:sz w:val="22"/>
                <w:szCs w:val="22"/>
              </w:rPr>
              <w:t>–3</w:t>
            </w:r>
            <w:r w:rsidR="00470AE4" w:rsidRPr="00C63860">
              <w:rPr>
                <w:rFonts w:cstheme="minorHAnsi"/>
                <w:sz w:val="22"/>
                <w:szCs w:val="22"/>
              </w:rPr>
              <w:t>,991</w:t>
            </w:r>
          </w:p>
          <w:p w14:paraId="20A6FD15" w14:textId="61DFC8C6"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63860">
              <w:rPr>
                <w:rFonts w:cstheme="minorHAnsi"/>
                <w:sz w:val="22"/>
                <w:szCs w:val="22"/>
              </w:rPr>
              <w:t>(</w:t>
            </w:r>
            <w:r w:rsidR="00C63860" w:rsidRPr="00C63860">
              <w:rPr>
                <w:rFonts w:cstheme="minorHAnsi"/>
                <w:color w:val="00B0F0"/>
                <w:sz w:val="22"/>
                <w:szCs w:val="22"/>
              </w:rPr>
              <w:t>–4</w:t>
            </w:r>
            <w:r w:rsidRPr="00C63860">
              <w:rPr>
                <w:rFonts w:cstheme="minorHAnsi"/>
                <w:sz w:val="22"/>
                <w:szCs w:val="22"/>
              </w:rPr>
              <w:t>,24</w:t>
            </w:r>
            <w:r w:rsidR="00C63860" w:rsidRPr="00C63860">
              <w:rPr>
                <w:rFonts w:cstheme="minorHAnsi"/>
                <w:color w:val="00B0F0"/>
                <w:sz w:val="22"/>
                <w:szCs w:val="22"/>
              </w:rPr>
              <w:t>2, -3</w:t>
            </w:r>
            <w:r w:rsidRPr="00C63860">
              <w:rPr>
                <w:rFonts w:cstheme="minorHAnsi"/>
                <w:sz w:val="22"/>
                <w:szCs w:val="22"/>
              </w:rPr>
              <w:t>,740)</w:t>
            </w:r>
          </w:p>
        </w:tc>
      </w:tr>
    </w:tbl>
    <w:bookmarkEnd w:id="87"/>
    <w:p w14:paraId="15E5C253" w14:textId="77777777" w:rsidR="00C63860" w:rsidRPr="00C63860" w:rsidRDefault="00470AE4" w:rsidP="00470AE4">
      <w:r w:rsidRPr="00C63860">
        <w:t>SA: sensitivity analysis</w:t>
      </w:r>
    </w:p>
    <w:p w14:paraId="2235214F" w14:textId="01198431" w:rsidR="00017D43" w:rsidRPr="00C63860" w:rsidRDefault="00C63860" w:rsidP="00017D43">
      <w:pPr>
        <w:pStyle w:val="Caption"/>
        <w:rPr>
          <w:b/>
          <w:bCs/>
          <w:iCs w:val="0"/>
          <w:color w:val="auto"/>
          <w:sz w:val="22"/>
          <w:szCs w:val="22"/>
        </w:rPr>
      </w:pPr>
      <w:bookmarkStart w:id="88" w:name="_Toc86670791"/>
      <w:r w:rsidRPr="00C63860">
        <w:rPr>
          <w:b/>
          <w:bCs/>
          <w:color w:val="FF0000"/>
          <w:sz w:val="22"/>
          <w:szCs w:val="22"/>
        </w:rPr>
        <w:t xml:space="preserve">Table </w:t>
      </w:r>
      <w:r w:rsidRPr="00C63860">
        <w:rPr>
          <w:b/>
          <w:bCs/>
          <w:noProof/>
          <w:color w:val="FF0000"/>
          <w:sz w:val="22"/>
          <w:szCs w:val="22"/>
        </w:rPr>
        <w:t>19</w:t>
      </w:r>
      <w:r w:rsidR="00017D43" w:rsidRPr="00C63860">
        <w:rPr>
          <w:b/>
          <w:bCs/>
          <w:color w:val="auto"/>
          <w:sz w:val="22"/>
          <w:szCs w:val="22"/>
        </w:rPr>
        <w:t>: Estimated incremental effects of emergency surgery (ES) versus non-emergency surgery (NES) strategies on main resource measures for five-year time horizon (sensitivity analysis 5)</w:t>
      </w:r>
      <w:bookmarkEnd w:id="88"/>
    </w:p>
    <w:tbl>
      <w:tblPr>
        <w:tblW w:w="0" w:type="auto"/>
        <w:tblInd w:w="-813" w:type="dxa"/>
        <w:shd w:val="clear" w:color="000000" w:fill="FFFFFF"/>
        <w:tblCellMar>
          <w:top w:w="40" w:type="dxa"/>
          <w:left w:w="60" w:type="dxa"/>
          <w:bottom w:w="40" w:type="dxa"/>
          <w:right w:w="60" w:type="dxa"/>
        </w:tblCellMar>
        <w:tblLook w:val="04A0" w:firstRow="1" w:lastRow="0" w:firstColumn="1" w:lastColumn="0" w:noHBand="0" w:noVBand="1"/>
      </w:tblPr>
      <w:tblGrid>
        <w:gridCol w:w="5364"/>
        <w:gridCol w:w="895"/>
        <w:gridCol w:w="895"/>
        <w:gridCol w:w="895"/>
        <w:gridCol w:w="895"/>
        <w:gridCol w:w="895"/>
      </w:tblGrid>
      <w:tr w:rsidR="00A76011" w:rsidRPr="00C63860" w14:paraId="21EC9222" w14:textId="77777777" w:rsidTr="00C63860">
        <w:trPr>
          <w:cantSplit/>
        </w:trPr>
        <w:tc>
          <w:tcPr>
            <w:tcW w:w="0" w:type="auto"/>
            <w:shd w:val="clear" w:color="000000" w:fill="FFFFFF"/>
            <w:noWrap/>
            <w:vAlign w:val="bottom"/>
            <w:hideMark/>
          </w:tcPr>
          <w:p w14:paraId="595D09F7" w14:textId="77777777" w:rsidR="00470AE4" w:rsidRPr="00C63860" w:rsidRDefault="00470AE4" w:rsidP="00470AE4">
            <w:pPr>
              <w:rPr>
                <w:b/>
                <w:bCs/>
                <w:color w:val="000000"/>
              </w:rPr>
            </w:pPr>
            <w:r w:rsidRPr="00C63860">
              <w:rPr>
                <w:b/>
                <w:bCs/>
              </w:rPr>
              <w:t>(A) Acute appendicitis (N=125,670)</w:t>
            </w:r>
          </w:p>
        </w:tc>
        <w:tc>
          <w:tcPr>
            <w:tcW w:w="0" w:type="auto"/>
            <w:shd w:val="clear" w:color="000000" w:fill="FFFFFF"/>
            <w:noWrap/>
            <w:vAlign w:val="bottom"/>
            <w:hideMark/>
          </w:tcPr>
          <w:p w14:paraId="615425B7" w14:textId="426196E6" w:rsidR="00470AE4" w:rsidRPr="00C63860" w:rsidRDefault="00C63860" w:rsidP="00470AE4">
            <w:pPr>
              <w:rPr>
                <w:color w:val="000000"/>
              </w:rPr>
            </w:pPr>
            <w:r w:rsidRPr="00C63860">
              <w:t xml:space="preserve"> </w:t>
            </w:r>
          </w:p>
        </w:tc>
        <w:tc>
          <w:tcPr>
            <w:tcW w:w="0" w:type="auto"/>
            <w:shd w:val="clear" w:color="000000" w:fill="FFFFFF"/>
            <w:noWrap/>
            <w:vAlign w:val="bottom"/>
            <w:hideMark/>
          </w:tcPr>
          <w:p w14:paraId="7437C747" w14:textId="167E1E0E" w:rsidR="00470AE4" w:rsidRPr="00C63860" w:rsidRDefault="00C63860" w:rsidP="00470AE4">
            <w:pPr>
              <w:rPr>
                <w:color w:val="000000"/>
              </w:rPr>
            </w:pPr>
            <w:r w:rsidRPr="00C63860">
              <w:t xml:space="preserve"> </w:t>
            </w:r>
          </w:p>
        </w:tc>
        <w:tc>
          <w:tcPr>
            <w:tcW w:w="0" w:type="auto"/>
            <w:shd w:val="clear" w:color="000000" w:fill="FFFFFF"/>
            <w:noWrap/>
            <w:vAlign w:val="bottom"/>
            <w:hideMark/>
          </w:tcPr>
          <w:p w14:paraId="1AE4DAEB" w14:textId="4A6BBF2C" w:rsidR="00470AE4" w:rsidRPr="00C63860" w:rsidRDefault="00C63860" w:rsidP="00470AE4">
            <w:pPr>
              <w:rPr>
                <w:color w:val="000000"/>
              </w:rPr>
            </w:pPr>
            <w:r w:rsidRPr="00C63860">
              <w:t xml:space="preserve"> </w:t>
            </w:r>
          </w:p>
        </w:tc>
        <w:tc>
          <w:tcPr>
            <w:tcW w:w="0" w:type="auto"/>
            <w:shd w:val="clear" w:color="000000" w:fill="FFFFFF"/>
            <w:noWrap/>
            <w:vAlign w:val="bottom"/>
            <w:hideMark/>
          </w:tcPr>
          <w:p w14:paraId="58AF210B" w14:textId="4FC0F2C6" w:rsidR="00470AE4" w:rsidRPr="00C63860" w:rsidRDefault="00C63860" w:rsidP="00470AE4">
            <w:pPr>
              <w:rPr>
                <w:color w:val="000000"/>
              </w:rPr>
            </w:pPr>
            <w:r w:rsidRPr="00C63860">
              <w:t xml:space="preserve"> </w:t>
            </w:r>
          </w:p>
        </w:tc>
        <w:tc>
          <w:tcPr>
            <w:tcW w:w="0" w:type="auto"/>
            <w:shd w:val="clear" w:color="000000" w:fill="FFFFFF"/>
            <w:noWrap/>
            <w:vAlign w:val="bottom"/>
            <w:hideMark/>
          </w:tcPr>
          <w:p w14:paraId="51937B43" w14:textId="66C7FE27" w:rsidR="00470AE4" w:rsidRPr="00C63860" w:rsidRDefault="00C63860" w:rsidP="00470AE4">
            <w:r w:rsidRPr="00C63860">
              <w:t xml:space="preserve"> </w:t>
            </w:r>
          </w:p>
        </w:tc>
      </w:tr>
      <w:tr w:rsidR="00A76011" w:rsidRPr="00C63860" w14:paraId="7DE7FD41" w14:textId="77777777" w:rsidTr="00C63860">
        <w:trPr>
          <w:cantSplit/>
        </w:trPr>
        <w:tc>
          <w:tcPr>
            <w:tcW w:w="0" w:type="auto"/>
            <w:shd w:val="clear" w:color="000000" w:fill="FFFFFF"/>
            <w:noWrap/>
            <w:vAlign w:val="bottom"/>
            <w:hideMark/>
          </w:tcPr>
          <w:p w14:paraId="0BAEDF32" w14:textId="15DE133A" w:rsidR="00470AE4" w:rsidRPr="00C63860" w:rsidRDefault="00C63860" w:rsidP="00470AE4">
            <w:pPr>
              <w:rPr>
                <w:color w:val="000000"/>
              </w:rPr>
            </w:pPr>
            <w:r w:rsidRPr="00C63860">
              <w:t xml:space="preserve"> </w:t>
            </w:r>
          </w:p>
        </w:tc>
        <w:tc>
          <w:tcPr>
            <w:tcW w:w="0" w:type="auto"/>
            <w:shd w:val="clear" w:color="000000" w:fill="FFFFFF"/>
            <w:noWrap/>
            <w:vAlign w:val="center"/>
            <w:hideMark/>
          </w:tcPr>
          <w:p w14:paraId="4EB54785" w14:textId="77777777" w:rsidR="00470AE4" w:rsidRPr="00C63860" w:rsidRDefault="00470AE4" w:rsidP="00470AE4">
            <w:pPr>
              <w:jc w:val="center"/>
              <w:rPr>
                <w:b/>
                <w:bCs/>
                <w:color w:val="000000"/>
              </w:rPr>
            </w:pPr>
            <w:r w:rsidRPr="00C63860">
              <w:rPr>
                <w:b/>
                <w:bCs/>
              </w:rPr>
              <w:t>Year 1</w:t>
            </w:r>
          </w:p>
        </w:tc>
        <w:tc>
          <w:tcPr>
            <w:tcW w:w="0" w:type="auto"/>
            <w:shd w:val="clear" w:color="000000" w:fill="FFFFFF"/>
            <w:noWrap/>
            <w:vAlign w:val="center"/>
            <w:hideMark/>
          </w:tcPr>
          <w:p w14:paraId="1B85A8AA" w14:textId="77777777" w:rsidR="00470AE4" w:rsidRPr="00C63860" w:rsidRDefault="00470AE4" w:rsidP="00470AE4">
            <w:pPr>
              <w:jc w:val="center"/>
              <w:rPr>
                <w:b/>
                <w:bCs/>
                <w:color w:val="000000"/>
              </w:rPr>
            </w:pPr>
            <w:r w:rsidRPr="00C63860">
              <w:rPr>
                <w:b/>
                <w:bCs/>
              </w:rPr>
              <w:t>Year 2</w:t>
            </w:r>
          </w:p>
        </w:tc>
        <w:tc>
          <w:tcPr>
            <w:tcW w:w="0" w:type="auto"/>
            <w:shd w:val="clear" w:color="000000" w:fill="FFFFFF"/>
            <w:noWrap/>
            <w:vAlign w:val="center"/>
            <w:hideMark/>
          </w:tcPr>
          <w:p w14:paraId="71A43215" w14:textId="77777777" w:rsidR="00470AE4" w:rsidRPr="00C63860" w:rsidRDefault="00470AE4" w:rsidP="00470AE4">
            <w:pPr>
              <w:jc w:val="center"/>
              <w:rPr>
                <w:b/>
                <w:bCs/>
                <w:color w:val="000000"/>
              </w:rPr>
            </w:pPr>
            <w:r w:rsidRPr="00C63860">
              <w:rPr>
                <w:b/>
                <w:bCs/>
              </w:rPr>
              <w:t>Year 3</w:t>
            </w:r>
          </w:p>
        </w:tc>
        <w:tc>
          <w:tcPr>
            <w:tcW w:w="0" w:type="auto"/>
            <w:shd w:val="clear" w:color="000000" w:fill="FFFFFF"/>
            <w:noWrap/>
            <w:vAlign w:val="center"/>
            <w:hideMark/>
          </w:tcPr>
          <w:p w14:paraId="432255E7" w14:textId="77777777" w:rsidR="00470AE4" w:rsidRPr="00C63860" w:rsidRDefault="00470AE4" w:rsidP="00470AE4">
            <w:pPr>
              <w:jc w:val="center"/>
              <w:rPr>
                <w:b/>
                <w:bCs/>
                <w:color w:val="000000"/>
              </w:rPr>
            </w:pPr>
            <w:r w:rsidRPr="00C63860">
              <w:rPr>
                <w:b/>
                <w:bCs/>
              </w:rPr>
              <w:t>Year 4</w:t>
            </w:r>
          </w:p>
        </w:tc>
        <w:tc>
          <w:tcPr>
            <w:tcW w:w="0" w:type="auto"/>
            <w:shd w:val="clear" w:color="000000" w:fill="FFFFFF"/>
            <w:noWrap/>
            <w:vAlign w:val="center"/>
            <w:hideMark/>
          </w:tcPr>
          <w:p w14:paraId="17464594" w14:textId="77777777" w:rsidR="00470AE4" w:rsidRPr="00C63860" w:rsidRDefault="00470AE4" w:rsidP="00470AE4">
            <w:pPr>
              <w:jc w:val="center"/>
              <w:rPr>
                <w:b/>
                <w:bCs/>
              </w:rPr>
            </w:pPr>
            <w:r w:rsidRPr="00C63860">
              <w:rPr>
                <w:b/>
                <w:bCs/>
              </w:rPr>
              <w:t>Year 5</w:t>
            </w:r>
          </w:p>
        </w:tc>
      </w:tr>
      <w:tr w:rsidR="00A76011" w:rsidRPr="00C63860" w14:paraId="1F6526FD" w14:textId="77777777" w:rsidTr="00C63860">
        <w:trPr>
          <w:cantSplit/>
        </w:trPr>
        <w:tc>
          <w:tcPr>
            <w:tcW w:w="0" w:type="auto"/>
            <w:shd w:val="clear" w:color="000000" w:fill="FFFFFF"/>
            <w:vAlign w:val="center"/>
            <w:hideMark/>
          </w:tcPr>
          <w:p w14:paraId="47EB932F" w14:textId="77777777" w:rsidR="00470AE4" w:rsidRPr="00C63860" w:rsidRDefault="00470AE4" w:rsidP="00470AE4">
            <w:pPr>
              <w:rPr>
                <w:color w:val="000000"/>
              </w:rPr>
            </w:pPr>
            <w:r w:rsidRPr="00C63860">
              <w:t xml:space="preserve">% with readmission </w:t>
            </w:r>
          </w:p>
        </w:tc>
        <w:tc>
          <w:tcPr>
            <w:tcW w:w="0" w:type="auto"/>
            <w:shd w:val="clear" w:color="000000" w:fill="FFFFFF"/>
            <w:noWrap/>
            <w:hideMark/>
          </w:tcPr>
          <w:p w14:paraId="337A538F" w14:textId="768669BF" w:rsidR="00470AE4" w:rsidRPr="00C63860" w:rsidRDefault="00C63860" w:rsidP="00470AE4">
            <w:pPr>
              <w:jc w:val="center"/>
              <w:rPr>
                <w:color w:val="000000"/>
              </w:rPr>
            </w:pPr>
            <w:r w:rsidRPr="00C63860">
              <w:rPr>
                <w:color w:val="00B0F0"/>
              </w:rPr>
              <w:t>–7</w:t>
            </w:r>
            <w:r w:rsidR="00470AE4" w:rsidRPr="00C63860">
              <w:t>.5</w:t>
            </w:r>
          </w:p>
        </w:tc>
        <w:tc>
          <w:tcPr>
            <w:tcW w:w="0" w:type="auto"/>
            <w:shd w:val="clear" w:color="000000" w:fill="FFFFFF"/>
            <w:noWrap/>
            <w:hideMark/>
          </w:tcPr>
          <w:p w14:paraId="76E4547C" w14:textId="54ADCA7E" w:rsidR="00470AE4" w:rsidRPr="00C63860" w:rsidRDefault="00C63860" w:rsidP="00470AE4">
            <w:pPr>
              <w:jc w:val="center"/>
              <w:rPr>
                <w:color w:val="000000"/>
              </w:rPr>
            </w:pPr>
            <w:r w:rsidRPr="00C63860">
              <w:rPr>
                <w:color w:val="00B0F0"/>
              </w:rPr>
              <w:t>–1</w:t>
            </w:r>
            <w:r w:rsidR="00470AE4" w:rsidRPr="00C63860">
              <w:t>.8</w:t>
            </w:r>
          </w:p>
        </w:tc>
        <w:tc>
          <w:tcPr>
            <w:tcW w:w="0" w:type="auto"/>
            <w:shd w:val="clear" w:color="000000" w:fill="FFFFFF"/>
            <w:noWrap/>
            <w:hideMark/>
          </w:tcPr>
          <w:p w14:paraId="308A1A73" w14:textId="4C63CB84" w:rsidR="00470AE4" w:rsidRPr="00C63860" w:rsidRDefault="00C63860" w:rsidP="00470AE4">
            <w:pPr>
              <w:jc w:val="center"/>
              <w:rPr>
                <w:color w:val="000000"/>
              </w:rPr>
            </w:pPr>
            <w:r w:rsidRPr="00C63860">
              <w:rPr>
                <w:color w:val="00B0F0"/>
              </w:rPr>
              <w:t>–0</w:t>
            </w:r>
            <w:r w:rsidR="00470AE4" w:rsidRPr="00C63860">
              <w:t>.1</w:t>
            </w:r>
          </w:p>
        </w:tc>
        <w:tc>
          <w:tcPr>
            <w:tcW w:w="0" w:type="auto"/>
            <w:shd w:val="clear" w:color="000000" w:fill="FFFFFF"/>
            <w:noWrap/>
            <w:hideMark/>
          </w:tcPr>
          <w:p w14:paraId="3D257BEE" w14:textId="25FB62E5" w:rsidR="00470AE4" w:rsidRPr="00C63860" w:rsidRDefault="00C63860" w:rsidP="00470AE4">
            <w:pPr>
              <w:jc w:val="center"/>
              <w:rPr>
                <w:color w:val="000000"/>
              </w:rPr>
            </w:pPr>
            <w:r w:rsidRPr="00C63860">
              <w:rPr>
                <w:color w:val="00B0F0"/>
              </w:rPr>
              <w:t>–0</w:t>
            </w:r>
            <w:r w:rsidR="00470AE4" w:rsidRPr="00C63860">
              <w:t>.4</w:t>
            </w:r>
          </w:p>
        </w:tc>
        <w:tc>
          <w:tcPr>
            <w:tcW w:w="0" w:type="auto"/>
            <w:shd w:val="clear" w:color="000000" w:fill="FFFFFF"/>
            <w:noWrap/>
            <w:hideMark/>
          </w:tcPr>
          <w:p w14:paraId="62101E3E" w14:textId="48D53034" w:rsidR="00470AE4" w:rsidRPr="00C63860" w:rsidRDefault="00C63860" w:rsidP="00470AE4">
            <w:pPr>
              <w:jc w:val="center"/>
            </w:pPr>
            <w:r w:rsidRPr="00C63860">
              <w:rPr>
                <w:color w:val="00B0F0"/>
              </w:rPr>
              <w:t>–3</w:t>
            </w:r>
            <w:r w:rsidR="00470AE4" w:rsidRPr="00C63860">
              <w:t>.6</w:t>
            </w:r>
          </w:p>
        </w:tc>
      </w:tr>
      <w:tr w:rsidR="00A76011" w:rsidRPr="00C63860" w14:paraId="3050C2A9" w14:textId="77777777" w:rsidTr="00C63860">
        <w:trPr>
          <w:cantSplit/>
        </w:trPr>
        <w:tc>
          <w:tcPr>
            <w:tcW w:w="0" w:type="auto"/>
            <w:shd w:val="clear" w:color="000000" w:fill="FFFFFF"/>
            <w:vAlign w:val="center"/>
            <w:hideMark/>
          </w:tcPr>
          <w:p w14:paraId="0695720F" w14:textId="77777777" w:rsidR="00470AE4" w:rsidRPr="00C63860" w:rsidRDefault="00470AE4" w:rsidP="00470AE4">
            <w:pPr>
              <w:rPr>
                <w:color w:val="000000"/>
              </w:rPr>
            </w:pPr>
            <w:r w:rsidRPr="00C63860">
              <w:t>% with critical care admission (within any readmission)</w:t>
            </w:r>
          </w:p>
        </w:tc>
        <w:tc>
          <w:tcPr>
            <w:tcW w:w="0" w:type="auto"/>
            <w:shd w:val="clear" w:color="000000" w:fill="FFFFFF"/>
            <w:noWrap/>
            <w:hideMark/>
          </w:tcPr>
          <w:p w14:paraId="2E455B21" w14:textId="77777777" w:rsidR="00470AE4" w:rsidRPr="00C63860" w:rsidRDefault="00470AE4" w:rsidP="00470AE4">
            <w:pPr>
              <w:jc w:val="center"/>
              <w:rPr>
                <w:color w:val="000000"/>
              </w:rPr>
            </w:pPr>
            <w:r w:rsidRPr="00C63860">
              <w:t>0.5</w:t>
            </w:r>
          </w:p>
        </w:tc>
        <w:tc>
          <w:tcPr>
            <w:tcW w:w="0" w:type="auto"/>
            <w:shd w:val="clear" w:color="000000" w:fill="FFFFFF"/>
            <w:noWrap/>
            <w:hideMark/>
          </w:tcPr>
          <w:p w14:paraId="35C5C4E0" w14:textId="77777777" w:rsidR="00470AE4" w:rsidRPr="00C63860" w:rsidRDefault="00470AE4" w:rsidP="00470AE4">
            <w:pPr>
              <w:jc w:val="center"/>
              <w:rPr>
                <w:color w:val="000000"/>
              </w:rPr>
            </w:pPr>
            <w:r w:rsidRPr="00C63860">
              <w:t>0.2</w:t>
            </w:r>
          </w:p>
        </w:tc>
        <w:tc>
          <w:tcPr>
            <w:tcW w:w="0" w:type="auto"/>
            <w:shd w:val="clear" w:color="000000" w:fill="FFFFFF"/>
            <w:noWrap/>
            <w:hideMark/>
          </w:tcPr>
          <w:p w14:paraId="7F1E8E94" w14:textId="77777777" w:rsidR="00470AE4" w:rsidRPr="00C63860" w:rsidRDefault="00470AE4" w:rsidP="00470AE4">
            <w:pPr>
              <w:jc w:val="center"/>
              <w:rPr>
                <w:color w:val="000000"/>
              </w:rPr>
            </w:pPr>
            <w:r w:rsidRPr="00C63860">
              <w:t>0.1</w:t>
            </w:r>
          </w:p>
        </w:tc>
        <w:tc>
          <w:tcPr>
            <w:tcW w:w="0" w:type="auto"/>
            <w:shd w:val="clear" w:color="000000" w:fill="FFFFFF"/>
            <w:noWrap/>
            <w:hideMark/>
          </w:tcPr>
          <w:p w14:paraId="5250AF5D" w14:textId="77777777" w:rsidR="00470AE4" w:rsidRPr="00C63860" w:rsidRDefault="00470AE4" w:rsidP="00470AE4">
            <w:pPr>
              <w:jc w:val="center"/>
              <w:rPr>
                <w:color w:val="000000"/>
              </w:rPr>
            </w:pPr>
            <w:r w:rsidRPr="00C63860">
              <w:t>0.1</w:t>
            </w:r>
          </w:p>
        </w:tc>
        <w:tc>
          <w:tcPr>
            <w:tcW w:w="0" w:type="auto"/>
            <w:shd w:val="clear" w:color="000000" w:fill="FFFFFF"/>
            <w:noWrap/>
            <w:hideMark/>
          </w:tcPr>
          <w:p w14:paraId="7C645654" w14:textId="77777777" w:rsidR="00470AE4" w:rsidRPr="00C63860" w:rsidRDefault="00470AE4" w:rsidP="00470AE4">
            <w:pPr>
              <w:jc w:val="center"/>
            </w:pPr>
            <w:r w:rsidRPr="00C63860">
              <w:t>0.1</w:t>
            </w:r>
          </w:p>
        </w:tc>
      </w:tr>
      <w:tr w:rsidR="00A76011" w:rsidRPr="00C63860" w14:paraId="65EA6E8B" w14:textId="77777777" w:rsidTr="00C63860">
        <w:trPr>
          <w:cantSplit/>
        </w:trPr>
        <w:tc>
          <w:tcPr>
            <w:tcW w:w="0" w:type="auto"/>
            <w:shd w:val="clear" w:color="000000" w:fill="FFFFFF"/>
            <w:vAlign w:val="center"/>
            <w:hideMark/>
          </w:tcPr>
          <w:p w14:paraId="2548A7D6" w14:textId="00B51DD5" w:rsidR="00470AE4" w:rsidRPr="00C63860" w:rsidRDefault="00470AE4" w:rsidP="00470AE4">
            <w:pPr>
              <w:spacing w:after="240"/>
              <w:rPr>
                <w:color w:val="000000"/>
              </w:rPr>
            </w:pPr>
            <w:r w:rsidRPr="00C63860">
              <w:t>%</w:t>
            </w:r>
            <w:r w:rsidR="00C63860" w:rsidRPr="00C63860">
              <w:t xml:space="preserve"> </w:t>
            </w:r>
            <w:r w:rsidRPr="00C63860">
              <w:t>with costed operative procedure</w:t>
            </w:r>
            <w:r w:rsidRPr="00C63860">
              <w:rPr>
                <w:vertAlign w:val="superscript"/>
              </w:rPr>
              <w:t>a</w:t>
            </w:r>
            <w:r w:rsidRPr="00C63860">
              <w:t xml:space="preserve"> (within any readmission)</w:t>
            </w:r>
          </w:p>
        </w:tc>
        <w:tc>
          <w:tcPr>
            <w:tcW w:w="0" w:type="auto"/>
            <w:shd w:val="clear" w:color="000000" w:fill="FFFFFF"/>
            <w:noWrap/>
            <w:hideMark/>
          </w:tcPr>
          <w:p w14:paraId="6F5B796E" w14:textId="77777777" w:rsidR="00470AE4" w:rsidRPr="00C63860" w:rsidRDefault="00470AE4" w:rsidP="00470AE4">
            <w:pPr>
              <w:jc w:val="center"/>
              <w:rPr>
                <w:color w:val="000000"/>
              </w:rPr>
            </w:pPr>
            <w:r w:rsidRPr="00C63860">
              <w:t>1.9</w:t>
            </w:r>
          </w:p>
        </w:tc>
        <w:tc>
          <w:tcPr>
            <w:tcW w:w="0" w:type="auto"/>
            <w:shd w:val="clear" w:color="000000" w:fill="FFFFFF"/>
            <w:noWrap/>
            <w:hideMark/>
          </w:tcPr>
          <w:p w14:paraId="234E761C" w14:textId="77777777" w:rsidR="00470AE4" w:rsidRPr="00C63860" w:rsidRDefault="00470AE4" w:rsidP="00470AE4">
            <w:pPr>
              <w:jc w:val="center"/>
              <w:rPr>
                <w:color w:val="000000"/>
              </w:rPr>
            </w:pPr>
            <w:r w:rsidRPr="00C63860">
              <w:t>0.2</w:t>
            </w:r>
          </w:p>
        </w:tc>
        <w:tc>
          <w:tcPr>
            <w:tcW w:w="0" w:type="auto"/>
            <w:shd w:val="clear" w:color="000000" w:fill="FFFFFF"/>
            <w:noWrap/>
            <w:hideMark/>
          </w:tcPr>
          <w:p w14:paraId="1415E179" w14:textId="77777777" w:rsidR="00470AE4" w:rsidRPr="00C63860" w:rsidRDefault="00470AE4" w:rsidP="00470AE4">
            <w:pPr>
              <w:jc w:val="center"/>
              <w:rPr>
                <w:color w:val="000000"/>
              </w:rPr>
            </w:pPr>
            <w:r w:rsidRPr="00C63860">
              <w:t>0.4</w:t>
            </w:r>
          </w:p>
        </w:tc>
        <w:tc>
          <w:tcPr>
            <w:tcW w:w="0" w:type="auto"/>
            <w:shd w:val="clear" w:color="000000" w:fill="FFFFFF"/>
            <w:noWrap/>
            <w:hideMark/>
          </w:tcPr>
          <w:p w14:paraId="26779582" w14:textId="77777777" w:rsidR="00470AE4" w:rsidRPr="00C63860" w:rsidRDefault="00470AE4" w:rsidP="00470AE4">
            <w:pPr>
              <w:jc w:val="center"/>
              <w:rPr>
                <w:color w:val="000000"/>
              </w:rPr>
            </w:pPr>
            <w:r w:rsidRPr="00C63860">
              <w:t>0.1</w:t>
            </w:r>
          </w:p>
        </w:tc>
        <w:tc>
          <w:tcPr>
            <w:tcW w:w="0" w:type="auto"/>
            <w:shd w:val="clear" w:color="000000" w:fill="FFFFFF"/>
            <w:noWrap/>
            <w:hideMark/>
          </w:tcPr>
          <w:p w14:paraId="54AF58B1" w14:textId="77777777" w:rsidR="00470AE4" w:rsidRPr="00C63860" w:rsidRDefault="00470AE4" w:rsidP="00470AE4">
            <w:pPr>
              <w:jc w:val="center"/>
            </w:pPr>
            <w:r w:rsidRPr="00C63860">
              <w:t>0.2</w:t>
            </w:r>
          </w:p>
        </w:tc>
      </w:tr>
      <w:tr w:rsidR="00A76011" w:rsidRPr="00C63860" w14:paraId="08AB7C5F" w14:textId="77777777" w:rsidTr="00C63860">
        <w:trPr>
          <w:cantSplit/>
        </w:trPr>
        <w:tc>
          <w:tcPr>
            <w:tcW w:w="0" w:type="auto"/>
            <w:shd w:val="clear" w:color="000000" w:fill="FFFFFF"/>
            <w:vAlign w:val="center"/>
            <w:hideMark/>
          </w:tcPr>
          <w:p w14:paraId="6D9FA814" w14:textId="4FF1D97A" w:rsidR="00470AE4" w:rsidRPr="00C63860" w:rsidRDefault="00470AE4" w:rsidP="00470AE4">
            <w:pPr>
              <w:rPr>
                <w:color w:val="000000"/>
              </w:rPr>
            </w:pPr>
            <w:r w:rsidRPr="00C63860">
              <w:rPr>
                <w:rFonts w:cstheme="minorHAnsi"/>
                <w:i/>
                <w:iCs/>
              </w:rPr>
              <w:t xml:space="preserve">Mean days in hospital </w:t>
            </w:r>
            <w:r w:rsidR="00DD1841" w:rsidRPr="00C63860">
              <w:rPr>
                <w:rFonts w:cstheme="minorHAnsi"/>
                <w:i/>
                <w:iCs/>
              </w:rPr>
              <w:t>during each</w:t>
            </w:r>
            <w:r w:rsidRPr="00C63860">
              <w:rPr>
                <w:rFonts w:cstheme="minorHAnsi"/>
                <w:i/>
                <w:iCs/>
              </w:rPr>
              <w:t xml:space="preserve"> year (all admissions)</w:t>
            </w:r>
          </w:p>
        </w:tc>
        <w:tc>
          <w:tcPr>
            <w:tcW w:w="0" w:type="auto"/>
            <w:shd w:val="clear" w:color="000000" w:fill="FFFFFF"/>
            <w:noWrap/>
            <w:hideMark/>
          </w:tcPr>
          <w:p w14:paraId="21000273" w14:textId="77777777" w:rsidR="00470AE4" w:rsidRPr="00C63860" w:rsidRDefault="00470AE4" w:rsidP="00470AE4">
            <w:pPr>
              <w:jc w:val="center"/>
              <w:rPr>
                <w:color w:val="000000"/>
              </w:rPr>
            </w:pPr>
            <w:r w:rsidRPr="00C63860">
              <w:t>0.7</w:t>
            </w:r>
          </w:p>
        </w:tc>
        <w:tc>
          <w:tcPr>
            <w:tcW w:w="0" w:type="auto"/>
            <w:shd w:val="clear" w:color="000000" w:fill="FFFFFF"/>
            <w:noWrap/>
            <w:hideMark/>
          </w:tcPr>
          <w:p w14:paraId="186AC0EF" w14:textId="77777777" w:rsidR="00470AE4" w:rsidRPr="00C63860" w:rsidRDefault="00470AE4" w:rsidP="00470AE4">
            <w:pPr>
              <w:jc w:val="center"/>
              <w:rPr>
                <w:color w:val="000000"/>
              </w:rPr>
            </w:pPr>
            <w:r w:rsidRPr="00C63860">
              <w:t>0.0</w:t>
            </w:r>
          </w:p>
        </w:tc>
        <w:tc>
          <w:tcPr>
            <w:tcW w:w="0" w:type="auto"/>
            <w:shd w:val="clear" w:color="000000" w:fill="FFFFFF"/>
            <w:noWrap/>
            <w:hideMark/>
          </w:tcPr>
          <w:p w14:paraId="52784B6B" w14:textId="77777777" w:rsidR="00470AE4" w:rsidRPr="00C63860" w:rsidRDefault="00470AE4" w:rsidP="00470AE4">
            <w:pPr>
              <w:jc w:val="center"/>
              <w:rPr>
                <w:color w:val="000000"/>
              </w:rPr>
            </w:pPr>
            <w:r w:rsidRPr="00C63860">
              <w:t>0.2</w:t>
            </w:r>
          </w:p>
        </w:tc>
        <w:tc>
          <w:tcPr>
            <w:tcW w:w="0" w:type="auto"/>
            <w:shd w:val="clear" w:color="000000" w:fill="FFFFFF"/>
            <w:noWrap/>
            <w:hideMark/>
          </w:tcPr>
          <w:p w14:paraId="6BF2235B" w14:textId="77777777" w:rsidR="00470AE4" w:rsidRPr="00C63860" w:rsidRDefault="00470AE4" w:rsidP="00470AE4">
            <w:pPr>
              <w:jc w:val="center"/>
              <w:rPr>
                <w:color w:val="000000"/>
              </w:rPr>
            </w:pPr>
            <w:r w:rsidRPr="00C63860">
              <w:t>0.2</w:t>
            </w:r>
          </w:p>
        </w:tc>
        <w:tc>
          <w:tcPr>
            <w:tcW w:w="0" w:type="auto"/>
            <w:shd w:val="clear" w:color="000000" w:fill="FFFFFF"/>
            <w:noWrap/>
            <w:hideMark/>
          </w:tcPr>
          <w:p w14:paraId="434351F2" w14:textId="77777777" w:rsidR="00470AE4" w:rsidRPr="00C63860" w:rsidRDefault="00470AE4" w:rsidP="00470AE4">
            <w:pPr>
              <w:jc w:val="center"/>
            </w:pPr>
            <w:r w:rsidRPr="00C63860">
              <w:t>0.1</w:t>
            </w:r>
          </w:p>
        </w:tc>
      </w:tr>
      <w:tr w:rsidR="00A76011" w:rsidRPr="00C63860" w14:paraId="78B8D6E5" w14:textId="77777777" w:rsidTr="00C63860">
        <w:trPr>
          <w:cantSplit/>
        </w:trPr>
        <w:tc>
          <w:tcPr>
            <w:tcW w:w="0" w:type="auto"/>
            <w:shd w:val="clear" w:color="000000" w:fill="FFFFFF"/>
            <w:noWrap/>
            <w:vAlign w:val="bottom"/>
            <w:hideMark/>
          </w:tcPr>
          <w:p w14:paraId="56B2F587" w14:textId="77777777" w:rsidR="00C63860" w:rsidRPr="00C63860" w:rsidRDefault="00C63860" w:rsidP="00470AE4">
            <w:pPr>
              <w:rPr>
                <w:b/>
                <w:bCs/>
              </w:rPr>
            </w:pPr>
          </w:p>
          <w:p w14:paraId="60249066" w14:textId="77777777" w:rsidR="00470AE4" w:rsidRPr="00C63860" w:rsidRDefault="00470AE4" w:rsidP="00470AE4">
            <w:pPr>
              <w:rPr>
                <w:b/>
                <w:bCs/>
                <w:color w:val="000000"/>
              </w:rPr>
            </w:pPr>
          </w:p>
        </w:tc>
        <w:tc>
          <w:tcPr>
            <w:tcW w:w="0" w:type="auto"/>
            <w:shd w:val="clear" w:color="000000" w:fill="FFFFFF"/>
            <w:noWrap/>
            <w:hideMark/>
          </w:tcPr>
          <w:p w14:paraId="75C49270" w14:textId="77777777" w:rsidR="00470AE4" w:rsidRPr="00C63860" w:rsidRDefault="00470AE4" w:rsidP="00470AE4">
            <w:pPr>
              <w:jc w:val="center"/>
              <w:rPr>
                <w:color w:val="000000"/>
              </w:rPr>
            </w:pPr>
          </w:p>
        </w:tc>
        <w:tc>
          <w:tcPr>
            <w:tcW w:w="0" w:type="auto"/>
            <w:shd w:val="clear" w:color="000000" w:fill="FFFFFF"/>
            <w:noWrap/>
            <w:hideMark/>
          </w:tcPr>
          <w:p w14:paraId="1132B66C" w14:textId="77777777" w:rsidR="00470AE4" w:rsidRPr="00C63860" w:rsidRDefault="00470AE4" w:rsidP="00470AE4">
            <w:pPr>
              <w:jc w:val="center"/>
              <w:rPr>
                <w:color w:val="000000"/>
              </w:rPr>
            </w:pPr>
          </w:p>
        </w:tc>
        <w:tc>
          <w:tcPr>
            <w:tcW w:w="0" w:type="auto"/>
            <w:shd w:val="clear" w:color="000000" w:fill="FFFFFF"/>
            <w:noWrap/>
            <w:hideMark/>
          </w:tcPr>
          <w:p w14:paraId="618CF7B8" w14:textId="77777777" w:rsidR="00470AE4" w:rsidRPr="00C63860" w:rsidRDefault="00470AE4" w:rsidP="00470AE4">
            <w:pPr>
              <w:jc w:val="center"/>
              <w:rPr>
                <w:color w:val="000000"/>
              </w:rPr>
            </w:pPr>
          </w:p>
        </w:tc>
        <w:tc>
          <w:tcPr>
            <w:tcW w:w="0" w:type="auto"/>
            <w:shd w:val="clear" w:color="000000" w:fill="FFFFFF"/>
            <w:noWrap/>
            <w:hideMark/>
          </w:tcPr>
          <w:p w14:paraId="7808274E" w14:textId="77777777" w:rsidR="00470AE4" w:rsidRPr="00C63860" w:rsidRDefault="00470AE4" w:rsidP="00470AE4">
            <w:pPr>
              <w:jc w:val="center"/>
              <w:rPr>
                <w:color w:val="000000"/>
              </w:rPr>
            </w:pPr>
          </w:p>
        </w:tc>
        <w:tc>
          <w:tcPr>
            <w:tcW w:w="0" w:type="auto"/>
            <w:shd w:val="clear" w:color="000000" w:fill="FFFFFF"/>
            <w:noWrap/>
            <w:hideMark/>
          </w:tcPr>
          <w:p w14:paraId="6BD8D6E4" w14:textId="77777777" w:rsidR="00470AE4" w:rsidRPr="00C63860" w:rsidRDefault="00470AE4" w:rsidP="00470AE4">
            <w:pPr>
              <w:jc w:val="center"/>
            </w:pPr>
          </w:p>
        </w:tc>
      </w:tr>
      <w:tr w:rsidR="00A76011" w:rsidRPr="00C63860" w14:paraId="6BAE4ECE" w14:textId="77777777" w:rsidTr="00C63860">
        <w:trPr>
          <w:cantSplit/>
        </w:trPr>
        <w:tc>
          <w:tcPr>
            <w:tcW w:w="0" w:type="auto"/>
            <w:shd w:val="clear" w:color="000000" w:fill="FFFFFF"/>
            <w:noWrap/>
            <w:vAlign w:val="bottom"/>
            <w:hideMark/>
          </w:tcPr>
          <w:p w14:paraId="661908F3" w14:textId="77777777" w:rsidR="00470AE4" w:rsidRPr="00C63860" w:rsidRDefault="00470AE4" w:rsidP="00470AE4">
            <w:pPr>
              <w:rPr>
                <w:b/>
                <w:bCs/>
                <w:color w:val="000000"/>
              </w:rPr>
            </w:pPr>
            <w:r w:rsidRPr="00C63860">
              <w:rPr>
                <w:b/>
                <w:bCs/>
              </w:rPr>
              <w:t>(B) Cholelithiasis (N=110,732)</w:t>
            </w:r>
          </w:p>
        </w:tc>
        <w:tc>
          <w:tcPr>
            <w:tcW w:w="0" w:type="auto"/>
            <w:shd w:val="clear" w:color="000000" w:fill="FFFFFF"/>
            <w:noWrap/>
            <w:hideMark/>
          </w:tcPr>
          <w:p w14:paraId="6979328F" w14:textId="77777777" w:rsidR="00470AE4" w:rsidRPr="00C63860" w:rsidRDefault="00470AE4" w:rsidP="00470AE4">
            <w:pPr>
              <w:jc w:val="center"/>
              <w:rPr>
                <w:b/>
                <w:bCs/>
                <w:color w:val="000000"/>
              </w:rPr>
            </w:pPr>
          </w:p>
        </w:tc>
        <w:tc>
          <w:tcPr>
            <w:tcW w:w="0" w:type="auto"/>
            <w:shd w:val="clear" w:color="000000" w:fill="FFFFFF"/>
            <w:noWrap/>
            <w:hideMark/>
          </w:tcPr>
          <w:p w14:paraId="69958172" w14:textId="77777777" w:rsidR="00470AE4" w:rsidRPr="00C63860" w:rsidRDefault="00470AE4" w:rsidP="00470AE4">
            <w:pPr>
              <w:jc w:val="center"/>
              <w:rPr>
                <w:b/>
                <w:bCs/>
                <w:color w:val="000000"/>
              </w:rPr>
            </w:pPr>
          </w:p>
        </w:tc>
        <w:tc>
          <w:tcPr>
            <w:tcW w:w="0" w:type="auto"/>
            <w:shd w:val="clear" w:color="000000" w:fill="FFFFFF"/>
            <w:noWrap/>
            <w:hideMark/>
          </w:tcPr>
          <w:p w14:paraId="2793E907" w14:textId="77777777" w:rsidR="00470AE4" w:rsidRPr="00C63860" w:rsidRDefault="00470AE4" w:rsidP="00470AE4">
            <w:pPr>
              <w:jc w:val="center"/>
              <w:rPr>
                <w:b/>
                <w:bCs/>
                <w:color w:val="000000"/>
              </w:rPr>
            </w:pPr>
          </w:p>
        </w:tc>
        <w:tc>
          <w:tcPr>
            <w:tcW w:w="0" w:type="auto"/>
            <w:shd w:val="clear" w:color="000000" w:fill="FFFFFF"/>
            <w:noWrap/>
            <w:hideMark/>
          </w:tcPr>
          <w:p w14:paraId="705F799F" w14:textId="77777777" w:rsidR="00470AE4" w:rsidRPr="00C63860" w:rsidRDefault="00470AE4" w:rsidP="00470AE4">
            <w:pPr>
              <w:jc w:val="center"/>
              <w:rPr>
                <w:b/>
                <w:bCs/>
                <w:color w:val="000000"/>
              </w:rPr>
            </w:pPr>
          </w:p>
        </w:tc>
        <w:tc>
          <w:tcPr>
            <w:tcW w:w="0" w:type="auto"/>
            <w:shd w:val="clear" w:color="000000" w:fill="FFFFFF"/>
            <w:noWrap/>
            <w:hideMark/>
          </w:tcPr>
          <w:p w14:paraId="19C9BEED" w14:textId="77777777" w:rsidR="00470AE4" w:rsidRPr="00C63860" w:rsidRDefault="00470AE4" w:rsidP="00470AE4">
            <w:pPr>
              <w:jc w:val="center"/>
              <w:rPr>
                <w:b/>
                <w:bCs/>
              </w:rPr>
            </w:pPr>
          </w:p>
        </w:tc>
      </w:tr>
      <w:tr w:rsidR="00A76011" w:rsidRPr="00C63860" w14:paraId="38D0F3C7" w14:textId="77777777" w:rsidTr="00C63860">
        <w:trPr>
          <w:cantSplit/>
        </w:trPr>
        <w:tc>
          <w:tcPr>
            <w:tcW w:w="0" w:type="auto"/>
            <w:shd w:val="clear" w:color="000000" w:fill="FFFFFF"/>
            <w:noWrap/>
            <w:vAlign w:val="bottom"/>
          </w:tcPr>
          <w:p w14:paraId="19122455" w14:textId="77777777" w:rsidR="00470AE4" w:rsidRPr="00C63860" w:rsidRDefault="00470AE4" w:rsidP="00470AE4">
            <w:pPr>
              <w:rPr>
                <w:b/>
                <w:bCs/>
                <w:color w:val="000000"/>
              </w:rPr>
            </w:pPr>
          </w:p>
        </w:tc>
        <w:tc>
          <w:tcPr>
            <w:tcW w:w="0" w:type="auto"/>
            <w:shd w:val="clear" w:color="000000" w:fill="FFFFFF"/>
            <w:noWrap/>
            <w:vAlign w:val="center"/>
          </w:tcPr>
          <w:p w14:paraId="68088F24" w14:textId="77777777" w:rsidR="00470AE4" w:rsidRPr="00C63860" w:rsidRDefault="00470AE4" w:rsidP="00470AE4">
            <w:pPr>
              <w:jc w:val="center"/>
              <w:rPr>
                <w:b/>
                <w:bCs/>
                <w:color w:val="000000"/>
              </w:rPr>
            </w:pPr>
            <w:r w:rsidRPr="00C63860">
              <w:rPr>
                <w:b/>
                <w:bCs/>
              </w:rPr>
              <w:t>Year 1</w:t>
            </w:r>
          </w:p>
        </w:tc>
        <w:tc>
          <w:tcPr>
            <w:tcW w:w="0" w:type="auto"/>
            <w:shd w:val="clear" w:color="000000" w:fill="FFFFFF"/>
            <w:noWrap/>
            <w:vAlign w:val="center"/>
          </w:tcPr>
          <w:p w14:paraId="2B68561C" w14:textId="77777777" w:rsidR="00470AE4" w:rsidRPr="00C63860" w:rsidRDefault="00470AE4" w:rsidP="00470AE4">
            <w:pPr>
              <w:jc w:val="center"/>
              <w:rPr>
                <w:b/>
                <w:bCs/>
                <w:color w:val="000000"/>
              </w:rPr>
            </w:pPr>
            <w:r w:rsidRPr="00C63860">
              <w:rPr>
                <w:b/>
                <w:bCs/>
              </w:rPr>
              <w:t>Year 2</w:t>
            </w:r>
          </w:p>
        </w:tc>
        <w:tc>
          <w:tcPr>
            <w:tcW w:w="0" w:type="auto"/>
            <w:shd w:val="clear" w:color="000000" w:fill="FFFFFF"/>
            <w:noWrap/>
            <w:vAlign w:val="center"/>
          </w:tcPr>
          <w:p w14:paraId="5CBC3794" w14:textId="77777777" w:rsidR="00470AE4" w:rsidRPr="00C63860" w:rsidRDefault="00470AE4" w:rsidP="00470AE4">
            <w:pPr>
              <w:jc w:val="center"/>
              <w:rPr>
                <w:b/>
                <w:bCs/>
                <w:color w:val="000000"/>
              </w:rPr>
            </w:pPr>
            <w:r w:rsidRPr="00C63860">
              <w:rPr>
                <w:b/>
                <w:bCs/>
              </w:rPr>
              <w:t>Year 3</w:t>
            </w:r>
          </w:p>
        </w:tc>
        <w:tc>
          <w:tcPr>
            <w:tcW w:w="0" w:type="auto"/>
            <w:shd w:val="clear" w:color="000000" w:fill="FFFFFF"/>
            <w:noWrap/>
            <w:vAlign w:val="center"/>
          </w:tcPr>
          <w:p w14:paraId="3BAD0694" w14:textId="77777777" w:rsidR="00470AE4" w:rsidRPr="00C63860" w:rsidRDefault="00470AE4" w:rsidP="00470AE4">
            <w:pPr>
              <w:jc w:val="center"/>
              <w:rPr>
                <w:b/>
                <w:bCs/>
                <w:color w:val="000000"/>
              </w:rPr>
            </w:pPr>
            <w:r w:rsidRPr="00C63860">
              <w:rPr>
                <w:b/>
                <w:bCs/>
              </w:rPr>
              <w:t>Year 4</w:t>
            </w:r>
          </w:p>
        </w:tc>
        <w:tc>
          <w:tcPr>
            <w:tcW w:w="0" w:type="auto"/>
            <w:shd w:val="clear" w:color="000000" w:fill="FFFFFF"/>
            <w:noWrap/>
            <w:vAlign w:val="center"/>
          </w:tcPr>
          <w:p w14:paraId="77E21F20" w14:textId="77777777" w:rsidR="00470AE4" w:rsidRPr="00C63860" w:rsidRDefault="00470AE4" w:rsidP="00470AE4">
            <w:pPr>
              <w:jc w:val="center"/>
              <w:rPr>
                <w:b/>
                <w:bCs/>
              </w:rPr>
            </w:pPr>
            <w:r w:rsidRPr="00C63860">
              <w:rPr>
                <w:b/>
                <w:bCs/>
              </w:rPr>
              <w:t>Year 5</w:t>
            </w:r>
          </w:p>
        </w:tc>
      </w:tr>
      <w:tr w:rsidR="00A76011" w:rsidRPr="00C63860" w14:paraId="0504C812" w14:textId="77777777" w:rsidTr="00C63860">
        <w:trPr>
          <w:cantSplit/>
        </w:trPr>
        <w:tc>
          <w:tcPr>
            <w:tcW w:w="0" w:type="auto"/>
            <w:shd w:val="clear" w:color="000000" w:fill="FFFFFF"/>
            <w:vAlign w:val="center"/>
            <w:hideMark/>
          </w:tcPr>
          <w:p w14:paraId="4324FB86" w14:textId="77777777" w:rsidR="00470AE4" w:rsidRPr="00C63860" w:rsidRDefault="00470AE4" w:rsidP="00470AE4">
            <w:pPr>
              <w:rPr>
                <w:color w:val="000000"/>
              </w:rPr>
            </w:pPr>
            <w:r w:rsidRPr="00C63860">
              <w:t xml:space="preserve">% with readmission </w:t>
            </w:r>
          </w:p>
        </w:tc>
        <w:tc>
          <w:tcPr>
            <w:tcW w:w="0" w:type="auto"/>
            <w:shd w:val="clear" w:color="000000" w:fill="FFFFFF"/>
            <w:noWrap/>
            <w:hideMark/>
          </w:tcPr>
          <w:p w14:paraId="7CD22289" w14:textId="7960C660" w:rsidR="00470AE4" w:rsidRPr="00C63860" w:rsidRDefault="00C63860" w:rsidP="00470AE4">
            <w:pPr>
              <w:jc w:val="center"/>
              <w:rPr>
                <w:color w:val="000000"/>
              </w:rPr>
            </w:pPr>
            <w:r w:rsidRPr="00C63860">
              <w:rPr>
                <w:color w:val="00B0F0"/>
              </w:rPr>
              <w:t>–3</w:t>
            </w:r>
            <w:r w:rsidR="00470AE4" w:rsidRPr="00C63860">
              <w:t>6.8</w:t>
            </w:r>
          </w:p>
        </w:tc>
        <w:tc>
          <w:tcPr>
            <w:tcW w:w="0" w:type="auto"/>
            <w:shd w:val="clear" w:color="000000" w:fill="FFFFFF"/>
            <w:noWrap/>
            <w:hideMark/>
          </w:tcPr>
          <w:p w14:paraId="2483E053" w14:textId="0D172D92" w:rsidR="00470AE4" w:rsidRPr="00C63860" w:rsidRDefault="00C63860" w:rsidP="00470AE4">
            <w:pPr>
              <w:jc w:val="center"/>
              <w:rPr>
                <w:color w:val="000000"/>
              </w:rPr>
            </w:pPr>
            <w:r w:rsidRPr="00C63860">
              <w:rPr>
                <w:color w:val="00B0F0"/>
              </w:rPr>
              <w:t>–1</w:t>
            </w:r>
            <w:r w:rsidR="00470AE4" w:rsidRPr="00C63860">
              <w:t>.4</w:t>
            </w:r>
          </w:p>
        </w:tc>
        <w:tc>
          <w:tcPr>
            <w:tcW w:w="0" w:type="auto"/>
            <w:shd w:val="clear" w:color="000000" w:fill="FFFFFF"/>
            <w:noWrap/>
            <w:hideMark/>
          </w:tcPr>
          <w:p w14:paraId="7241A20C" w14:textId="7FDC5B44" w:rsidR="00470AE4" w:rsidRPr="00C63860" w:rsidRDefault="00C63860" w:rsidP="00470AE4">
            <w:pPr>
              <w:jc w:val="center"/>
              <w:rPr>
                <w:color w:val="000000"/>
              </w:rPr>
            </w:pPr>
            <w:r w:rsidRPr="00C63860">
              <w:rPr>
                <w:color w:val="00B0F0"/>
              </w:rPr>
              <w:t>–1</w:t>
            </w:r>
            <w:r w:rsidR="00470AE4" w:rsidRPr="00C63860">
              <w:t>.0</w:t>
            </w:r>
          </w:p>
        </w:tc>
        <w:tc>
          <w:tcPr>
            <w:tcW w:w="0" w:type="auto"/>
            <w:shd w:val="clear" w:color="000000" w:fill="FFFFFF"/>
            <w:noWrap/>
            <w:hideMark/>
          </w:tcPr>
          <w:p w14:paraId="5AF294A7" w14:textId="5E5AE57F" w:rsidR="00470AE4" w:rsidRPr="00C63860" w:rsidRDefault="00C63860" w:rsidP="00470AE4">
            <w:pPr>
              <w:jc w:val="center"/>
              <w:rPr>
                <w:color w:val="000000"/>
              </w:rPr>
            </w:pPr>
            <w:r w:rsidRPr="00C63860">
              <w:rPr>
                <w:color w:val="00B0F0"/>
              </w:rPr>
              <w:t>–1</w:t>
            </w:r>
            <w:r w:rsidR="00470AE4" w:rsidRPr="00C63860">
              <w:t>.6</w:t>
            </w:r>
          </w:p>
        </w:tc>
        <w:tc>
          <w:tcPr>
            <w:tcW w:w="0" w:type="auto"/>
            <w:shd w:val="clear" w:color="000000" w:fill="FFFFFF"/>
            <w:noWrap/>
            <w:hideMark/>
          </w:tcPr>
          <w:p w14:paraId="273DB2E5" w14:textId="77777777" w:rsidR="00470AE4" w:rsidRPr="00C63860" w:rsidRDefault="00470AE4" w:rsidP="00470AE4">
            <w:pPr>
              <w:jc w:val="center"/>
            </w:pPr>
            <w:r w:rsidRPr="00C63860">
              <w:t>1.2</w:t>
            </w:r>
          </w:p>
        </w:tc>
      </w:tr>
      <w:tr w:rsidR="00A76011" w:rsidRPr="00C63860" w14:paraId="450DFD9C" w14:textId="77777777" w:rsidTr="00C63860">
        <w:trPr>
          <w:cantSplit/>
        </w:trPr>
        <w:tc>
          <w:tcPr>
            <w:tcW w:w="0" w:type="auto"/>
            <w:shd w:val="clear" w:color="000000" w:fill="FFFFFF"/>
            <w:vAlign w:val="center"/>
            <w:hideMark/>
          </w:tcPr>
          <w:p w14:paraId="237C1BF4" w14:textId="77777777" w:rsidR="00470AE4" w:rsidRPr="00C63860" w:rsidRDefault="00470AE4" w:rsidP="00470AE4">
            <w:pPr>
              <w:rPr>
                <w:color w:val="000000"/>
              </w:rPr>
            </w:pPr>
            <w:r w:rsidRPr="00C63860">
              <w:t>% with critical care admission (within any readmission)</w:t>
            </w:r>
          </w:p>
        </w:tc>
        <w:tc>
          <w:tcPr>
            <w:tcW w:w="0" w:type="auto"/>
            <w:shd w:val="clear" w:color="000000" w:fill="FFFFFF"/>
            <w:noWrap/>
            <w:hideMark/>
          </w:tcPr>
          <w:p w14:paraId="6B492911" w14:textId="21624C1A" w:rsidR="00470AE4" w:rsidRPr="00C63860" w:rsidRDefault="00C63860" w:rsidP="00470AE4">
            <w:pPr>
              <w:jc w:val="center"/>
              <w:rPr>
                <w:color w:val="000000"/>
              </w:rPr>
            </w:pPr>
            <w:r w:rsidRPr="00C63860">
              <w:rPr>
                <w:color w:val="00B0F0"/>
              </w:rPr>
              <w:t>–1</w:t>
            </w:r>
            <w:r w:rsidR="00470AE4" w:rsidRPr="00C63860">
              <w:t>.7</w:t>
            </w:r>
          </w:p>
        </w:tc>
        <w:tc>
          <w:tcPr>
            <w:tcW w:w="0" w:type="auto"/>
            <w:shd w:val="clear" w:color="000000" w:fill="FFFFFF"/>
            <w:noWrap/>
            <w:hideMark/>
          </w:tcPr>
          <w:p w14:paraId="70B971AD" w14:textId="433592E0" w:rsidR="00470AE4" w:rsidRPr="00C63860" w:rsidRDefault="00C63860" w:rsidP="00470AE4">
            <w:pPr>
              <w:jc w:val="center"/>
              <w:rPr>
                <w:color w:val="000000"/>
              </w:rPr>
            </w:pPr>
            <w:r w:rsidRPr="00C63860">
              <w:rPr>
                <w:color w:val="00B0F0"/>
              </w:rPr>
              <w:t>–0</w:t>
            </w:r>
            <w:r w:rsidR="00470AE4" w:rsidRPr="00C63860">
              <w:t>.2</w:t>
            </w:r>
          </w:p>
        </w:tc>
        <w:tc>
          <w:tcPr>
            <w:tcW w:w="0" w:type="auto"/>
            <w:shd w:val="clear" w:color="000000" w:fill="FFFFFF"/>
            <w:noWrap/>
            <w:hideMark/>
          </w:tcPr>
          <w:p w14:paraId="154AE778" w14:textId="77777777" w:rsidR="00470AE4" w:rsidRPr="00C63860" w:rsidRDefault="00470AE4" w:rsidP="00470AE4">
            <w:pPr>
              <w:jc w:val="center"/>
              <w:rPr>
                <w:color w:val="000000"/>
              </w:rPr>
            </w:pPr>
            <w:r w:rsidRPr="00C63860">
              <w:t>0.0</w:t>
            </w:r>
          </w:p>
        </w:tc>
        <w:tc>
          <w:tcPr>
            <w:tcW w:w="0" w:type="auto"/>
            <w:shd w:val="clear" w:color="000000" w:fill="FFFFFF"/>
            <w:noWrap/>
            <w:hideMark/>
          </w:tcPr>
          <w:p w14:paraId="759EB68A" w14:textId="14F3B4AA" w:rsidR="00470AE4" w:rsidRPr="00C63860" w:rsidRDefault="00C63860" w:rsidP="00470AE4">
            <w:pPr>
              <w:jc w:val="center"/>
              <w:rPr>
                <w:color w:val="000000"/>
              </w:rPr>
            </w:pPr>
            <w:r w:rsidRPr="00C63860">
              <w:rPr>
                <w:color w:val="00B0F0"/>
              </w:rPr>
              <w:t>–0</w:t>
            </w:r>
            <w:r w:rsidR="00470AE4" w:rsidRPr="00C63860">
              <w:t>.2</w:t>
            </w:r>
          </w:p>
        </w:tc>
        <w:tc>
          <w:tcPr>
            <w:tcW w:w="0" w:type="auto"/>
            <w:shd w:val="clear" w:color="000000" w:fill="FFFFFF"/>
            <w:noWrap/>
            <w:hideMark/>
          </w:tcPr>
          <w:p w14:paraId="64CDC511" w14:textId="77777777" w:rsidR="00470AE4" w:rsidRPr="00C63860" w:rsidRDefault="00470AE4" w:rsidP="00470AE4">
            <w:pPr>
              <w:jc w:val="center"/>
            </w:pPr>
            <w:r w:rsidRPr="00C63860">
              <w:t>0.5</w:t>
            </w:r>
          </w:p>
        </w:tc>
      </w:tr>
      <w:tr w:rsidR="00A76011" w:rsidRPr="00C63860" w14:paraId="4A259644" w14:textId="77777777" w:rsidTr="00C63860">
        <w:trPr>
          <w:cantSplit/>
        </w:trPr>
        <w:tc>
          <w:tcPr>
            <w:tcW w:w="0" w:type="auto"/>
            <w:shd w:val="clear" w:color="000000" w:fill="FFFFFF"/>
            <w:vAlign w:val="center"/>
            <w:hideMark/>
          </w:tcPr>
          <w:p w14:paraId="44C71ABF" w14:textId="7F79E4FD" w:rsidR="00470AE4" w:rsidRPr="00C63860" w:rsidRDefault="00470AE4" w:rsidP="00470AE4">
            <w:pPr>
              <w:spacing w:after="240"/>
              <w:rPr>
                <w:color w:val="000000"/>
              </w:rPr>
            </w:pPr>
            <w:r w:rsidRPr="00C63860">
              <w:t>%</w:t>
            </w:r>
            <w:r w:rsidR="00C63860" w:rsidRPr="00C63860">
              <w:t xml:space="preserve"> </w:t>
            </w:r>
            <w:r w:rsidRPr="00C63860">
              <w:t>with costed operative procedure</w:t>
            </w:r>
            <w:r w:rsidRPr="00C63860">
              <w:rPr>
                <w:vertAlign w:val="superscript"/>
              </w:rPr>
              <w:t>a</w:t>
            </w:r>
            <w:r w:rsidRPr="00C63860">
              <w:t xml:space="preserve"> (within any readmission)</w:t>
            </w:r>
          </w:p>
        </w:tc>
        <w:tc>
          <w:tcPr>
            <w:tcW w:w="0" w:type="auto"/>
            <w:shd w:val="clear" w:color="000000" w:fill="FFFFFF"/>
            <w:noWrap/>
            <w:hideMark/>
          </w:tcPr>
          <w:p w14:paraId="2559D965" w14:textId="1D9D5EAA" w:rsidR="00470AE4" w:rsidRPr="00C63860" w:rsidRDefault="00C63860" w:rsidP="00470AE4">
            <w:pPr>
              <w:jc w:val="center"/>
              <w:rPr>
                <w:color w:val="000000"/>
              </w:rPr>
            </w:pPr>
            <w:r w:rsidRPr="00C63860">
              <w:rPr>
                <w:color w:val="00B0F0"/>
              </w:rPr>
              <w:t>–4</w:t>
            </w:r>
            <w:r w:rsidR="00470AE4" w:rsidRPr="00C63860">
              <w:t>7.7</w:t>
            </w:r>
          </w:p>
        </w:tc>
        <w:tc>
          <w:tcPr>
            <w:tcW w:w="0" w:type="auto"/>
            <w:shd w:val="clear" w:color="000000" w:fill="FFFFFF"/>
            <w:noWrap/>
            <w:hideMark/>
          </w:tcPr>
          <w:p w14:paraId="02F5C087" w14:textId="77777777" w:rsidR="00470AE4" w:rsidRPr="00C63860" w:rsidRDefault="00470AE4" w:rsidP="00470AE4">
            <w:pPr>
              <w:jc w:val="center"/>
              <w:rPr>
                <w:color w:val="000000"/>
              </w:rPr>
            </w:pPr>
            <w:r w:rsidRPr="00C63860">
              <w:t>0.5</w:t>
            </w:r>
          </w:p>
        </w:tc>
        <w:tc>
          <w:tcPr>
            <w:tcW w:w="0" w:type="auto"/>
            <w:shd w:val="clear" w:color="000000" w:fill="FFFFFF"/>
            <w:noWrap/>
            <w:hideMark/>
          </w:tcPr>
          <w:p w14:paraId="28E79D70" w14:textId="7FF0E1CE" w:rsidR="00470AE4" w:rsidRPr="00C63860" w:rsidRDefault="00C63860" w:rsidP="00470AE4">
            <w:pPr>
              <w:jc w:val="center"/>
              <w:rPr>
                <w:color w:val="000000"/>
              </w:rPr>
            </w:pPr>
            <w:r w:rsidRPr="00C63860">
              <w:rPr>
                <w:color w:val="00B0F0"/>
              </w:rPr>
              <w:t>–0</w:t>
            </w:r>
            <w:r w:rsidR="00470AE4" w:rsidRPr="00C63860">
              <w:t>.1</w:t>
            </w:r>
          </w:p>
        </w:tc>
        <w:tc>
          <w:tcPr>
            <w:tcW w:w="0" w:type="auto"/>
            <w:shd w:val="clear" w:color="000000" w:fill="FFFFFF"/>
            <w:noWrap/>
            <w:hideMark/>
          </w:tcPr>
          <w:p w14:paraId="588F937A" w14:textId="65716DB4" w:rsidR="00470AE4" w:rsidRPr="00C63860" w:rsidRDefault="00C63860" w:rsidP="00470AE4">
            <w:pPr>
              <w:jc w:val="center"/>
              <w:rPr>
                <w:color w:val="000000"/>
              </w:rPr>
            </w:pPr>
            <w:r w:rsidRPr="00C63860">
              <w:rPr>
                <w:color w:val="00B0F0"/>
              </w:rPr>
              <w:t>–0</w:t>
            </w:r>
            <w:r w:rsidR="00470AE4" w:rsidRPr="00C63860">
              <w:t>.4</w:t>
            </w:r>
          </w:p>
        </w:tc>
        <w:tc>
          <w:tcPr>
            <w:tcW w:w="0" w:type="auto"/>
            <w:shd w:val="clear" w:color="000000" w:fill="FFFFFF"/>
            <w:noWrap/>
            <w:hideMark/>
          </w:tcPr>
          <w:p w14:paraId="17198C3C" w14:textId="77777777" w:rsidR="00470AE4" w:rsidRPr="00C63860" w:rsidRDefault="00470AE4" w:rsidP="00470AE4">
            <w:pPr>
              <w:jc w:val="center"/>
            </w:pPr>
            <w:r w:rsidRPr="00C63860">
              <w:t>1.0</w:t>
            </w:r>
          </w:p>
        </w:tc>
      </w:tr>
      <w:tr w:rsidR="00A76011" w:rsidRPr="00C63860" w14:paraId="0DF66CEC" w14:textId="77777777" w:rsidTr="00C63860">
        <w:trPr>
          <w:cantSplit/>
        </w:trPr>
        <w:tc>
          <w:tcPr>
            <w:tcW w:w="0" w:type="auto"/>
            <w:shd w:val="clear" w:color="000000" w:fill="FFFFFF"/>
            <w:vAlign w:val="center"/>
            <w:hideMark/>
          </w:tcPr>
          <w:p w14:paraId="1F027896" w14:textId="0C310061" w:rsidR="00470AE4" w:rsidRPr="00C63860" w:rsidRDefault="00470AE4" w:rsidP="00470AE4">
            <w:pPr>
              <w:rPr>
                <w:color w:val="000000"/>
              </w:rPr>
            </w:pPr>
            <w:r w:rsidRPr="00C63860">
              <w:rPr>
                <w:rFonts w:cstheme="minorHAnsi"/>
                <w:i/>
                <w:iCs/>
              </w:rPr>
              <w:t xml:space="preserve">Mean days in hospital </w:t>
            </w:r>
            <w:r w:rsidR="00DD1841" w:rsidRPr="00C63860">
              <w:rPr>
                <w:rFonts w:cstheme="minorHAnsi"/>
                <w:i/>
                <w:iCs/>
              </w:rPr>
              <w:t>during each</w:t>
            </w:r>
            <w:r w:rsidRPr="00C63860">
              <w:rPr>
                <w:rFonts w:cstheme="minorHAnsi"/>
                <w:i/>
                <w:iCs/>
              </w:rPr>
              <w:t xml:space="preserve"> year (all admissions)</w:t>
            </w:r>
          </w:p>
        </w:tc>
        <w:tc>
          <w:tcPr>
            <w:tcW w:w="0" w:type="auto"/>
            <w:shd w:val="clear" w:color="000000" w:fill="FFFFFF"/>
            <w:noWrap/>
            <w:hideMark/>
          </w:tcPr>
          <w:p w14:paraId="3CD8C9B7" w14:textId="559D03E4" w:rsidR="00470AE4" w:rsidRPr="00C63860" w:rsidRDefault="00C63860" w:rsidP="00470AE4">
            <w:pPr>
              <w:jc w:val="center"/>
              <w:rPr>
                <w:color w:val="000000"/>
              </w:rPr>
            </w:pPr>
            <w:r w:rsidRPr="00C63860">
              <w:rPr>
                <w:color w:val="00B0F0"/>
              </w:rPr>
              <w:t>–0</w:t>
            </w:r>
            <w:r w:rsidR="00470AE4" w:rsidRPr="00C63860">
              <w:t>.5</w:t>
            </w:r>
          </w:p>
        </w:tc>
        <w:tc>
          <w:tcPr>
            <w:tcW w:w="0" w:type="auto"/>
            <w:shd w:val="clear" w:color="000000" w:fill="FFFFFF"/>
            <w:noWrap/>
            <w:hideMark/>
          </w:tcPr>
          <w:p w14:paraId="63BF464C" w14:textId="77777777" w:rsidR="00470AE4" w:rsidRPr="00C63860" w:rsidRDefault="00470AE4" w:rsidP="00470AE4">
            <w:pPr>
              <w:jc w:val="center"/>
              <w:rPr>
                <w:color w:val="000000"/>
              </w:rPr>
            </w:pPr>
            <w:r w:rsidRPr="00C63860">
              <w:t>0.2</w:t>
            </w:r>
          </w:p>
        </w:tc>
        <w:tc>
          <w:tcPr>
            <w:tcW w:w="0" w:type="auto"/>
            <w:shd w:val="clear" w:color="000000" w:fill="FFFFFF"/>
            <w:noWrap/>
            <w:hideMark/>
          </w:tcPr>
          <w:p w14:paraId="3BF8C320" w14:textId="77777777" w:rsidR="00470AE4" w:rsidRPr="00C63860" w:rsidRDefault="00470AE4" w:rsidP="00470AE4">
            <w:pPr>
              <w:jc w:val="center"/>
              <w:rPr>
                <w:color w:val="000000"/>
              </w:rPr>
            </w:pPr>
            <w:r w:rsidRPr="00C63860">
              <w:t>0.6</w:t>
            </w:r>
          </w:p>
        </w:tc>
        <w:tc>
          <w:tcPr>
            <w:tcW w:w="0" w:type="auto"/>
            <w:shd w:val="clear" w:color="000000" w:fill="FFFFFF"/>
            <w:noWrap/>
            <w:hideMark/>
          </w:tcPr>
          <w:p w14:paraId="51628395" w14:textId="77777777" w:rsidR="00470AE4" w:rsidRPr="00C63860" w:rsidRDefault="00470AE4" w:rsidP="00470AE4">
            <w:pPr>
              <w:jc w:val="center"/>
              <w:rPr>
                <w:color w:val="000000"/>
              </w:rPr>
            </w:pPr>
            <w:r w:rsidRPr="00C63860">
              <w:t>0.0</w:t>
            </w:r>
          </w:p>
        </w:tc>
        <w:tc>
          <w:tcPr>
            <w:tcW w:w="0" w:type="auto"/>
            <w:shd w:val="clear" w:color="000000" w:fill="FFFFFF"/>
            <w:noWrap/>
            <w:hideMark/>
          </w:tcPr>
          <w:p w14:paraId="4B5EC69E" w14:textId="77777777" w:rsidR="00470AE4" w:rsidRPr="00C63860" w:rsidRDefault="00470AE4" w:rsidP="00470AE4">
            <w:pPr>
              <w:jc w:val="center"/>
            </w:pPr>
            <w:r w:rsidRPr="00C63860">
              <w:t>0.6</w:t>
            </w:r>
          </w:p>
        </w:tc>
      </w:tr>
      <w:tr w:rsidR="00A76011" w:rsidRPr="00C63860" w14:paraId="3DE3544E" w14:textId="77777777" w:rsidTr="00C63860">
        <w:trPr>
          <w:cantSplit/>
        </w:trPr>
        <w:tc>
          <w:tcPr>
            <w:tcW w:w="0" w:type="auto"/>
            <w:shd w:val="clear" w:color="000000" w:fill="FFFFFF"/>
            <w:noWrap/>
            <w:vAlign w:val="bottom"/>
            <w:hideMark/>
          </w:tcPr>
          <w:p w14:paraId="2A822D43" w14:textId="77777777" w:rsidR="00C63860" w:rsidRPr="00C63860" w:rsidRDefault="00C63860" w:rsidP="00470AE4">
            <w:pPr>
              <w:rPr>
                <w:b/>
                <w:bCs/>
              </w:rPr>
            </w:pPr>
          </w:p>
          <w:p w14:paraId="19DFB8E8" w14:textId="77777777" w:rsidR="00470AE4" w:rsidRPr="00C63860" w:rsidRDefault="00470AE4" w:rsidP="00470AE4">
            <w:pPr>
              <w:rPr>
                <w:b/>
                <w:bCs/>
                <w:color w:val="000000"/>
              </w:rPr>
            </w:pPr>
          </w:p>
        </w:tc>
        <w:tc>
          <w:tcPr>
            <w:tcW w:w="0" w:type="auto"/>
            <w:shd w:val="clear" w:color="000000" w:fill="FFFFFF"/>
            <w:noWrap/>
            <w:hideMark/>
          </w:tcPr>
          <w:p w14:paraId="36C56749" w14:textId="77777777" w:rsidR="00470AE4" w:rsidRPr="00C63860" w:rsidRDefault="00470AE4" w:rsidP="00470AE4">
            <w:pPr>
              <w:jc w:val="center"/>
              <w:rPr>
                <w:color w:val="000000"/>
              </w:rPr>
            </w:pPr>
          </w:p>
        </w:tc>
        <w:tc>
          <w:tcPr>
            <w:tcW w:w="0" w:type="auto"/>
            <w:shd w:val="clear" w:color="000000" w:fill="FFFFFF"/>
            <w:noWrap/>
            <w:hideMark/>
          </w:tcPr>
          <w:p w14:paraId="4E182E8A" w14:textId="77777777" w:rsidR="00470AE4" w:rsidRPr="00C63860" w:rsidRDefault="00470AE4" w:rsidP="00470AE4">
            <w:pPr>
              <w:jc w:val="center"/>
              <w:rPr>
                <w:color w:val="000000"/>
              </w:rPr>
            </w:pPr>
          </w:p>
        </w:tc>
        <w:tc>
          <w:tcPr>
            <w:tcW w:w="0" w:type="auto"/>
            <w:shd w:val="clear" w:color="000000" w:fill="FFFFFF"/>
            <w:noWrap/>
            <w:hideMark/>
          </w:tcPr>
          <w:p w14:paraId="10BE47DE" w14:textId="77777777" w:rsidR="00470AE4" w:rsidRPr="00C63860" w:rsidRDefault="00470AE4" w:rsidP="00470AE4">
            <w:pPr>
              <w:jc w:val="center"/>
              <w:rPr>
                <w:color w:val="000000"/>
              </w:rPr>
            </w:pPr>
          </w:p>
        </w:tc>
        <w:tc>
          <w:tcPr>
            <w:tcW w:w="0" w:type="auto"/>
            <w:shd w:val="clear" w:color="000000" w:fill="FFFFFF"/>
            <w:noWrap/>
            <w:hideMark/>
          </w:tcPr>
          <w:p w14:paraId="6ED7BA0E" w14:textId="77777777" w:rsidR="00470AE4" w:rsidRPr="00C63860" w:rsidRDefault="00470AE4" w:rsidP="00470AE4">
            <w:pPr>
              <w:jc w:val="center"/>
              <w:rPr>
                <w:color w:val="000000"/>
              </w:rPr>
            </w:pPr>
          </w:p>
        </w:tc>
        <w:tc>
          <w:tcPr>
            <w:tcW w:w="0" w:type="auto"/>
            <w:shd w:val="clear" w:color="000000" w:fill="FFFFFF"/>
            <w:noWrap/>
            <w:hideMark/>
          </w:tcPr>
          <w:p w14:paraId="6509A3F1" w14:textId="77777777" w:rsidR="00470AE4" w:rsidRPr="00C63860" w:rsidRDefault="00470AE4" w:rsidP="00470AE4">
            <w:pPr>
              <w:jc w:val="center"/>
            </w:pPr>
          </w:p>
        </w:tc>
      </w:tr>
      <w:tr w:rsidR="00A76011" w:rsidRPr="00C63860" w14:paraId="0A260C98" w14:textId="77777777" w:rsidTr="00C63860">
        <w:trPr>
          <w:cantSplit/>
        </w:trPr>
        <w:tc>
          <w:tcPr>
            <w:tcW w:w="0" w:type="auto"/>
            <w:shd w:val="clear" w:color="000000" w:fill="FFFFFF"/>
            <w:noWrap/>
            <w:vAlign w:val="bottom"/>
            <w:hideMark/>
          </w:tcPr>
          <w:p w14:paraId="5526028F" w14:textId="77777777" w:rsidR="00470AE4" w:rsidRPr="00C63860" w:rsidRDefault="00470AE4" w:rsidP="00470AE4">
            <w:pPr>
              <w:rPr>
                <w:b/>
                <w:bCs/>
                <w:color w:val="000000"/>
              </w:rPr>
            </w:pPr>
            <w:r w:rsidRPr="00C63860">
              <w:rPr>
                <w:b/>
                <w:bCs/>
              </w:rPr>
              <w:t>(C) Diverticular disease (N=59,945)</w:t>
            </w:r>
          </w:p>
        </w:tc>
        <w:tc>
          <w:tcPr>
            <w:tcW w:w="0" w:type="auto"/>
            <w:shd w:val="clear" w:color="000000" w:fill="FFFFFF"/>
            <w:noWrap/>
            <w:hideMark/>
          </w:tcPr>
          <w:p w14:paraId="2E3D1A11" w14:textId="77777777" w:rsidR="00470AE4" w:rsidRPr="00C63860" w:rsidRDefault="00470AE4" w:rsidP="00470AE4">
            <w:pPr>
              <w:jc w:val="center"/>
              <w:rPr>
                <w:b/>
                <w:bCs/>
                <w:color w:val="000000"/>
              </w:rPr>
            </w:pPr>
          </w:p>
        </w:tc>
        <w:tc>
          <w:tcPr>
            <w:tcW w:w="0" w:type="auto"/>
            <w:shd w:val="clear" w:color="000000" w:fill="FFFFFF"/>
            <w:noWrap/>
            <w:hideMark/>
          </w:tcPr>
          <w:p w14:paraId="791DCA26" w14:textId="77777777" w:rsidR="00470AE4" w:rsidRPr="00C63860" w:rsidRDefault="00470AE4" w:rsidP="00470AE4">
            <w:pPr>
              <w:jc w:val="center"/>
              <w:rPr>
                <w:b/>
                <w:bCs/>
                <w:color w:val="000000"/>
              </w:rPr>
            </w:pPr>
          </w:p>
        </w:tc>
        <w:tc>
          <w:tcPr>
            <w:tcW w:w="0" w:type="auto"/>
            <w:shd w:val="clear" w:color="000000" w:fill="FFFFFF"/>
            <w:noWrap/>
            <w:hideMark/>
          </w:tcPr>
          <w:p w14:paraId="06E11B0E" w14:textId="77777777" w:rsidR="00470AE4" w:rsidRPr="00C63860" w:rsidRDefault="00470AE4" w:rsidP="00470AE4">
            <w:pPr>
              <w:jc w:val="center"/>
              <w:rPr>
                <w:b/>
                <w:bCs/>
                <w:color w:val="000000"/>
              </w:rPr>
            </w:pPr>
          </w:p>
        </w:tc>
        <w:tc>
          <w:tcPr>
            <w:tcW w:w="0" w:type="auto"/>
            <w:shd w:val="clear" w:color="000000" w:fill="FFFFFF"/>
            <w:noWrap/>
            <w:hideMark/>
          </w:tcPr>
          <w:p w14:paraId="04D79652" w14:textId="77777777" w:rsidR="00470AE4" w:rsidRPr="00C63860" w:rsidRDefault="00470AE4" w:rsidP="00470AE4">
            <w:pPr>
              <w:jc w:val="center"/>
              <w:rPr>
                <w:b/>
                <w:bCs/>
                <w:color w:val="000000"/>
              </w:rPr>
            </w:pPr>
          </w:p>
        </w:tc>
        <w:tc>
          <w:tcPr>
            <w:tcW w:w="0" w:type="auto"/>
            <w:shd w:val="clear" w:color="000000" w:fill="FFFFFF"/>
            <w:noWrap/>
            <w:hideMark/>
          </w:tcPr>
          <w:p w14:paraId="5DAE7E09" w14:textId="77777777" w:rsidR="00470AE4" w:rsidRPr="00C63860" w:rsidRDefault="00470AE4" w:rsidP="00470AE4">
            <w:pPr>
              <w:jc w:val="center"/>
              <w:rPr>
                <w:b/>
                <w:bCs/>
              </w:rPr>
            </w:pPr>
          </w:p>
        </w:tc>
      </w:tr>
      <w:tr w:rsidR="00A76011" w:rsidRPr="00C63860" w14:paraId="3379B814" w14:textId="77777777" w:rsidTr="00C63860">
        <w:trPr>
          <w:cantSplit/>
        </w:trPr>
        <w:tc>
          <w:tcPr>
            <w:tcW w:w="0" w:type="auto"/>
            <w:shd w:val="clear" w:color="000000" w:fill="FFFFFF"/>
            <w:noWrap/>
            <w:vAlign w:val="bottom"/>
          </w:tcPr>
          <w:p w14:paraId="70BDD737" w14:textId="77777777" w:rsidR="00470AE4" w:rsidRPr="00C63860" w:rsidRDefault="00470AE4" w:rsidP="00470AE4">
            <w:pPr>
              <w:rPr>
                <w:b/>
                <w:bCs/>
                <w:color w:val="000000"/>
              </w:rPr>
            </w:pPr>
          </w:p>
        </w:tc>
        <w:tc>
          <w:tcPr>
            <w:tcW w:w="0" w:type="auto"/>
            <w:shd w:val="clear" w:color="000000" w:fill="FFFFFF"/>
            <w:noWrap/>
            <w:vAlign w:val="center"/>
          </w:tcPr>
          <w:p w14:paraId="3DF65B6E" w14:textId="77777777" w:rsidR="00470AE4" w:rsidRPr="00C63860" w:rsidRDefault="00470AE4" w:rsidP="00470AE4">
            <w:pPr>
              <w:jc w:val="center"/>
              <w:rPr>
                <w:b/>
                <w:bCs/>
                <w:color w:val="000000"/>
              </w:rPr>
            </w:pPr>
            <w:r w:rsidRPr="00C63860">
              <w:rPr>
                <w:b/>
                <w:bCs/>
              </w:rPr>
              <w:t>Year 1</w:t>
            </w:r>
          </w:p>
        </w:tc>
        <w:tc>
          <w:tcPr>
            <w:tcW w:w="0" w:type="auto"/>
            <w:shd w:val="clear" w:color="000000" w:fill="FFFFFF"/>
            <w:noWrap/>
            <w:vAlign w:val="center"/>
          </w:tcPr>
          <w:p w14:paraId="2F1E6DF1" w14:textId="77777777" w:rsidR="00470AE4" w:rsidRPr="00C63860" w:rsidRDefault="00470AE4" w:rsidP="00470AE4">
            <w:pPr>
              <w:jc w:val="center"/>
              <w:rPr>
                <w:b/>
                <w:bCs/>
                <w:color w:val="000000"/>
              </w:rPr>
            </w:pPr>
            <w:r w:rsidRPr="00C63860">
              <w:rPr>
                <w:b/>
                <w:bCs/>
              </w:rPr>
              <w:t>Year 2</w:t>
            </w:r>
          </w:p>
        </w:tc>
        <w:tc>
          <w:tcPr>
            <w:tcW w:w="0" w:type="auto"/>
            <w:shd w:val="clear" w:color="000000" w:fill="FFFFFF"/>
            <w:noWrap/>
            <w:vAlign w:val="center"/>
          </w:tcPr>
          <w:p w14:paraId="3D6C8E5E" w14:textId="77777777" w:rsidR="00470AE4" w:rsidRPr="00C63860" w:rsidRDefault="00470AE4" w:rsidP="00470AE4">
            <w:pPr>
              <w:jc w:val="center"/>
              <w:rPr>
                <w:b/>
                <w:bCs/>
                <w:color w:val="000000"/>
              </w:rPr>
            </w:pPr>
            <w:r w:rsidRPr="00C63860">
              <w:rPr>
                <w:b/>
                <w:bCs/>
              </w:rPr>
              <w:t>Year 3</w:t>
            </w:r>
          </w:p>
        </w:tc>
        <w:tc>
          <w:tcPr>
            <w:tcW w:w="0" w:type="auto"/>
            <w:shd w:val="clear" w:color="000000" w:fill="FFFFFF"/>
            <w:noWrap/>
            <w:vAlign w:val="center"/>
          </w:tcPr>
          <w:p w14:paraId="089E817F" w14:textId="77777777" w:rsidR="00470AE4" w:rsidRPr="00C63860" w:rsidRDefault="00470AE4" w:rsidP="00470AE4">
            <w:pPr>
              <w:jc w:val="center"/>
              <w:rPr>
                <w:b/>
                <w:bCs/>
                <w:color w:val="000000"/>
              </w:rPr>
            </w:pPr>
            <w:r w:rsidRPr="00C63860">
              <w:rPr>
                <w:b/>
                <w:bCs/>
              </w:rPr>
              <w:t>Year 4</w:t>
            </w:r>
          </w:p>
        </w:tc>
        <w:tc>
          <w:tcPr>
            <w:tcW w:w="0" w:type="auto"/>
            <w:shd w:val="clear" w:color="000000" w:fill="FFFFFF"/>
            <w:noWrap/>
            <w:vAlign w:val="center"/>
          </w:tcPr>
          <w:p w14:paraId="43DA9457" w14:textId="77777777" w:rsidR="00470AE4" w:rsidRPr="00C63860" w:rsidRDefault="00470AE4" w:rsidP="00470AE4">
            <w:pPr>
              <w:jc w:val="center"/>
              <w:rPr>
                <w:b/>
                <w:bCs/>
              </w:rPr>
            </w:pPr>
            <w:r w:rsidRPr="00C63860">
              <w:rPr>
                <w:b/>
                <w:bCs/>
              </w:rPr>
              <w:t>Year 5</w:t>
            </w:r>
          </w:p>
        </w:tc>
      </w:tr>
      <w:tr w:rsidR="00A76011" w:rsidRPr="00C63860" w14:paraId="302F0CB0" w14:textId="77777777" w:rsidTr="00C63860">
        <w:trPr>
          <w:cantSplit/>
        </w:trPr>
        <w:tc>
          <w:tcPr>
            <w:tcW w:w="0" w:type="auto"/>
            <w:shd w:val="clear" w:color="000000" w:fill="FFFFFF"/>
            <w:vAlign w:val="center"/>
            <w:hideMark/>
          </w:tcPr>
          <w:p w14:paraId="5F97B560" w14:textId="77777777" w:rsidR="00470AE4" w:rsidRPr="00C63860" w:rsidRDefault="00470AE4" w:rsidP="00470AE4">
            <w:pPr>
              <w:rPr>
                <w:color w:val="000000"/>
              </w:rPr>
            </w:pPr>
            <w:r w:rsidRPr="00C63860">
              <w:t xml:space="preserve">% with readmission </w:t>
            </w:r>
          </w:p>
        </w:tc>
        <w:tc>
          <w:tcPr>
            <w:tcW w:w="0" w:type="auto"/>
            <w:shd w:val="clear" w:color="000000" w:fill="FFFFFF"/>
            <w:noWrap/>
            <w:hideMark/>
          </w:tcPr>
          <w:p w14:paraId="5A16031C" w14:textId="6C7E495A" w:rsidR="00470AE4" w:rsidRPr="00C63860" w:rsidRDefault="00C63860" w:rsidP="00470AE4">
            <w:pPr>
              <w:jc w:val="center"/>
              <w:rPr>
                <w:color w:val="000000"/>
              </w:rPr>
            </w:pPr>
            <w:r w:rsidRPr="00C63860">
              <w:rPr>
                <w:color w:val="00B0F0"/>
              </w:rPr>
              <w:t>–3</w:t>
            </w:r>
            <w:r w:rsidR="00470AE4" w:rsidRPr="00C63860">
              <w:t>3.6</w:t>
            </w:r>
          </w:p>
        </w:tc>
        <w:tc>
          <w:tcPr>
            <w:tcW w:w="0" w:type="auto"/>
            <w:shd w:val="clear" w:color="000000" w:fill="FFFFFF"/>
            <w:noWrap/>
            <w:hideMark/>
          </w:tcPr>
          <w:p w14:paraId="19821DD8" w14:textId="77777777" w:rsidR="00470AE4" w:rsidRPr="00C63860" w:rsidRDefault="00470AE4" w:rsidP="00470AE4">
            <w:pPr>
              <w:jc w:val="center"/>
              <w:rPr>
                <w:color w:val="000000"/>
              </w:rPr>
            </w:pPr>
            <w:r w:rsidRPr="00C63860">
              <w:t>9.5</w:t>
            </w:r>
          </w:p>
        </w:tc>
        <w:tc>
          <w:tcPr>
            <w:tcW w:w="0" w:type="auto"/>
            <w:shd w:val="clear" w:color="000000" w:fill="FFFFFF"/>
            <w:noWrap/>
            <w:hideMark/>
          </w:tcPr>
          <w:p w14:paraId="2FBFA4B0" w14:textId="77777777" w:rsidR="00470AE4" w:rsidRPr="00C63860" w:rsidRDefault="00470AE4" w:rsidP="00470AE4">
            <w:pPr>
              <w:jc w:val="center"/>
              <w:rPr>
                <w:color w:val="000000"/>
              </w:rPr>
            </w:pPr>
            <w:r w:rsidRPr="00C63860">
              <w:t>33.9</w:t>
            </w:r>
          </w:p>
        </w:tc>
        <w:tc>
          <w:tcPr>
            <w:tcW w:w="0" w:type="auto"/>
            <w:shd w:val="clear" w:color="000000" w:fill="FFFFFF"/>
            <w:noWrap/>
            <w:hideMark/>
          </w:tcPr>
          <w:p w14:paraId="661DB6C6" w14:textId="2AADA87A" w:rsidR="00470AE4" w:rsidRPr="00C63860" w:rsidRDefault="00C63860" w:rsidP="00470AE4">
            <w:pPr>
              <w:jc w:val="center"/>
              <w:rPr>
                <w:color w:val="000000"/>
              </w:rPr>
            </w:pPr>
            <w:r w:rsidRPr="00C63860">
              <w:rPr>
                <w:color w:val="00B0F0"/>
              </w:rPr>
              <w:t>–1</w:t>
            </w:r>
            <w:r w:rsidR="00470AE4" w:rsidRPr="00C63860">
              <w:t>0.1</w:t>
            </w:r>
          </w:p>
        </w:tc>
        <w:tc>
          <w:tcPr>
            <w:tcW w:w="0" w:type="auto"/>
            <w:shd w:val="clear" w:color="000000" w:fill="FFFFFF"/>
            <w:noWrap/>
            <w:hideMark/>
          </w:tcPr>
          <w:p w14:paraId="1CF9A4AC" w14:textId="77777777" w:rsidR="00470AE4" w:rsidRPr="00C63860" w:rsidRDefault="00470AE4" w:rsidP="00470AE4">
            <w:pPr>
              <w:jc w:val="center"/>
            </w:pPr>
            <w:r w:rsidRPr="00C63860">
              <w:t>27.1</w:t>
            </w:r>
          </w:p>
        </w:tc>
      </w:tr>
      <w:tr w:rsidR="00A76011" w:rsidRPr="00C63860" w14:paraId="3810C0E5" w14:textId="77777777" w:rsidTr="00C63860">
        <w:trPr>
          <w:cantSplit/>
        </w:trPr>
        <w:tc>
          <w:tcPr>
            <w:tcW w:w="0" w:type="auto"/>
            <w:shd w:val="clear" w:color="000000" w:fill="FFFFFF"/>
            <w:vAlign w:val="center"/>
            <w:hideMark/>
          </w:tcPr>
          <w:p w14:paraId="18068A3E" w14:textId="77777777" w:rsidR="00470AE4" w:rsidRPr="00C63860" w:rsidRDefault="00470AE4" w:rsidP="00470AE4">
            <w:pPr>
              <w:rPr>
                <w:color w:val="000000"/>
              </w:rPr>
            </w:pPr>
            <w:r w:rsidRPr="00C63860">
              <w:t>% with critical care admission (within any readmission)</w:t>
            </w:r>
          </w:p>
        </w:tc>
        <w:tc>
          <w:tcPr>
            <w:tcW w:w="0" w:type="auto"/>
            <w:shd w:val="clear" w:color="000000" w:fill="FFFFFF"/>
            <w:noWrap/>
            <w:hideMark/>
          </w:tcPr>
          <w:p w14:paraId="4DF218E1" w14:textId="77777777" w:rsidR="00470AE4" w:rsidRPr="00C63860" w:rsidRDefault="00470AE4" w:rsidP="00470AE4">
            <w:pPr>
              <w:jc w:val="center"/>
              <w:rPr>
                <w:color w:val="000000"/>
              </w:rPr>
            </w:pPr>
            <w:r w:rsidRPr="00C63860">
              <w:t>9.9</w:t>
            </w:r>
          </w:p>
        </w:tc>
        <w:tc>
          <w:tcPr>
            <w:tcW w:w="0" w:type="auto"/>
            <w:shd w:val="clear" w:color="000000" w:fill="FFFFFF"/>
            <w:noWrap/>
            <w:hideMark/>
          </w:tcPr>
          <w:p w14:paraId="5BB15DF5" w14:textId="77777777" w:rsidR="00470AE4" w:rsidRPr="00C63860" w:rsidRDefault="00470AE4" w:rsidP="00470AE4">
            <w:pPr>
              <w:jc w:val="center"/>
              <w:rPr>
                <w:color w:val="000000"/>
              </w:rPr>
            </w:pPr>
            <w:r w:rsidRPr="00C63860">
              <w:t>1.5</w:t>
            </w:r>
          </w:p>
        </w:tc>
        <w:tc>
          <w:tcPr>
            <w:tcW w:w="0" w:type="auto"/>
            <w:shd w:val="clear" w:color="000000" w:fill="FFFFFF"/>
            <w:noWrap/>
            <w:hideMark/>
          </w:tcPr>
          <w:p w14:paraId="3E6E6143" w14:textId="77777777" w:rsidR="00470AE4" w:rsidRPr="00C63860" w:rsidRDefault="00470AE4" w:rsidP="00470AE4">
            <w:pPr>
              <w:jc w:val="center"/>
              <w:rPr>
                <w:color w:val="000000"/>
              </w:rPr>
            </w:pPr>
            <w:r w:rsidRPr="00C63860">
              <w:t>14.2</w:t>
            </w:r>
          </w:p>
        </w:tc>
        <w:tc>
          <w:tcPr>
            <w:tcW w:w="0" w:type="auto"/>
            <w:shd w:val="clear" w:color="000000" w:fill="FFFFFF"/>
            <w:noWrap/>
            <w:hideMark/>
          </w:tcPr>
          <w:p w14:paraId="2B961857" w14:textId="77777777" w:rsidR="00470AE4" w:rsidRPr="00C63860" w:rsidRDefault="00470AE4" w:rsidP="00470AE4">
            <w:pPr>
              <w:jc w:val="center"/>
              <w:rPr>
                <w:color w:val="000000"/>
              </w:rPr>
            </w:pPr>
            <w:r w:rsidRPr="00C63860">
              <w:t>2.0</w:t>
            </w:r>
          </w:p>
        </w:tc>
        <w:tc>
          <w:tcPr>
            <w:tcW w:w="0" w:type="auto"/>
            <w:shd w:val="clear" w:color="000000" w:fill="FFFFFF"/>
            <w:noWrap/>
            <w:hideMark/>
          </w:tcPr>
          <w:p w14:paraId="383082A5" w14:textId="77777777" w:rsidR="00470AE4" w:rsidRPr="00C63860" w:rsidRDefault="00470AE4" w:rsidP="00470AE4">
            <w:pPr>
              <w:jc w:val="center"/>
            </w:pPr>
            <w:r w:rsidRPr="00C63860">
              <w:t>7.8</w:t>
            </w:r>
          </w:p>
        </w:tc>
      </w:tr>
      <w:tr w:rsidR="00A76011" w:rsidRPr="00C63860" w14:paraId="26EA6F69" w14:textId="77777777" w:rsidTr="00C63860">
        <w:trPr>
          <w:cantSplit/>
        </w:trPr>
        <w:tc>
          <w:tcPr>
            <w:tcW w:w="0" w:type="auto"/>
            <w:shd w:val="clear" w:color="000000" w:fill="FFFFFF"/>
            <w:vAlign w:val="center"/>
            <w:hideMark/>
          </w:tcPr>
          <w:p w14:paraId="75C4D992" w14:textId="3C70C38E" w:rsidR="00470AE4" w:rsidRPr="00C63860" w:rsidRDefault="00470AE4" w:rsidP="00470AE4">
            <w:pPr>
              <w:spacing w:after="240"/>
              <w:rPr>
                <w:color w:val="000000"/>
              </w:rPr>
            </w:pPr>
            <w:r w:rsidRPr="00C63860">
              <w:t>%</w:t>
            </w:r>
            <w:r w:rsidR="00C63860" w:rsidRPr="00C63860">
              <w:t xml:space="preserve"> </w:t>
            </w:r>
            <w:r w:rsidRPr="00C63860">
              <w:t>with costed operative procedure</w:t>
            </w:r>
            <w:r w:rsidRPr="00C63860">
              <w:rPr>
                <w:vertAlign w:val="superscript"/>
              </w:rPr>
              <w:t>a</w:t>
            </w:r>
            <w:r w:rsidRPr="00C63860">
              <w:t xml:space="preserve"> within any readmission)</w:t>
            </w:r>
          </w:p>
        </w:tc>
        <w:tc>
          <w:tcPr>
            <w:tcW w:w="0" w:type="auto"/>
            <w:shd w:val="clear" w:color="000000" w:fill="FFFFFF"/>
            <w:noWrap/>
            <w:hideMark/>
          </w:tcPr>
          <w:p w14:paraId="1BDBA1B7" w14:textId="77777777" w:rsidR="00470AE4" w:rsidRPr="00C63860" w:rsidRDefault="00470AE4" w:rsidP="00470AE4">
            <w:pPr>
              <w:jc w:val="center"/>
              <w:rPr>
                <w:color w:val="000000"/>
              </w:rPr>
            </w:pPr>
            <w:r w:rsidRPr="00C63860">
              <w:t>1.0</w:t>
            </w:r>
          </w:p>
        </w:tc>
        <w:tc>
          <w:tcPr>
            <w:tcW w:w="0" w:type="auto"/>
            <w:shd w:val="clear" w:color="000000" w:fill="FFFFFF"/>
            <w:noWrap/>
            <w:hideMark/>
          </w:tcPr>
          <w:p w14:paraId="53D79DB4" w14:textId="77777777" w:rsidR="00470AE4" w:rsidRPr="00C63860" w:rsidRDefault="00470AE4" w:rsidP="00470AE4">
            <w:pPr>
              <w:jc w:val="center"/>
              <w:rPr>
                <w:color w:val="000000"/>
              </w:rPr>
            </w:pPr>
            <w:r w:rsidRPr="00C63860">
              <w:t>8.1</w:t>
            </w:r>
          </w:p>
        </w:tc>
        <w:tc>
          <w:tcPr>
            <w:tcW w:w="0" w:type="auto"/>
            <w:shd w:val="clear" w:color="000000" w:fill="FFFFFF"/>
            <w:noWrap/>
            <w:hideMark/>
          </w:tcPr>
          <w:p w14:paraId="11C9F363" w14:textId="77777777" w:rsidR="00470AE4" w:rsidRPr="00C63860" w:rsidRDefault="00470AE4" w:rsidP="00470AE4">
            <w:pPr>
              <w:jc w:val="center"/>
              <w:rPr>
                <w:color w:val="000000"/>
              </w:rPr>
            </w:pPr>
            <w:r w:rsidRPr="00C63860">
              <w:t>17.0</w:t>
            </w:r>
          </w:p>
        </w:tc>
        <w:tc>
          <w:tcPr>
            <w:tcW w:w="0" w:type="auto"/>
            <w:shd w:val="clear" w:color="000000" w:fill="FFFFFF"/>
            <w:noWrap/>
            <w:hideMark/>
          </w:tcPr>
          <w:p w14:paraId="0B8ACD26" w14:textId="77777777" w:rsidR="00470AE4" w:rsidRPr="00C63860" w:rsidRDefault="00470AE4" w:rsidP="00470AE4">
            <w:pPr>
              <w:jc w:val="center"/>
              <w:rPr>
                <w:color w:val="000000"/>
              </w:rPr>
            </w:pPr>
            <w:r w:rsidRPr="00C63860">
              <w:t>4.5</w:t>
            </w:r>
          </w:p>
        </w:tc>
        <w:tc>
          <w:tcPr>
            <w:tcW w:w="0" w:type="auto"/>
            <w:shd w:val="clear" w:color="000000" w:fill="FFFFFF"/>
            <w:noWrap/>
            <w:hideMark/>
          </w:tcPr>
          <w:p w14:paraId="66ECD669" w14:textId="1087A520" w:rsidR="00470AE4" w:rsidRPr="00C63860" w:rsidRDefault="00C63860" w:rsidP="00470AE4">
            <w:pPr>
              <w:jc w:val="center"/>
            </w:pPr>
            <w:r w:rsidRPr="00C63860">
              <w:rPr>
                <w:color w:val="00B0F0"/>
              </w:rPr>
              <w:t>–1</w:t>
            </w:r>
            <w:r w:rsidR="00470AE4" w:rsidRPr="00C63860">
              <w:t>.4</w:t>
            </w:r>
          </w:p>
        </w:tc>
      </w:tr>
      <w:tr w:rsidR="00A76011" w:rsidRPr="00C63860" w14:paraId="057D0EF0" w14:textId="77777777" w:rsidTr="00C63860">
        <w:trPr>
          <w:cantSplit/>
        </w:trPr>
        <w:tc>
          <w:tcPr>
            <w:tcW w:w="0" w:type="auto"/>
            <w:shd w:val="clear" w:color="000000" w:fill="FFFFFF"/>
            <w:vAlign w:val="center"/>
            <w:hideMark/>
          </w:tcPr>
          <w:p w14:paraId="0AC0CCE4" w14:textId="4EE841A9" w:rsidR="00470AE4" w:rsidRPr="00C63860" w:rsidRDefault="00470AE4" w:rsidP="00470AE4">
            <w:pPr>
              <w:rPr>
                <w:color w:val="000000"/>
              </w:rPr>
            </w:pPr>
            <w:r w:rsidRPr="00C63860">
              <w:rPr>
                <w:rFonts w:cstheme="minorHAnsi"/>
                <w:i/>
                <w:iCs/>
              </w:rPr>
              <w:t xml:space="preserve">Mean days in hospital </w:t>
            </w:r>
            <w:r w:rsidR="00DD1841" w:rsidRPr="00C63860">
              <w:rPr>
                <w:rFonts w:cstheme="minorHAnsi"/>
                <w:i/>
                <w:iCs/>
              </w:rPr>
              <w:t>during each</w:t>
            </w:r>
            <w:r w:rsidRPr="00C63860">
              <w:rPr>
                <w:rFonts w:cstheme="minorHAnsi"/>
                <w:i/>
                <w:iCs/>
              </w:rPr>
              <w:t xml:space="preserve"> year (all admissions)</w:t>
            </w:r>
          </w:p>
        </w:tc>
        <w:tc>
          <w:tcPr>
            <w:tcW w:w="0" w:type="auto"/>
            <w:shd w:val="clear" w:color="000000" w:fill="FFFFFF"/>
            <w:noWrap/>
            <w:hideMark/>
          </w:tcPr>
          <w:p w14:paraId="2180EDB8" w14:textId="77777777" w:rsidR="00470AE4" w:rsidRPr="00C63860" w:rsidRDefault="00470AE4" w:rsidP="00470AE4">
            <w:pPr>
              <w:jc w:val="center"/>
              <w:rPr>
                <w:color w:val="000000"/>
              </w:rPr>
            </w:pPr>
            <w:r w:rsidRPr="00C63860">
              <w:t>7.9</w:t>
            </w:r>
          </w:p>
        </w:tc>
        <w:tc>
          <w:tcPr>
            <w:tcW w:w="0" w:type="auto"/>
            <w:shd w:val="clear" w:color="000000" w:fill="FFFFFF"/>
            <w:noWrap/>
            <w:hideMark/>
          </w:tcPr>
          <w:p w14:paraId="6A2C69BB" w14:textId="77777777" w:rsidR="00470AE4" w:rsidRPr="00C63860" w:rsidRDefault="00470AE4" w:rsidP="00470AE4">
            <w:pPr>
              <w:jc w:val="center"/>
              <w:rPr>
                <w:color w:val="000000"/>
              </w:rPr>
            </w:pPr>
            <w:r w:rsidRPr="00C63860">
              <w:t>4.8</w:t>
            </w:r>
          </w:p>
        </w:tc>
        <w:tc>
          <w:tcPr>
            <w:tcW w:w="0" w:type="auto"/>
            <w:shd w:val="clear" w:color="000000" w:fill="FFFFFF"/>
            <w:noWrap/>
            <w:hideMark/>
          </w:tcPr>
          <w:p w14:paraId="44E12C7C" w14:textId="77777777" w:rsidR="00470AE4" w:rsidRPr="00C63860" w:rsidRDefault="00470AE4" w:rsidP="00470AE4">
            <w:pPr>
              <w:jc w:val="center"/>
              <w:rPr>
                <w:color w:val="000000"/>
              </w:rPr>
            </w:pPr>
            <w:r w:rsidRPr="00C63860">
              <w:t>0.8</w:t>
            </w:r>
          </w:p>
        </w:tc>
        <w:tc>
          <w:tcPr>
            <w:tcW w:w="0" w:type="auto"/>
            <w:shd w:val="clear" w:color="000000" w:fill="FFFFFF"/>
            <w:noWrap/>
            <w:hideMark/>
          </w:tcPr>
          <w:p w14:paraId="0D746D10" w14:textId="77777777" w:rsidR="00470AE4" w:rsidRPr="00C63860" w:rsidRDefault="00470AE4" w:rsidP="00470AE4">
            <w:pPr>
              <w:jc w:val="center"/>
              <w:rPr>
                <w:color w:val="000000"/>
              </w:rPr>
            </w:pPr>
            <w:r w:rsidRPr="00C63860">
              <w:t>3.7</w:t>
            </w:r>
          </w:p>
        </w:tc>
        <w:tc>
          <w:tcPr>
            <w:tcW w:w="0" w:type="auto"/>
            <w:shd w:val="clear" w:color="000000" w:fill="FFFFFF"/>
            <w:noWrap/>
            <w:hideMark/>
          </w:tcPr>
          <w:p w14:paraId="4688B463" w14:textId="77777777" w:rsidR="00470AE4" w:rsidRPr="00C63860" w:rsidRDefault="00470AE4" w:rsidP="00470AE4">
            <w:pPr>
              <w:jc w:val="center"/>
            </w:pPr>
            <w:r w:rsidRPr="00C63860">
              <w:t>11.2</w:t>
            </w:r>
          </w:p>
        </w:tc>
      </w:tr>
      <w:tr w:rsidR="00A76011" w:rsidRPr="00C63860" w14:paraId="7DB81A02" w14:textId="77777777" w:rsidTr="00C63860">
        <w:trPr>
          <w:cantSplit/>
        </w:trPr>
        <w:tc>
          <w:tcPr>
            <w:tcW w:w="0" w:type="auto"/>
            <w:shd w:val="clear" w:color="000000" w:fill="FFFFFF"/>
            <w:noWrap/>
            <w:vAlign w:val="bottom"/>
            <w:hideMark/>
          </w:tcPr>
          <w:p w14:paraId="5F0F286C" w14:textId="77777777" w:rsidR="00C63860" w:rsidRPr="00C63860" w:rsidRDefault="00C63860" w:rsidP="00470AE4">
            <w:pPr>
              <w:rPr>
                <w:b/>
                <w:bCs/>
              </w:rPr>
            </w:pPr>
          </w:p>
          <w:p w14:paraId="49794CB9" w14:textId="77777777" w:rsidR="00470AE4" w:rsidRPr="00C63860" w:rsidRDefault="00470AE4" w:rsidP="00470AE4">
            <w:pPr>
              <w:rPr>
                <w:b/>
                <w:bCs/>
                <w:color w:val="000000"/>
              </w:rPr>
            </w:pPr>
          </w:p>
        </w:tc>
        <w:tc>
          <w:tcPr>
            <w:tcW w:w="0" w:type="auto"/>
            <w:shd w:val="clear" w:color="000000" w:fill="FFFFFF"/>
            <w:noWrap/>
            <w:hideMark/>
          </w:tcPr>
          <w:p w14:paraId="4D813171" w14:textId="77777777" w:rsidR="00470AE4" w:rsidRPr="00C63860" w:rsidRDefault="00470AE4" w:rsidP="00470AE4">
            <w:pPr>
              <w:jc w:val="center"/>
              <w:rPr>
                <w:color w:val="000000"/>
              </w:rPr>
            </w:pPr>
          </w:p>
        </w:tc>
        <w:tc>
          <w:tcPr>
            <w:tcW w:w="0" w:type="auto"/>
            <w:shd w:val="clear" w:color="000000" w:fill="FFFFFF"/>
            <w:noWrap/>
            <w:hideMark/>
          </w:tcPr>
          <w:p w14:paraId="7052ACE4" w14:textId="77777777" w:rsidR="00470AE4" w:rsidRPr="00C63860" w:rsidRDefault="00470AE4" w:rsidP="00470AE4">
            <w:pPr>
              <w:jc w:val="center"/>
              <w:rPr>
                <w:color w:val="000000"/>
              </w:rPr>
            </w:pPr>
          </w:p>
        </w:tc>
        <w:tc>
          <w:tcPr>
            <w:tcW w:w="0" w:type="auto"/>
            <w:shd w:val="clear" w:color="000000" w:fill="FFFFFF"/>
            <w:noWrap/>
            <w:hideMark/>
          </w:tcPr>
          <w:p w14:paraId="2EBF95CC" w14:textId="77777777" w:rsidR="00470AE4" w:rsidRPr="00C63860" w:rsidRDefault="00470AE4" w:rsidP="00470AE4">
            <w:pPr>
              <w:jc w:val="center"/>
              <w:rPr>
                <w:color w:val="000000"/>
              </w:rPr>
            </w:pPr>
          </w:p>
        </w:tc>
        <w:tc>
          <w:tcPr>
            <w:tcW w:w="0" w:type="auto"/>
            <w:shd w:val="clear" w:color="000000" w:fill="FFFFFF"/>
            <w:noWrap/>
            <w:hideMark/>
          </w:tcPr>
          <w:p w14:paraId="06E28D67" w14:textId="77777777" w:rsidR="00470AE4" w:rsidRPr="00C63860" w:rsidRDefault="00470AE4" w:rsidP="00470AE4">
            <w:pPr>
              <w:jc w:val="center"/>
              <w:rPr>
                <w:color w:val="000000"/>
              </w:rPr>
            </w:pPr>
          </w:p>
        </w:tc>
        <w:tc>
          <w:tcPr>
            <w:tcW w:w="0" w:type="auto"/>
            <w:shd w:val="clear" w:color="000000" w:fill="FFFFFF"/>
            <w:noWrap/>
            <w:hideMark/>
          </w:tcPr>
          <w:p w14:paraId="3C57572C" w14:textId="77777777" w:rsidR="00470AE4" w:rsidRPr="00C63860" w:rsidRDefault="00470AE4" w:rsidP="00470AE4">
            <w:pPr>
              <w:jc w:val="center"/>
            </w:pPr>
          </w:p>
        </w:tc>
      </w:tr>
      <w:tr w:rsidR="00A76011" w:rsidRPr="00C63860" w14:paraId="5CAA6066" w14:textId="77777777" w:rsidTr="00C63860">
        <w:trPr>
          <w:cantSplit/>
        </w:trPr>
        <w:tc>
          <w:tcPr>
            <w:tcW w:w="0" w:type="auto"/>
            <w:shd w:val="clear" w:color="000000" w:fill="FFFFFF"/>
            <w:noWrap/>
            <w:vAlign w:val="bottom"/>
            <w:hideMark/>
          </w:tcPr>
          <w:p w14:paraId="1ACAB591" w14:textId="77777777" w:rsidR="00470AE4" w:rsidRPr="00C63860" w:rsidRDefault="00470AE4" w:rsidP="00470AE4">
            <w:pPr>
              <w:rPr>
                <w:b/>
                <w:bCs/>
                <w:color w:val="000000"/>
              </w:rPr>
            </w:pPr>
            <w:r w:rsidRPr="00C63860">
              <w:rPr>
                <w:b/>
                <w:bCs/>
              </w:rPr>
              <w:t>(D) Abdominal wall hernia (N=47,580)</w:t>
            </w:r>
          </w:p>
        </w:tc>
        <w:tc>
          <w:tcPr>
            <w:tcW w:w="0" w:type="auto"/>
            <w:shd w:val="clear" w:color="000000" w:fill="FFFFFF"/>
            <w:noWrap/>
            <w:hideMark/>
          </w:tcPr>
          <w:p w14:paraId="6DA43272" w14:textId="77777777" w:rsidR="00470AE4" w:rsidRPr="00C63860" w:rsidRDefault="00470AE4" w:rsidP="00470AE4">
            <w:pPr>
              <w:jc w:val="center"/>
              <w:rPr>
                <w:b/>
                <w:bCs/>
                <w:color w:val="000000"/>
              </w:rPr>
            </w:pPr>
          </w:p>
        </w:tc>
        <w:tc>
          <w:tcPr>
            <w:tcW w:w="0" w:type="auto"/>
            <w:shd w:val="clear" w:color="000000" w:fill="FFFFFF"/>
            <w:noWrap/>
            <w:hideMark/>
          </w:tcPr>
          <w:p w14:paraId="4F303726" w14:textId="77777777" w:rsidR="00470AE4" w:rsidRPr="00C63860" w:rsidRDefault="00470AE4" w:rsidP="00470AE4">
            <w:pPr>
              <w:jc w:val="center"/>
              <w:rPr>
                <w:b/>
                <w:bCs/>
                <w:color w:val="000000"/>
              </w:rPr>
            </w:pPr>
          </w:p>
        </w:tc>
        <w:tc>
          <w:tcPr>
            <w:tcW w:w="0" w:type="auto"/>
            <w:shd w:val="clear" w:color="000000" w:fill="FFFFFF"/>
            <w:noWrap/>
            <w:hideMark/>
          </w:tcPr>
          <w:p w14:paraId="07C090D6" w14:textId="77777777" w:rsidR="00470AE4" w:rsidRPr="00C63860" w:rsidRDefault="00470AE4" w:rsidP="00470AE4">
            <w:pPr>
              <w:jc w:val="center"/>
              <w:rPr>
                <w:b/>
                <w:bCs/>
                <w:color w:val="000000"/>
              </w:rPr>
            </w:pPr>
          </w:p>
        </w:tc>
        <w:tc>
          <w:tcPr>
            <w:tcW w:w="0" w:type="auto"/>
            <w:shd w:val="clear" w:color="000000" w:fill="FFFFFF"/>
            <w:noWrap/>
            <w:hideMark/>
          </w:tcPr>
          <w:p w14:paraId="01812807" w14:textId="77777777" w:rsidR="00470AE4" w:rsidRPr="00C63860" w:rsidRDefault="00470AE4" w:rsidP="00470AE4">
            <w:pPr>
              <w:jc w:val="center"/>
              <w:rPr>
                <w:b/>
                <w:bCs/>
                <w:color w:val="000000"/>
              </w:rPr>
            </w:pPr>
          </w:p>
        </w:tc>
        <w:tc>
          <w:tcPr>
            <w:tcW w:w="0" w:type="auto"/>
            <w:shd w:val="clear" w:color="000000" w:fill="FFFFFF"/>
            <w:noWrap/>
            <w:hideMark/>
          </w:tcPr>
          <w:p w14:paraId="52E9568E" w14:textId="77777777" w:rsidR="00470AE4" w:rsidRPr="00C63860" w:rsidRDefault="00470AE4" w:rsidP="00470AE4">
            <w:pPr>
              <w:jc w:val="center"/>
              <w:rPr>
                <w:b/>
                <w:bCs/>
              </w:rPr>
            </w:pPr>
          </w:p>
        </w:tc>
      </w:tr>
      <w:tr w:rsidR="00A76011" w:rsidRPr="00C63860" w14:paraId="120F440F" w14:textId="77777777" w:rsidTr="00C63860">
        <w:trPr>
          <w:cantSplit/>
        </w:trPr>
        <w:tc>
          <w:tcPr>
            <w:tcW w:w="0" w:type="auto"/>
            <w:shd w:val="clear" w:color="000000" w:fill="FFFFFF"/>
            <w:noWrap/>
            <w:vAlign w:val="bottom"/>
          </w:tcPr>
          <w:p w14:paraId="0F41140E" w14:textId="77777777" w:rsidR="00470AE4" w:rsidRPr="00C63860" w:rsidRDefault="00470AE4" w:rsidP="00470AE4">
            <w:pPr>
              <w:rPr>
                <w:b/>
                <w:bCs/>
                <w:color w:val="000000"/>
              </w:rPr>
            </w:pPr>
          </w:p>
        </w:tc>
        <w:tc>
          <w:tcPr>
            <w:tcW w:w="0" w:type="auto"/>
            <w:shd w:val="clear" w:color="000000" w:fill="FFFFFF"/>
            <w:noWrap/>
            <w:vAlign w:val="center"/>
          </w:tcPr>
          <w:p w14:paraId="4EAB1F3F" w14:textId="77777777" w:rsidR="00470AE4" w:rsidRPr="00C63860" w:rsidRDefault="00470AE4" w:rsidP="00470AE4">
            <w:pPr>
              <w:jc w:val="center"/>
              <w:rPr>
                <w:b/>
                <w:bCs/>
                <w:color w:val="000000"/>
              </w:rPr>
            </w:pPr>
            <w:r w:rsidRPr="00C63860">
              <w:rPr>
                <w:b/>
                <w:bCs/>
              </w:rPr>
              <w:t>Year 1</w:t>
            </w:r>
          </w:p>
        </w:tc>
        <w:tc>
          <w:tcPr>
            <w:tcW w:w="0" w:type="auto"/>
            <w:shd w:val="clear" w:color="000000" w:fill="FFFFFF"/>
            <w:noWrap/>
            <w:vAlign w:val="center"/>
          </w:tcPr>
          <w:p w14:paraId="15DA9CA4" w14:textId="77777777" w:rsidR="00470AE4" w:rsidRPr="00C63860" w:rsidRDefault="00470AE4" w:rsidP="00470AE4">
            <w:pPr>
              <w:jc w:val="center"/>
              <w:rPr>
                <w:b/>
                <w:bCs/>
                <w:color w:val="000000"/>
              </w:rPr>
            </w:pPr>
            <w:r w:rsidRPr="00C63860">
              <w:rPr>
                <w:b/>
                <w:bCs/>
              </w:rPr>
              <w:t>Year 2</w:t>
            </w:r>
          </w:p>
        </w:tc>
        <w:tc>
          <w:tcPr>
            <w:tcW w:w="0" w:type="auto"/>
            <w:shd w:val="clear" w:color="000000" w:fill="FFFFFF"/>
            <w:noWrap/>
            <w:vAlign w:val="center"/>
          </w:tcPr>
          <w:p w14:paraId="7EB7F081" w14:textId="77777777" w:rsidR="00470AE4" w:rsidRPr="00C63860" w:rsidRDefault="00470AE4" w:rsidP="00470AE4">
            <w:pPr>
              <w:jc w:val="center"/>
              <w:rPr>
                <w:b/>
                <w:bCs/>
                <w:color w:val="000000"/>
              </w:rPr>
            </w:pPr>
            <w:r w:rsidRPr="00C63860">
              <w:rPr>
                <w:b/>
                <w:bCs/>
              </w:rPr>
              <w:t>Year 3</w:t>
            </w:r>
          </w:p>
        </w:tc>
        <w:tc>
          <w:tcPr>
            <w:tcW w:w="0" w:type="auto"/>
            <w:shd w:val="clear" w:color="000000" w:fill="FFFFFF"/>
            <w:noWrap/>
            <w:vAlign w:val="center"/>
          </w:tcPr>
          <w:p w14:paraId="71927627" w14:textId="77777777" w:rsidR="00470AE4" w:rsidRPr="00C63860" w:rsidRDefault="00470AE4" w:rsidP="00470AE4">
            <w:pPr>
              <w:jc w:val="center"/>
              <w:rPr>
                <w:b/>
                <w:bCs/>
                <w:color w:val="000000"/>
              </w:rPr>
            </w:pPr>
            <w:r w:rsidRPr="00C63860">
              <w:rPr>
                <w:b/>
                <w:bCs/>
              </w:rPr>
              <w:t>Year 4</w:t>
            </w:r>
          </w:p>
        </w:tc>
        <w:tc>
          <w:tcPr>
            <w:tcW w:w="0" w:type="auto"/>
            <w:shd w:val="clear" w:color="000000" w:fill="FFFFFF"/>
            <w:noWrap/>
            <w:vAlign w:val="center"/>
          </w:tcPr>
          <w:p w14:paraId="1ACBA896" w14:textId="77777777" w:rsidR="00470AE4" w:rsidRPr="00C63860" w:rsidRDefault="00470AE4" w:rsidP="00470AE4">
            <w:pPr>
              <w:jc w:val="center"/>
              <w:rPr>
                <w:b/>
                <w:bCs/>
              </w:rPr>
            </w:pPr>
            <w:r w:rsidRPr="00C63860">
              <w:rPr>
                <w:b/>
                <w:bCs/>
              </w:rPr>
              <w:t>Year 5</w:t>
            </w:r>
          </w:p>
        </w:tc>
      </w:tr>
      <w:tr w:rsidR="00A76011" w:rsidRPr="00C63860" w14:paraId="60FAF7A9" w14:textId="77777777" w:rsidTr="00C63860">
        <w:trPr>
          <w:cantSplit/>
        </w:trPr>
        <w:tc>
          <w:tcPr>
            <w:tcW w:w="0" w:type="auto"/>
            <w:shd w:val="clear" w:color="000000" w:fill="FFFFFF"/>
            <w:vAlign w:val="center"/>
            <w:hideMark/>
          </w:tcPr>
          <w:p w14:paraId="6EB2A473" w14:textId="77777777" w:rsidR="00470AE4" w:rsidRPr="00C63860" w:rsidRDefault="00470AE4" w:rsidP="00470AE4">
            <w:pPr>
              <w:rPr>
                <w:color w:val="000000"/>
              </w:rPr>
            </w:pPr>
            <w:r w:rsidRPr="00C63860">
              <w:t xml:space="preserve">% with readmission </w:t>
            </w:r>
          </w:p>
        </w:tc>
        <w:tc>
          <w:tcPr>
            <w:tcW w:w="0" w:type="auto"/>
            <w:shd w:val="clear" w:color="000000" w:fill="FFFFFF"/>
            <w:noWrap/>
            <w:hideMark/>
          </w:tcPr>
          <w:p w14:paraId="565BC809" w14:textId="2F71D4C3" w:rsidR="00470AE4" w:rsidRPr="00C63860" w:rsidRDefault="00C63860" w:rsidP="00470AE4">
            <w:pPr>
              <w:jc w:val="center"/>
              <w:rPr>
                <w:color w:val="000000"/>
              </w:rPr>
            </w:pPr>
            <w:r w:rsidRPr="00C63860">
              <w:rPr>
                <w:color w:val="00B0F0"/>
              </w:rPr>
              <w:t>–3</w:t>
            </w:r>
            <w:r w:rsidR="00470AE4" w:rsidRPr="00C63860">
              <w:t>9.6</w:t>
            </w:r>
          </w:p>
        </w:tc>
        <w:tc>
          <w:tcPr>
            <w:tcW w:w="0" w:type="auto"/>
            <w:shd w:val="clear" w:color="000000" w:fill="FFFFFF"/>
            <w:noWrap/>
            <w:hideMark/>
          </w:tcPr>
          <w:p w14:paraId="1A15EFA4" w14:textId="1989AF9F" w:rsidR="00470AE4" w:rsidRPr="00C63860" w:rsidRDefault="00C63860" w:rsidP="00470AE4">
            <w:pPr>
              <w:jc w:val="center"/>
              <w:rPr>
                <w:color w:val="000000"/>
              </w:rPr>
            </w:pPr>
            <w:r w:rsidRPr="00C63860">
              <w:rPr>
                <w:color w:val="00B0F0"/>
              </w:rPr>
              <w:t>–8</w:t>
            </w:r>
            <w:r w:rsidR="00470AE4" w:rsidRPr="00C63860">
              <w:t>.3</w:t>
            </w:r>
          </w:p>
        </w:tc>
        <w:tc>
          <w:tcPr>
            <w:tcW w:w="0" w:type="auto"/>
            <w:shd w:val="clear" w:color="000000" w:fill="FFFFFF"/>
            <w:noWrap/>
            <w:hideMark/>
          </w:tcPr>
          <w:p w14:paraId="56972F68" w14:textId="77777777" w:rsidR="00470AE4" w:rsidRPr="00C63860" w:rsidRDefault="00470AE4" w:rsidP="00470AE4">
            <w:pPr>
              <w:jc w:val="center"/>
              <w:rPr>
                <w:color w:val="000000"/>
              </w:rPr>
            </w:pPr>
            <w:r w:rsidRPr="00C63860">
              <w:t>0.6</w:t>
            </w:r>
          </w:p>
        </w:tc>
        <w:tc>
          <w:tcPr>
            <w:tcW w:w="0" w:type="auto"/>
            <w:shd w:val="clear" w:color="000000" w:fill="FFFFFF"/>
            <w:noWrap/>
            <w:hideMark/>
          </w:tcPr>
          <w:p w14:paraId="010297E7" w14:textId="37A48A8C" w:rsidR="00470AE4" w:rsidRPr="00C63860" w:rsidRDefault="00C63860" w:rsidP="00470AE4">
            <w:pPr>
              <w:jc w:val="center"/>
              <w:rPr>
                <w:color w:val="000000"/>
              </w:rPr>
            </w:pPr>
            <w:r w:rsidRPr="00C63860">
              <w:rPr>
                <w:color w:val="00B0F0"/>
              </w:rPr>
              <w:t>–3</w:t>
            </w:r>
            <w:r w:rsidR="00470AE4" w:rsidRPr="00C63860">
              <w:t>.0</w:t>
            </w:r>
          </w:p>
        </w:tc>
        <w:tc>
          <w:tcPr>
            <w:tcW w:w="0" w:type="auto"/>
            <w:shd w:val="clear" w:color="000000" w:fill="FFFFFF"/>
            <w:noWrap/>
            <w:hideMark/>
          </w:tcPr>
          <w:p w14:paraId="5B8A3AB4" w14:textId="6556F8BB" w:rsidR="00470AE4" w:rsidRPr="00C63860" w:rsidRDefault="00C63860" w:rsidP="00470AE4">
            <w:pPr>
              <w:jc w:val="center"/>
            </w:pPr>
            <w:r w:rsidRPr="00C63860">
              <w:rPr>
                <w:color w:val="00B0F0"/>
              </w:rPr>
              <w:t>–7</w:t>
            </w:r>
            <w:r w:rsidR="00470AE4" w:rsidRPr="00C63860">
              <w:t>.2</w:t>
            </w:r>
          </w:p>
        </w:tc>
      </w:tr>
      <w:tr w:rsidR="00A76011" w:rsidRPr="00C63860" w14:paraId="7C3932F5" w14:textId="77777777" w:rsidTr="00C63860">
        <w:trPr>
          <w:cantSplit/>
        </w:trPr>
        <w:tc>
          <w:tcPr>
            <w:tcW w:w="0" w:type="auto"/>
            <w:shd w:val="clear" w:color="000000" w:fill="FFFFFF"/>
            <w:vAlign w:val="center"/>
            <w:hideMark/>
          </w:tcPr>
          <w:p w14:paraId="16FC05C2" w14:textId="77777777" w:rsidR="00470AE4" w:rsidRPr="00C63860" w:rsidRDefault="00470AE4" w:rsidP="00470AE4">
            <w:pPr>
              <w:rPr>
                <w:color w:val="000000"/>
              </w:rPr>
            </w:pPr>
            <w:r w:rsidRPr="00C63860">
              <w:t>% with critical care admission (within any readmission)</w:t>
            </w:r>
          </w:p>
        </w:tc>
        <w:tc>
          <w:tcPr>
            <w:tcW w:w="0" w:type="auto"/>
            <w:shd w:val="clear" w:color="000000" w:fill="FFFFFF"/>
            <w:noWrap/>
            <w:hideMark/>
          </w:tcPr>
          <w:p w14:paraId="5D75A483" w14:textId="2A0AD0AB" w:rsidR="00470AE4" w:rsidRPr="00C63860" w:rsidRDefault="00C63860" w:rsidP="00470AE4">
            <w:pPr>
              <w:jc w:val="center"/>
              <w:rPr>
                <w:color w:val="000000"/>
              </w:rPr>
            </w:pPr>
            <w:r w:rsidRPr="00C63860">
              <w:rPr>
                <w:color w:val="00B0F0"/>
              </w:rPr>
              <w:t>–4</w:t>
            </w:r>
            <w:r w:rsidR="00470AE4" w:rsidRPr="00C63860">
              <w:t>.7</w:t>
            </w:r>
          </w:p>
        </w:tc>
        <w:tc>
          <w:tcPr>
            <w:tcW w:w="0" w:type="auto"/>
            <w:shd w:val="clear" w:color="000000" w:fill="FFFFFF"/>
            <w:noWrap/>
            <w:hideMark/>
          </w:tcPr>
          <w:p w14:paraId="053528E9" w14:textId="77777777" w:rsidR="00470AE4" w:rsidRPr="00C63860" w:rsidRDefault="00470AE4" w:rsidP="00470AE4">
            <w:pPr>
              <w:jc w:val="center"/>
              <w:rPr>
                <w:color w:val="000000"/>
              </w:rPr>
            </w:pPr>
            <w:r w:rsidRPr="00C63860">
              <w:t>0.7</w:t>
            </w:r>
          </w:p>
        </w:tc>
        <w:tc>
          <w:tcPr>
            <w:tcW w:w="0" w:type="auto"/>
            <w:shd w:val="clear" w:color="000000" w:fill="FFFFFF"/>
            <w:noWrap/>
            <w:hideMark/>
          </w:tcPr>
          <w:p w14:paraId="636F14A9" w14:textId="42B4EF5C" w:rsidR="00470AE4" w:rsidRPr="00C63860" w:rsidRDefault="00C63860" w:rsidP="00470AE4">
            <w:pPr>
              <w:jc w:val="center"/>
              <w:rPr>
                <w:color w:val="000000"/>
              </w:rPr>
            </w:pPr>
            <w:r w:rsidRPr="00C63860">
              <w:rPr>
                <w:color w:val="00B0F0"/>
              </w:rPr>
              <w:t>–3</w:t>
            </w:r>
            <w:r w:rsidR="00470AE4" w:rsidRPr="00C63860">
              <w:t>.5</w:t>
            </w:r>
          </w:p>
        </w:tc>
        <w:tc>
          <w:tcPr>
            <w:tcW w:w="0" w:type="auto"/>
            <w:shd w:val="clear" w:color="000000" w:fill="FFFFFF"/>
            <w:noWrap/>
            <w:hideMark/>
          </w:tcPr>
          <w:p w14:paraId="37788311" w14:textId="23C46BAF" w:rsidR="00470AE4" w:rsidRPr="00C63860" w:rsidRDefault="00C63860" w:rsidP="00470AE4">
            <w:pPr>
              <w:jc w:val="center"/>
              <w:rPr>
                <w:color w:val="000000"/>
              </w:rPr>
            </w:pPr>
            <w:r w:rsidRPr="00C63860">
              <w:rPr>
                <w:color w:val="00B0F0"/>
              </w:rPr>
              <w:t>–2</w:t>
            </w:r>
            <w:r w:rsidR="00470AE4" w:rsidRPr="00C63860">
              <w:t>.8</w:t>
            </w:r>
          </w:p>
        </w:tc>
        <w:tc>
          <w:tcPr>
            <w:tcW w:w="0" w:type="auto"/>
            <w:shd w:val="clear" w:color="000000" w:fill="FFFFFF"/>
            <w:noWrap/>
            <w:hideMark/>
          </w:tcPr>
          <w:p w14:paraId="2548FDB1" w14:textId="5BBAF968" w:rsidR="00470AE4" w:rsidRPr="00C63860" w:rsidRDefault="00C63860" w:rsidP="00470AE4">
            <w:pPr>
              <w:jc w:val="center"/>
            </w:pPr>
            <w:r w:rsidRPr="00C63860">
              <w:rPr>
                <w:color w:val="00B0F0"/>
              </w:rPr>
              <w:t>–0</w:t>
            </w:r>
            <w:r w:rsidR="00470AE4" w:rsidRPr="00C63860">
              <w:t>.5</w:t>
            </w:r>
          </w:p>
        </w:tc>
      </w:tr>
      <w:tr w:rsidR="00A76011" w:rsidRPr="00C63860" w14:paraId="5B7A7E56" w14:textId="77777777" w:rsidTr="00C63860">
        <w:trPr>
          <w:cantSplit/>
        </w:trPr>
        <w:tc>
          <w:tcPr>
            <w:tcW w:w="0" w:type="auto"/>
            <w:shd w:val="clear" w:color="000000" w:fill="FFFFFF"/>
            <w:vAlign w:val="center"/>
            <w:hideMark/>
          </w:tcPr>
          <w:p w14:paraId="3964E208" w14:textId="37488907" w:rsidR="00470AE4" w:rsidRPr="00C63860" w:rsidRDefault="00470AE4" w:rsidP="00470AE4">
            <w:pPr>
              <w:spacing w:after="240"/>
              <w:rPr>
                <w:color w:val="000000"/>
              </w:rPr>
            </w:pPr>
            <w:r w:rsidRPr="00C63860">
              <w:t>%</w:t>
            </w:r>
            <w:r w:rsidR="00C63860" w:rsidRPr="00C63860">
              <w:t xml:space="preserve"> </w:t>
            </w:r>
            <w:r w:rsidRPr="00C63860">
              <w:t>with costed operative procedure</w:t>
            </w:r>
            <w:r w:rsidRPr="00C63860">
              <w:rPr>
                <w:vertAlign w:val="superscript"/>
              </w:rPr>
              <w:t>a</w:t>
            </w:r>
            <w:r w:rsidRPr="00C63860">
              <w:t xml:space="preserve"> (within any readmission)</w:t>
            </w:r>
          </w:p>
        </w:tc>
        <w:tc>
          <w:tcPr>
            <w:tcW w:w="0" w:type="auto"/>
            <w:shd w:val="clear" w:color="000000" w:fill="FFFFFF"/>
            <w:noWrap/>
            <w:hideMark/>
          </w:tcPr>
          <w:p w14:paraId="6E401EA7" w14:textId="79CEB927" w:rsidR="00470AE4" w:rsidRPr="00C63860" w:rsidRDefault="00C63860" w:rsidP="00470AE4">
            <w:pPr>
              <w:jc w:val="center"/>
              <w:rPr>
                <w:color w:val="000000"/>
              </w:rPr>
            </w:pPr>
            <w:r w:rsidRPr="00C63860">
              <w:rPr>
                <w:color w:val="00B0F0"/>
              </w:rPr>
              <w:t>–5</w:t>
            </w:r>
            <w:r w:rsidR="00470AE4" w:rsidRPr="00C63860">
              <w:t>5.1</w:t>
            </w:r>
          </w:p>
        </w:tc>
        <w:tc>
          <w:tcPr>
            <w:tcW w:w="0" w:type="auto"/>
            <w:shd w:val="clear" w:color="000000" w:fill="FFFFFF"/>
            <w:noWrap/>
            <w:hideMark/>
          </w:tcPr>
          <w:p w14:paraId="2CE4CD07" w14:textId="77777777" w:rsidR="00470AE4" w:rsidRPr="00C63860" w:rsidRDefault="00470AE4" w:rsidP="00470AE4">
            <w:pPr>
              <w:jc w:val="center"/>
              <w:rPr>
                <w:color w:val="000000"/>
              </w:rPr>
            </w:pPr>
            <w:r w:rsidRPr="00C63860">
              <w:t>0.3</w:t>
            </w:r>
          </w:p>
        </w:tc>
        <w:tc>
          <w:tcPr>
            <w:tcW w:w="0" w:type="auto"/>
            <w:shd w:val="clear" w:color="000000" w:fill="FFFFFF"/>
            <w:noWrap/>
            <w:hideMark/>
          </w:tcPr>
          <w:p w14:paraId="609A4FCC" w14:textId="77777777" w:rsidR="00470AE4" w:rsidRPr="00C63860" w:rsidRDefault="00470AE4" w:rsidP="00470AE4">
            <w:pPr>
              <w:jc w:val="center"/>
              <w:rPr>
                <w:color w:val="000000"/>
              </w:rPr>
            </w:pPr>
            <w:r w:rsidRPr="00C63860">
              <w:t>0.3</w:t>
            </w:r>
          </w:p>
        </w:tc>
        <w:tc>
          <w:tcPr>
            <w:tcW w:w="0" w:type="auto"/>
            <w:shd w:val="clear" w:color="000000" w:fill="FFFFFF"/>
            <w:noWrap/>
            <w:hideMark/>
          </w:tcPr>
          <w:p w14:paraId="1AF41F2D" w14:textId="77777777" w:rsidR="00470AE4" w:rsidRPr="00C63860" w:rsidRDefault="00470AE4" w:rsidP="00470AE4">
            <w:pPr>
              <w:jc w:val="center"/>
              <w:rPr>
                <w:color w:val="000000"/>
              </w:rPr>
            </w:pPr>
            <w:r w:rsidRPr="00C63860">
              <w:t>0.7</w:t>
            </w:r>
          </w:p>
        </w:tc>
        <w:tc>
          <w:tcPr>
            <w:tcW w:w="0" w:type="auto"/>
            <w:shd w:val="clear" w:color="000000" w:fill="FFFFFF"/>
            <w:noWrap/>
            <w:hideMark/>
          </w:tcPr>
          <w:p w14:paraId="225CC190" w14:textId="77777777" w:rsidR="00470AE4" w:rsidRPr="00C63860" w:rsidRDefault="00470AE4" w:rsidP="00470AE4">
            <w:pPr>
              <w:jc w:val="center"/>
            </w:pPr>
            <w:r w:rsidRPr="00C63860">
              <w:t>0.8</w:t>
            </w:r>
          </w:p>
        </w:tc>
      </w:tr>
      <w:tr w:rsidR="00A76011" w:rsidRPr="00C63860" w14:paraId="5AF61EC1" w14:textId="77777777" w:rsidTr="00C63860">
        <w:trPr>
          <w:cantSplit/>
        </w:trPr>
        <w:tc>
          <w:tcPr>
            <w:tcW w:w="0" w:type="auto"/>
            <w:shd w:val="clear" w:color="000000" w:fill="FFFFFF"/>
            <w:vAlign w:val="center"/>
            <w:hideMark/>
          </w:tcPr>
          <w:p w14:paraId="054D9EF5" w14:textId="3F2BC19E" w:rsidR="00470AE4" w:rsidRPr="00C63860" w:rsidRDefault="00470AE4" w:rsidP="00470AE4">
            <w:pPr>
              <w:rPr>
                <w:color w:val="000000"/>
              </w:rPr>
            </w:pPr>
            <w:r w:rsidRPr="00C63860">
              <w:rPr>
                <w:rFonts w:cstheme="minorHAnsi"/>
                <w:i/>
                <w:iCs/>
              </w:rPr>
              <w:t xml:space="preserve">Mean days in hospital </w:t>
            </w:r>
            <w:r w:rsidR="00DD1841" w:rsidRPr="00C63860">
              <w:rPr>
                <w:rFonts w:cstheme="minorHAnsi"/>
                <w:i/>
                <w:iCs/>
              </w:rPr>
              <w:t>during each</w:t>
            </w:r>
            <w:r w:rsidRPr="00C63860">
              <w:rPr>
                <w:rFonts w:cstheme="minorHAnsi"/>
                <w:i/>
                <w:iCs/>
              </w:rPr>
              <w:t xml:space="preserve"> year (all admissions)</w:t>
            </w:r>
          </w:p>
        </w:tc>
        <w:tc>
          <w:tcPr>
            <w:tcW w:w="0" w:type="auto"/>
            <w:shd w:val="clear" w:color="000000" w:fill="FFFFFF"/>
            <w:noWrap/>
            <w:hideMark/>
          </w:tcPr>
          <w:p w14:paraId="0DD7DE32" w14:textId="77777777" w:rsidR="00470AE4" w:rsidRPr="00C63860" w:rsidRDefault="00470AE4" w:rsidP="00470AE4">
            <w:pPr>
              <w:jc w:val="center"/>
              <w:rPr>
                <w:color w:val="000000"/>
              </w:rPr>
            </w:pPr>
            <w:r w:rsidRPr="00C63860">
              <w:t>1.9</w:t>
            </w:r>
          </w:p>
        </w:tc>
        <w:tc>
          <w:tcPr>
            <w:tcW w:w="0" w:type="auto"/>
            <w:shd w:val="clear" w:color="000000" w:fill="FFFFFF"/>
            <w:noWrap/>
            <w:hideMark/>
          </w:tcPr>
          <w:p w14:paraId="2D73D8B1" w14:textId="1F97540B" w:rsidR="00470AE4" w:rsidRPr="00C63860" w:rsidRDefault="00C63860" w:rsidP="00470AE4">
            <w:pPr>
              <w:jc w:val="center"/>
              <w:rPr>
                <w:color w:val="000000"/>
              </w:rPr>
            </w:pPr>
            <w:r w:rsidRPr="00C63860">
              <w:rPr>
                <w:color w:val="00B0F0"/>
              </w:rPr>
              <w:t>–0</w:t>
            </w:r>
            <w:r w:rsidR="00470AE4" w:rsidRPr="00C63860">
              <w:t>.1</w:t>
            </w:r>
          </w:p>
        </w:tc>
        <w:tc>
          <w:tcPr>
            <w:tcW w:w="0" w:type="auto"/>
            <w:shd w:val="clear" w:color="000000" w:fill="FFFFFF"/>
            <w:noWrap/>
            <w:hideMark/>
          </w:tcPr>
          <w:p w14:paraId="504CBE70" w14:textId="77777777" w:rsidR="00470AE4" w:rsidRPr="00C63860" w:rsidRDefault="00470AE4" w:rsidP="00470AE4">
            <w:pPr>
              <w:jc w:val="center"/>
              <w:rPr>
                <w:color w:val="000000"/>
              </w:rPr>
            </w:pPr>
            <w:r w:rsidRPr="00C63860">
              <w:t>0.2</w:t>
            </w:r>
          </w:p>
        </w:tc>
        <w:tc>
          <w:tcPr>
            <w:tcW w:w="0" w:type="auto"/>
            <w:shd w:val="clear" w:color="000000" w:fill="FFFFFF"/>
            <w:noWrap/>
            <w:hideMark/>
          </w:tcPr>
          <w:p w14:paraId="2B32BB1C" w14:textId="3A55644A" w:rsidR="00470AE4" w:rsidRPr="00C63860" w:rsidRDefault="00C63860" w:rsidP="00470AE4">
            <w:pPr>
              <w:jc w:val="center"/>
              <w:rPr>
                <w:color w:val="000000"/>
              </w:rPr>
            </w:pPr>
            <w:r w:rsidRPr="00C63860">
              <w:rPr>
                <w:color w:val="00B0F0"/>
              </w:rPr>
              <w:t>–0</w:t>
            </w:r>
            <w:r w:rsidR="00470AE4" w:rsidRPr="00C63860">
              <w:t>.2</w:t>
            </w:r>
          </w:p>
        </w:tc>
        <w:tc>
          <w:tcPr>
            <w:tcW w:w="0" w:type="auto"/>
            <w:shd w:val="clear" w:color="000000" w:fill="FFFFFF"/>
            <w:noWrap/>
            <w:hideMark/>
          </w:tcPr>
          <w:p w14:paraId="5440F4A4" w14:textId="74E241AA" w:rsidR="00470AE4" w:rsidRPr="00C63860" w:rsidRDefault="00C63860" w:rsidP="00470AE4">
            <w:pPr>
              <w:jc w:val="center"/>
            </w:pPr>
            <w:r w:rsidRPr="00C63860">
              <w:rPr>
                <w:color w:val="00B0F0"/>
              </w:rPr>
              <w:t>–0</w:t>
            </w:r>
            <w:r w:rsidR="00470AE4" w:rsidRPr="00C63860">
              <w:t>.7</w:t>
            </w:r>
          </w:p>
        </w:tc>
      </w:tr>
      <w:tr w:rsidR="00A76011" w:rsidRPr="00C63860" w14:paraId="3548C8BB" w14:textId="77777777" w:rsidTr="00C63860">
        <w:trPr>
          <w:cantSplit/>
        </w:trPr>
        <w:tc>
          <w:tcPr>
            <w:tcW w:w="0" w:type="auto"/>
            <w:shd w:val="clear" w:color="000000" w:fill="FFFFFF"/>
            <w:noWrap/>
            <w:vAlign w:val="bottom"/>
            <w:hideMark/>
          </w:tcPr>
          <w:p w14:paraId="638EA334" w14:textId="77777777" w:rsidR="00C63860" w:rsidRPr="00C63860" w:rsidRDefault="00C63860" w:rsidP="00470AE4">
            <w:pPr>
              <w:rPr>
                <w:b/>
                <w:bCs/>
              </w:rPr>
            </w:pPr>
          </w:p>
          <w:p w14:paraId="2EAED96D" w14:textId="77777777" w:rsidR="00470AE4" w:rsidRPr="00C63860" w:rsidRDefault="00470AE4" w:rsidP="00470AE4">
            <w:pPr>
              <w:rPr>
                <w:b/>
                <w:bCs/>
                <w:color w:val="000000"/>
              </w:rPr>
            </w:pPr>
          </w:p>
        </w:tc>
        <w:tc>
          <w:tcPr>
            <w:tcW w:w="0" w:type="auto"/>
            <w:shd w:val="clear" w:color="000000" w:fill="FFFFFF"/>
            <w:noWrap/>
            <w:hideMark/>
          </w:tcPr>
          <w:p w14:paraId="04D7EEC9" w14:textId="77777777" w:rsidR="00470AE4" w:rsidRPr="00C63860" w:rsidRDefault="00470AE4" w:rsidP="00470AE4">
            <w:pPr>
              <w:jc w:val="center"/>
              <w:rPr>
                <w:color w:val="000000"/>
              </w:rPr>
            </w:pPr>
          </w:p>
        </w:tc>
        <w:tc>
          <w:tcPr>
            <w:tcW w:w="0" w:type="auto"/>
            <w:shd w:val="clear" w:color="000000" w:fill="FFFFFF"/>
            <w:noWrap/>
            <w:hideMark/>
          </w:tcPr>
          <w:p w14:paraId="6AF053BB" w14:textId="77777777" w:rsidR="00470AE4" w:rsidRPr="00C63860" w:rsidRDefault="00470AE4" w:rsidP="00470AE4">
            <w:pPr>
              <w:jc w:val="center"/>
              <w:rPr>
                <w:color w:val="000000"/>
              </w:rPr>
            </w:pPr>
          </w:p>
        </w:tc>
        <w:tc>
          <w:tcPr>
            <w:tcW w:w="0" w:type="auto"/>
            <w:shd w:val="clear" w:color="000000" w:fill="FFFFFF"/>
            <w:noWrap/>
            <w:hideMark/>
          </w:tcPr>
          <w:p w14:paraId="20C92E69" w14:textId="77777777" w:rsidR="00470AE4" w:rsidRPr="00C63860" w:rsidRDefault="00470AE4" w:rsidP="00470AE4">
            <w:pPr>
              <w:jc w:val="center"/>
              <w:rPr>
                <w:color w:val="000000"/>
              </w:rPr>
            </w:pPr>
          </w:p>
        </w:tc>
        <w:tc>
          <w:tcPr>
            <w:tcW w:w="0" w:type="auto"/>
            <w:shd w:val="clear" w:color="000000" w:fill="FFFFFF"/>
            <w:noWrap/>
            <w:hideMark/>
          </w:tcPr>
          <w:p w14:paraId="61064730" w14:textId="77777777" w:rsidR="00470AE4" w:rsidRPr="00C63860" w:rsidRDefault="00470AE4" w:rsidP="00470AE4">
            <w:pPr>
              <w:jc w:val="center"/>
              <w:rPr>
                <w:color w:val="000000"/>
              </w:rPr>
            </w:pPr>
          </w:p>
        </w:tc>
        <w:tc>
          <w:tcPr>
            <w:tcW w:w="0" w:type="auto"/>
            <w:shd w:val="clear" w:color="000000" w:fill="FFFFFF"/>
            <w:noWrap/>
            <w:hideMark/>
          </w:tcPr>
          <w:p w14:paraId="48E5DC7F" w14:textId="77777777" w:rsidR="00470AE4" w:rsidRPr="00C63860" w:rsidRDefault="00470AE4" w:rsidP="00470AE4">
            <w:pPr>
              <w:jc w:val="center"/>
            </w:pPr>
          </w:p>
        </w:tc>
      </w:tr>
      <w:tr w:rsidR="00A76011" w:rsidRPr="00C63860" w14:paraId="312FF04C" w14:textId="77777777" w:rsidTr="00C63860">
        <w:trPr>
          <w:cantSplit/>
        </w:trPr>
        <w:tc>
          <w:tcPr>
            <w:tcW w:w="0" w:type="auto"/>
            <w:shd w:val="clear" w:color="000000" w:fill="FFFFFF"/>
            <w:noWrap/>
            <w:vAlign w:val="bottom"/>
            <w:hideMark/>
          </w:tcPr>
          <w:p w14:paraId="44498A8C" w14:textId="77777777" w:rsidR="00470AE4" w:rsidRPr="00C63860" w:rsidRDefault="00470AE4" w:rsidP="00470AE4">
            <w:pPr>
              <w:rPr>
                <w:b/>
                <w:bCs/>
                <w:color w:val="000000"/>
              </w:rPr>
            </w:pPr>
            <w:r w:rsidRPr="00C63860">
              <w:rPr>
                <w:b/>
                <w:bCs/>
              </w:rPr>
              <w:t>(E) Intestinal obstruction (N=64,170)</w:t>
            </w:r>
          </w:p>
        </w:tc>
        <w:tc>
          <w:tcPr>
            <w:tcW w:w="0" w:type="auto"/>
            <w:shd w:val="clear" w:color="000000" w:fill="FFFFFF"/>
            <w:noWrap/>
            <w:hideMark/>
          </w:tcPr>
          <w:p w14:paraId="5454E3D1" w14:textId="77777777" w:rsidR="00470AE4" w:rsidRPr="00C63860" w:rsidRDefault="00470AE4" w:rsidP="00470AE4">
            <w:pPr>
              <w:jc w:val="center"/>
              <w:rPr>
                <w:b/>
                <w:bCs/>
                <w:color w:val="000000"/>
              </w:rPr>
            </w:pPr>
          </w:p>
        </w:tc>
        <w:tc>
          <w:tcPr>
            <w:tcW w:w="0" w:type="auto"/>
            <w:shd w:val="clear" w:color="000000" w:fill="FFFFFF"/>
            <w:noWrap/>
            <w:hideMark/>
          </w:tcPr>
          <w:p w14:paraId="57B4A34A" w14:textId="77777777" w:rsidR="00470AE4" w:rsidRPr="00C63860" w:rsidRDefault="00470AE4" w:rsidP="00470AE4">
            <w:pPr>
              <w:jc w:val="center"/>
              <w:rPr>
                <w:b/>
                <w:bCs/>
                <w:color w:val="000000"/>
              </w:rPr>
            </w:pPr>
          </w:p>
        </w:tc>
        <w:tc>
          <w:tcPr>
            <w:tcW w:w="0" w:type="auto"/>
            <w:shd w:val="clear" w:color="000000" w:fill="FFFFFF"/>
            <w:noWrap/>
            <w:hideMark/>
          </w:tcPr>
          <w:p w14:paraId="47E929F8" w14:textId="77777777" w:rsidR="00470AE4" w:rsidRPr="00C63860" w:rsidRDefault="00470AE4" w:rsidP="00470AE4">
            <w:pPr>
              <w:jc w:val="center"/>
              <w:rPr>
                <w:b/>
                <w:bCs/>
                <w:color w:val="000000"/>
              </w:rPr>
            </w:pPr>
          </w:p>
        </w:tc>
        <w:tc>
          <w:tcPr>
            <w:tcW w:w="0" w:type="auto"/>
            <w:shd w:val="clear" w:color="000000" w:fill="FFFFFF"/>
            <w:noWrap/>
            <w:hideMark/>
          </w:tcPr>
          <w:p w14:paraId="56FBF1FF" w14:textId="77777777" w:rsidR="00470AE4" w:rsidRPr="00C63860" w:rsidRDefault="00470AE4" w:rsidP="00470AE4">
            <w:pPr>
              <w:jc w:val="center"/>
              <w:rPr>
                <w:b/>
                <w:bCs/>
                <w:color w:val="000000"/>
              </w:rPr>
            </w:pPr>
          </w:p>
        </w:tc>
        <w:tc>
          <w:tcPr>
            <w:tcW w:w="0" w:type="auto"/>
            <w:shd w:val="clear" w:color="000000" w:fill="FFFFFF"/>
            <w:noWrap/>
            <w:hideMark/>
          </w:tcPr>
          <w:p w14:paraId="1A7FBADA" w14:textId="77777777" w:rsidR="00470AE4" w:rsidRPr="00C63860" w:rsidRDefault="00470AE4" w:rsidP="00470AE4">
            <w:pPr>
              <w:jc w:val="center"/>
              <w:rPr>
                <w:b/>
                <w:bCs/>
              </w:rPr>
            </w:pPr>
          </w:p>
        </w:tc>
      </w:tr>
      <w:tr w:rsidR="00A76011" w:rsidRPr="00C63860" w14:paraId="18D87ED9" w14:textId="77777777" w:rsidTr="00C63860">
        <w:trPr>
          <w:cantSplit/>
        </w:trPr>
        <w:tc>
          <w:tcPr>
            <w:tcW w:w="0" w:type="auto"/>
            <w:shd w:val="clear" w:color="000000" w:fill="FFFFFF"/>
            <w:noWrap/>
            <w:vAlign w:val="bottom"/>
          </w:tcPr>
          <w:p w14:paraId="172268CE" w14:textId="77777777" w:rsidR="00470AE4" w:rsidRPr="00C63860" w:rsidRDefault="00470AE4" w:rsidP="00470AE4">
            <w:pPr>
              <w:rPr>
                <w:b/>
                <w:bCs/>
                <w:color w:val="000000"/>
              </w:rPr>
            </w:pPr>
          </w:p>
        </w:tc>
        <w:tc>
          <w:tcPr>
            <w:tcW w:w="0" w:type="auto"/>
            <w:shd w:val="clear" w:color="000000" w:fill="FFFFFF"/>
            <w:noWrap/>
            <w:vAlign w:val="center"/>
          </w:tcPr>
          <w:p w14:paraId="1E1B6E78" w14:textId="77777777" w:rsidR="00470AE4" w:rsidRPr="00C63860" w:rsidRDefault="00470AE4" w:rsidP="00470AE4">
            <w:pPr>
              <w:jc w:val="center"/>
              <w:rPr>
                <w:b/>
                <w:bCs/>
                <w:color w:val="000000"/>
              </w:rPr>
            </w:pPr>
            <w:r w:rsidRPr="00C63860">
              <w:rPr>
                <w:b/>
                <w:bCs/>
              </w:rPr>
              <w:t>Year 1</w:t>
            </w:r>
          </w:p>
        </w:tc>
        <w:tc>
          <w:tcPr>
            <w:tcW w:w="0" w:type="auto"/>
            <w:shd w:val="clear" w:color="000000" w:fill="FFFFFF"/>
            <w:noWrap/>
            <w:vAlign w:val="center"/>
          </w:tcPr>
          <w:p w14:paraId="1D69BDF3" w14:textId="77777777" w:rsidR="00470AE4" w:rsidRPr="00C63860" w:rsidRDefault="00470AE4" w:rsidP="00470AE4">
            <w:pPr>
              <w:jc w:val="center"/>
              <w:rPr>
                <w:b/>
                <w:bCs/>
                <w:color w:val="000000"/>
              </w:rPr>
            </w:pPr>
            <w:r w:rsidRPr="00C63860">
              <w:rPr>
                <w:b/>
                <w:bCs/>
              </w:rPr>
              <w:t>Year 2</w:t>
            </w:r>
          </w:p>
        </w:tc>
        <w:tc>
          <w:tcPr>
            <w:tcW w:w="0" w:type="auto"/>
            <w:shd w:val="clear" w:color="000000" w:fill="FFFFFF"/>
            <w:noWrap/>
            <w:vAlign w:val="center"/>
          </w:tcPr>
          <w:p w14:paraId="7CA8CA45" w14:textId="77777777" w:rsidR="00470AE4" w:rsidRPr="00C63860" w:rsidRDefault="00470AE4" w:rsidP="00470AE4">
            <w:pPr>
              <w:jc w:val="center"/>
              <w:rPr>
                <w:b/>
                <w:bCs/>
                <w:color w:val="000000"/>
              </w:rPr>
            </w:pPr>
            <w:r w:rsidRPr="00C63860">
              <w:rPr>
                <w:b/>
                <w:bCs/>
              </w:rPr>
              <w:t>Year 3</w:t>
            </w:r>
          </w:p>
        </w:tc>
        <w:tc>
          <w:tcPr>
            <w:tcW w:w="0" w:type="auto"/>
            <w:shd w:val="clear" w:color="000000" w:fill="FFFFFF"/>
            <w:noWrap/>
            <w:vAlign w:val="center"/>
          </w:tcPr>
          <w:p w14:paraId="7264C5B4" w14:textId="77777777" w:rsidR="00470AE4" w:rsidRPr="00C63860" w:rsidRDefault="00470AE4" w:rsidP="00470AE4">
            <w:pPr>
              <w:jc w:val="center"/>
              <w:rPr>
                <w:b/>
                <w:bCs/>
                <w:color w:val="000000"/>
              </w:rPr>
            </w:pPr>
            <w:r w:rsidRPr="00C63860">
              <w:rPr>
                <w:b/>
                <w:bCs/>
              </w:rPr>
              <w:t>Year 4</w:t>
            </w:r>
          </w:p>
        </w:tc>
        <w:tc>
          <w:tcPr>
            <w:tcW w:w="0" w:type="auto"/>
            <w:shd w:val="clear" w:color="000000" w:fill="FFFFFF"/>
            <w:noWrap/>
            <w:vAlign w:val="center"/>
          </w:tcPr>
          <w:p w14:paraId="1F018859" w14:textId="77777777" w:rsidR="00470AE4" w:rsidRPr="00C63860" w:rsidRDefault="00470AE4" w:rsidP="00470AE4">
            <w:pPr>
              <w:jc w:val="center"/>
              <w:rPr>
                <w:b/>
                <w:bCs/>
              </w:rPr>
            </w:pPr>
            <w:r w:rsidRPr="00C63860">
              <w:rPr>
                <w:b/>
                <w:bCs/>
              </w:rPr>
              <w:t>Year 5</w:t>
            </w:r>
          </w:p>
        </w:tc>
      </w:tr>
      <w:tr w:rsidR="00A76011" w:rsidRPr="00C63860" w14:paraId="41F7ED15" w14:textId="77777777" w:rsidTr="00C63860">
        <w:trPr>
          <w:cantSplit/>
        </w:trPr>
        <w:tc>
          <w:tcPr>
            <w:tcW w:w="0" w:type="auto"/>
            <w:shd w:val="clear" w:color="000000" w:fill="FFFFFF"/>
            <w:vAlign w:val="center"/>
            <w:hideMark/>
          </w:tcPr>
          <w:p w14:paraId="44870D5E" w14:textId="77777777" w:rsidR="00470AE4" w:rsidRPr="00C63860" w:rsidRDefault="00470AE4" w:rsidP="00470AE4">
            <w:pPr>
              <w:rPr>
                <w:color w:val="000000"/>
              </w:rPr>
            </w:pPr>
            <w:r w:rsidRPr="00C63860">
              <w:t xml:space="preserve">% with readmission </w:t>
            </w:r>
          </w:p>
        </w:tc>
        <w:tc>
          <w:tcPr>
            <w:tcW w:w="0" w:type="auto"/>
            <w:shd w:val="clear" w:color="000000" w:fill="FFFFFF"/>
            <w:noWrap/>
            <w:hideMark/>
          </w:tcPr>
          <w:p w14:paraId="0C18B461" w14:textId="1410D9EB" w:rsidR="00470AE4" w:rsidRPr="00C63860" w:rsidRDefault="00C63860" w:rsidP="00470AE4">
            <w:pPr>
              <w:jc w:val="center"/>
              <w:rPr>
                <w:color w:val="000000"/>
              </w:rPr>
            </w:pPr>
            <w:r w:rsidRPr="00C63860">
              <w:rPr>
                <w:color w:val="00B0F0"/>
              </w:rPr>
              <w:t>–2</w:t>
            </w:r>
            <w:r w:rsidR="00470AE4" w:rsidRPr="00C63860">
              <w:t>3.1</w:t>
            </w:r>
          </w:p>
        </w:tc>
        <w:tc>
          <w:tcPr>
            <w:tcW w:w="0" w:type="auto"/>
            <w:shd w:val="clear" w:color="000000" w:fill="FFFFFF"/>
            <w:noWrap/>
            <w:hideMark/>
          </w:tcPr>
          <w:p w14:paraId="2ACCAFED" w14:textId="52BB1579" w:rsidR="00470AE4" w:rsidRPr="00C63860" w:rsidRDefault="00C63860" w:rsidP="00470AE4">
            <w:pPr>
              <w:jc w:val="center"/>
              <w:rPr>
                <w:color w:val="000000"/>
              </w:rPr>
            </w:pPr>
            <w:r w:rsidRPr="00C63860">
              <w:rPr>
                <w:color w:val="00B0F0"/>
              </w:rPr>
              <w:t>–9</w:t>
            </w:r>
            <w:r w:rsidR="00470AE4" w:rsidRPr="00C63860">
              <w:t>.7</w:t>
            </w:r>
          </w:p>
        </w:tc>
        <w:tc>
          <w:tcPr>
            <w:tcW w:w="0" w:type="auto"/>
            <w:shd w:val="clear" w:color="000000" w:fill="FFFFFF"/>
            <w:noWrap/>
            <w:hideMark/>
          </w:tcPr>
          <w:p w14:paraId="0985E3E7" w14:textId="692561F3" w:rsidR="00470AE4" w:rsidRPr="00C63860" w:rsidRDefault="00C63860" w:rsidP="00470AE4">
            <w:pPr>
              <w:jc w:val="center"/>
              <w:rPr>
                <w:color w:val="000000"/>
              </w:rPr>
            </w:pPr>
            <w:r w:rsidRPr="00C63860">
              <w:rPr>
                <w:color w:val="00B0F0"/>
              </w:rPr>
              <w:t>–8</w:t>
            </w:r>
            <w:r w:rsidR="00470AE4" w:rsidRPr="00C63860">
              <w:t>.0</w:t>
            </w:r>
          </w:p>
        </w:tc>
        <w:tc>
          <w:tcPr>
            <w:tcW w:w="0" w:type="auto"/>
            <w:shd w:val="clear" w:color="000000" w:fill="FFFFFF"/>
            <w:noWrap/>
            <w:hideMark/>
          </w:tcPr>
          <w:p w14:paraId="7084CF5C" w14:textId="18278564" w:rsidR="00470AE4" w:rsidRPr="00C63860" w:rsidRDefault="00C63860" w:rsidP="00470AE4">
            <w:pPr>
              <w:jc w:val="center"/>
              <w:rPr>
                <w:color w:val="000000"/>
              </w:rPr>
            </w:pPr>
            <w:r w:rsidRPr="00C63860">
              <w:rPr>
                <w:color w:val="00B0F0"/>
              </w:rPr>
              <w:t>–1</w:t>
            </w:r>
            <w:r w:rsidR="00470AE4" w:rsidRPr="00C63860">
              <w:t>4.2</w:t>
            </w:r>
          </w:p>
        </w:tc>
        <w:tc>
          <w:tcPr>
            <w:tcW w:w="0" w:type="auto"/>
            <w:shd w:val="clear" w:color="000000" w:fill="FFFFFF"/>
            <w:noWrap/>
            <w:hideMark/>
          </w:tcPr>
          <w:p w14:paraId="3213F056" w14:textId="0CC8C5F4" w:rsidR="00470AE4" w:rsidRPr="00C63860" w:rsidRDefault="00C63860" w:rsidP="00470AE4">
            <w:pPr>
              <w:jc w:val="center"/>
            </w:pPr>
            <w:r w:rsidRPr="00C63860">
              <w:rPr>
                <w:color w:val="00B0F0"/>
              </w:rPr>
              <w:t>–1</w:t>
            </w:r>
            <w:r w:rsidR="00470AE4" w:rsidRPr="00C63860">
              <w:t>7.2</w:t>
            </w:r>
          </w:p>
        </w:tc>
      </w:tr>
      <w:tr w:rsidR="00A76011" w:rsidRPr="00C63860" w14:paraId="2CF01B34" w14:textId="77777777" w:rsidTr="00C63860">
        <w:trPr>
          <w:cantSplit/>
        </w:trPr>
        <w:tc>
          <w:tcPr>
            <w:tcW w:w="0" w:type="auto"/>
            <w:shd w:val="clear" w:color="000000" w:fill="FFFFFF"/>
            <w:vAlign w:val="center"/>
            <w:hideMark/>
          </w:tcPr>
          <w:p w14:paraId="5F4F104D" w14:textId="77777777" w:rsidR="00470AE4" w:rsidRPr="00C63860" w:rsidRDefault="00470AE4" w:rsidP="00470AE4">
            <w:pPr>
              <w:rPr>
                <w:color w:val="000000"/>
              </w:rPr>
            </w:pPr>
            <w:r w:rsidRPr="00C63860">
              <w:t>% with critical care admission (within any readmission)</w:t>
            </w:r>
          </w:p>
        </w:tc>
        <w:tc>
          <w:tcPr>
            <w:tcW w:w="0" w:type="auto"/>
            <w:shd w:val="clear" w:color="000000" w:fill="FFFFFF"/>
            <w:noWrap/>
            <w:hideMark/>
          </w:tcPr>
          <w:p w14:paraId="7731335C" w14:textId="236CDC39" w:rsidR="00470AE4" w:rsidRPr="00C63860" w:rsidRDefault="00C63860" w:rsidP="00470AE4">
            <w:pPr>
              <w:jc w:val="center"/>
              <w:rPr>
                <w:color w:val="000000"/>
              </w:rPr>
            </w:pPr>
            <w:r w:rsidRPr="00C63860">
              <w:rPr>
                <w:color w:val="00B0F0"/>
              </w:rPr>
              <w:t>–0</w:t>
            </w:r>
            <w:r w:rsidR="00470AE4" w:rsidRPr="00C63860">
              <w:t>.7</w:t>
            </w:r>
          </w:p>
        </w:tc>
        <w:tc>
          <w:tcPr>
            <w:tcW w:w="0" w:type="auto"/>
            <w:shd w:val="clear" w:color="000000" w:fill="FFFFFF"/>
            <w:noWrap/>
            <w:hideMark/>
          </w:tcPr>
          <w:p w14:paraId="358C4503" w14:textId="334CDEEB" w:rsidR="00470AE4" w:rsidRPr="00C63860" w:rsidRDefault="00C63860" w:rsidP="00470AE4">
            <w:pPr>
              <w:jc w:val="center"/>
              <w:rPr>
                <w:color w:val="000000"/>
              </w:rPr>
            </w:pPr>
            <w:r w:rsidRPr="00C63860">
              <w:rPr>
                <w:color w:val="00B0F0"/>
              </w:rPr>
              <w:t>–0</w:t>
            </w:r>
            <w:r w:rsidR="00470AE4" w:rsidRPr="00C63860">
              <w:t>.3</w:t>
            </w:r>
          </w:p>
        </w:tc>
        <w:tc>
          <w:tcPr>
            <w:tcW w:w="0" w:type="auto"/>
            <w:shd w:val="clear" w:color="000000" w:fill="FFFFFF"/>
            <w:noWrap/>
            <w:hideMark/>
          </w:tcPr>
          <w:p w14:paraId="61404FD7" w14:textId="16D90D74" w:rsidR="00470AE4" w:rsidRPr="00C63860" w:rsidRDefault="00C63860" w:rsidP="00470AE4">
            <w:pPr>
              <w:jc w:val="center"/>
              <w:rPr>
                <w:color w:val="000000"/>
              </w:rPr>
            </w:pPr>
            <w:r w:rsidRPr="00C63860">
              <w:rPr>
                <w:color w:val="00B0F0"/>
              </w:rPr>
              <w:t>–1</w:t>
            </w:r>
            <w:r w:rsidR="00470AE4" w:rsidRPr="00C63860">
              <w:t>.6</w:t>
            </w:r>
          </w:p>
        </w:tc>
        <w:tc>
          <w:tcPr>
            <w:tcW w:w="0" w:type="auto"/>
            <w:shd w:val="clear" w:color="000000" w:fill="FFFFFF"/>
            <w:noWrap/>
            <w:hideMark/>
          </w:tcPr>
          <w:p w14:paraId="7B43DD71" w14:textId="0FD77CBC" w:rsidR="00470AE4" w:rsidRPr="00C63860" w:rsidRDefault="00C63860" w:rsidP="00470AE4">
            <w:pPr>
              <w:jc w:val="center"/>
              <w:rPr>
                <w:color w:val="000000"/>
              </w:rPr>
            </w:pPr>
            <w:r w:rsidRPr="00C63860">
              <w:rPr>
                <w:color w:val="00B0F0"/>
              </w:rPr>
              <w:t>–0</w:t>
            </w:r>
            <w:r w:rsidR="00470AE4" w:rsidRPr="00C63860">
              <w:t>.8</w:t>
            </w:r>
          </w:p>
        </w:tc>
        <w:tc>
          <w:tcPr>
            <w:tcW w:w="0" w:type="auto"/>
            <w:shd w:val="clear" w:color="000000" w:fill="FFFFFF"/>
            <w:noWrap/>
            <w:hideMark/>
          </w:tcPr>
          <w:p w14:paraId="75933F4B" w14:textId="77777777" w:rsidR="00470AE4" w:rsidRPr="00C63860" w:rsidRDefault="00470AE4" w:rsidP="00470AE4">
            <w:pPr>
              <w:jc w:val="center"/>
            </w:pPr>
            <w:r w:rsidRPr="00C63860">
              <w:t>1.7</w:t>
            </w:r>
          </w:p>
        </w:tc>
      </w:tr>
      <w:tr w:rsidR="00A76011" w:rsidRPr="00C63860" w14:paraId="197E9F29" w14:textId="77777777" w:rsidTr="00C63860">
        <w:trPr>
          <w:cantSplit/>
        </w:trPr>
        <w:tc>
          <w:tcPr>
            <w:tcW w:w="0" w:type="auto"/>
            <w:shd w:val="clear" w:color="000000" w:fill="FFFFFF"/>
            <w:vAlign w:val="center"/>
            <w:hideMark/>
          </w:tcPr>
          <w:p w14:paraId="12507694" w14:textId="2787CCC3" w:rsidR="00470AE4" w:rsidRPr="00C63860" w:rsidRDefault="00470AE4" w:rsidP="00470AE4">
            <w:pPr>
              <w:spacing w:after="240"/>
              <w:rPr>
                <w:color w:val="000000"/>
              </w:rPr>
            </w:pPr>
            <w:r w:rsidRPr="00C63860">
              <w:t>%</w:t>
            </w:r>
            <w:r w:rsidR="00C63860" w:rsidRPr="00C63860">
              <w:t xml:space="preserve"> </w:t>
            </w:r>
            <w:r w:rsidRPr="00C63860">
              <w:t>with costed operative procedure</w:t>
            </w:r>
            <w:r w:rsidRPr="00C63860">
              <w:rPr>
                <w:vertAlign w:val="superscript"/>
              </w:rPr>
              <w:t>a</w:t>
            </w:r>
            <w:r w:rsidRPr="00C63860">
              <w:t xml:space="preserve"> (within any readmission)</w:t>
            </w:r>
          </w:p>
        </w:tc>
        <w:tc>
          <w:tcPr>
            <w:tcW w:w="0" w:type="auto"/>
            <w:shd w:val="clear" w:color="000000" w:fill="FFFFFF"/>
            <w:noWrap/>
            <w:hideMark/>
          </w:tcPr>
          <w:p w14:paraId="33E1D9B1" w14:textId="77777777" w:rsidR="00470AE4" w:rsidRPr="00C63860" w:rsidRDefault="00470AE4" w:rsidP="00470AE4">
            <w:pPr>
              <w:jc w:val="center"/>
              <w:rPr>
                <w:color w:val="000000"/>
              </w:rPr>
            </w:pPr>
            <w:r w:rsidRPr="00C63860">
              <w:t>12.0</w:t>
            </w:r>
          </w:p>
        </w:tc>
        <w:tc>
          <w:tcPr>
            <w:tcW w:w="0" w:type="auto"/>
            <w:shd w:val="clear" w:color="000000" w:fill="FFFFFF"/>
            <w:noWrap/>
            <w:hideMark/>
          </w:tcPr>
          <w:p w14:paraId="7A69318A" w14:textId="543A30CA" w:rsidR="00470AE4" w:rsidRPr="00C63860" w:rsidRDefault="00C63860" w:rsidP="00470AE4">
            <w:pPr>
              <w:jc w:val="center"/>
              <w:rPr>
                <w:color w:val="000000"/>
              </w:rPr>
            </w:pPr>
            <w:r w:rsidRPr="00C63860">
              <w:rPr>
                <w:color w:val="00B0F0"/>
              </w:rPr>
              <w:t>–1</w:t>
            </w:r>
            <w:r w:rsidR="00470AE4" w:rsidRPr="00C63860">
              <w:t>.6</w:t>
            </w:r>
          </w:p>
        </w:tc>
        <w:tc>
          <w:tcPr>
            <w:tcW w:w="0" w:type="auto"/>
            <w:shd w:val="clear" w:color="000000" w:fill="FFFFFF"/>
            <w:noWrap/>
            <w:hideMark/>
          </w:tcPr>
          <w:p w14:paraId="309E7DF5" w14:textId="2D160C23" w:rsidR="00470AE4" w:rsidRPr="00C63860" w:rsidRDefault="00C63860" w:rsidP="00470AE4">
            <w:pPr>
              <w:jc w:val="center"/>
              <w:rPr>
                <w:color w:val="000000"/>
              </w:rPr>
            </w:pPr>
            <w:r w:rsidRPr="00C63860">
              <w:rPr>
                <w:color w:val="00B0F0"/>
              </w:rPr>
              <w:t>–1</w:t>
            </w:r>
            <w:r w:rsidR="00470AE4" w:rsidRPr="00C63860">
              <w:t>.0</w:t>
            </w:r>
          </w:p>
        </w:tc>
        <w:tc>
          <w:tcPr>
            <w:tcW w:w="0" w:type="auto"/>
            <w:shd w:val="clear" w:color="000000" w:fill="FFFFFF"/>
            <w:noWrap/>
            <w:hideMark/>
          </w:tcPr>
          <w:p w14:paraId="4B52FF8A" w14:textId="5384BC87" w:rsidR="00470AE4" w:rsidRPr="00C63860" w:rsidRDefault="00C63860" w:rsidP="00470AE4">
            <w:pPr>
              <w:jc w:val="center"/>
              <w:rPr>
                <w:color w:val="000000"/>
              </w:rPr>
            </w:pPr>
            <w:r w:rsidRPr="00C63860">
              <w:rPr>
                <w:color w:val="00B0F0"/>
              </w:rPr>
              <w:t>–1</w:t>
            </w:r>
            <w:r w:rsidR="00470AE4" w:rsidRPr="00C63860">
              <w:t>.2</w:t>
            </w:r>
          </w:p>
        </w:tc>
        <w:tc>
          <w:tcPr>
            <w:tcW w:w="0" w:type="auto"/>
            <w:shd w:val="clear" w:color="000000" w:fill="FFFFFF"/>
            <w:noWrap/>
            <w:hideMark/>
          </w:tcPr>
          <w:p w14:paraId="4A221B50" w14:textId="77777777" w:rsidR="00470AE4" w:rsidRPr="00C63860" w:rsidRDefault="00470AE4" w:rsidP="00470AE4">
            <w:pPr>
              <w:jc w:val="center"/>
            </w:pPr>
            <w:r w:rsidRPr="00C63860">
              <w:t>0.1</w:t>
            </w:r>
          </w:p>
        </w:tc>
      </w:tr>
      <w:tr w:rsidR="00A76011" w:rsidRPr="00C63860" w14:paraId="1583475B" w14:textId="77777777" w:rsidTr="00C63860">
        <w:trPr>
          <w:cantSplit/>
        </w:trPr>
        <w:tc>
          <w:tcPr>
            <w:tcW w:w="0" w:type="auto"/>
            <w:shd w:val="clear" w:color="000000" w:fill="FFFFFF"/>
            <w:vAlign w:val="center"/>
            <w:hideMark/>
          </w:tcPr>
          <w:p w14:paraId="29ACAC3B" w14:textId="0CAFA058" w:rsidR="00470AE4" w:rsidRPr="00C63860" w:rsidRDefault="00470AE4" w:rsidP="00470AE4">
            <w:pPr>
              <w:rPr>
                <w:color w:val="000000"/>
              </w:rPr>
            </w:pPr>
            <w:r w:rsidRPr="00C63860">
              <w:rPr>
                <w:rFonts w:cstheme="minorHAnsi"/>
                <w:i/>
                <w:iCs/>
              </w:rPr>
              <w:t xml:space="preserve">Mean days in hospital </w:t>
            </w:r>
            <w:r w:rsidR="00DD1841" w:rsidRPr="00C63860">
              <w:rPr>
                <w:rFonts w:cstheme="minorHAnsi"/>
                <w:i/>
                <w:iCs/>
              </w:rPr>
              <w:t>during each</w:t>
            </w:r>
            <w:r w:rsidRPr="00C63860">
              <w:rPr>
                <w:rFonts w:cstheme="minorHAnsi"/>
                <w:i/>
                <w:iCs/>
              </w:rPr>
              <w:t xml:space="preserve"> year (all admissions)</w:t>
            </w:r>
          </w:p>
        </w:tc>
        <w:tc>
          <w:tcPr>
            <w:tcW w:w="0" w:type="auto"/>
            <w:shd w:val="clear" w:color="000000" w:fill="FFFFFF"/>
            <w:noWrap/>
            <w:hideMark/>
          </w:tcPr>
          <w:p w14:paraId="60582015" w14:textId="52BFF8B7" w:rsidR="00470AE4" w:rsidRPr="00C63860" w:rsidRDefault="00C63860" w:rsidP="00470AE4">
            <w:pPr>
              <w:jc w:val="center"/>
              <w:rPr>
                <w:color w:val="000000"/>
              </w:rPr>
            </w:pPr>
            <w:r w:rsidRPr="00C63860">
              <w:rPr>
                <w:color w:val="00B0F0"/>
              </w:rPr>
              <w:t>–5</w:t>
            </w:r>
            <w:r w:rsidR="00470AE4" w:rsidRPr="00C63860">
              <w:t>.0</w:t>
            </w:r>
          </w:p>
        </w:tc>
        <w:tc>
          <w:tcPr>
            <w:tcW w:w="0" w:type="auto"/>
            <w:shd w:val="clear" w:color="000000" w:fill="FFFFFF"/>
            <w:noWrap/>
            <w:hideMark/>
          </w:tcPr>
          <w:p w14:paraId="2FD3BEDD" w14:textId="0FB4E8EF" w:rsidR="00470AE4" w:rsidRPr="00C63860" w:rsidRDefault="00C63860" w:rsidP="00470AE4">
            <w:pPr>
              <w:jc w:val="center"/>
              <w:rPr>
                <w:color w:val="000000"/>
              </w:rPr>
            </w:pPr>
            <w:r w:rsidRPr="00C63860">
              <w:rPr>
                <w:color w:val="00B0F0"/>
              </w:rPr>
              <w:t>–1</w:t>
            </w:r>
            <w:r w:rsidR="00470AE4" w:rsidRPr="00C63860">
              <w:t>.8</w:t>
            </w:r>
          </w:p>
        </w:tc>
        <w:tc>
          <w:tcPr>
            <w:tcW w:w="0" w:type="auto"/>
            <w:shd w:val="clear" w:color="000000" w:fill="FFFFFF"/>
            <w:noWrap/>
            <w:hideMark/>
          </w:tcPr>
          <w:p w14:paraId="694DFA13" w14:textId="052B30E3" w:rsidR="00470AE4" w:rsidRPr="00C63860" w:rsidRDefault="00C63860" w:rsidP="00470AE4">
            <w:pPr>
              <w:jc w:val="center"/>
              <w:rPr>
                <w:color w:val="000000"/>
              </w:rPr>
            </w:pPr>
            <w:r w:rsidRPr="00C63860">
              <w:rPr>
                <w:color w:val="00B0F0"/>
              </w:rPr>
              <w:t>–3</w:t>
            </w:r>
            <w:r w:rsidR="00470AE4" w:rsidRPr="00C63860">
              <w:t>.0</w:t>
            </w:r>
          </w:p>
        </w:tc>
        <w:tc>
          <w:tcPr>
            <w:tcW w:w="0" w:type="auto"/>
            <w:shd w:val="clear" w:color="000000" w:fill="FFFFFF"/>
            <w:noWrap/>
            <w:hideMark/>
          </w:tcPr>
          <w:p w14:paraId="6F7FAA47" w14:textId="7D896ACE" w:rsidR="00470AE4" w:rsidRPr="00C63860" w:rsidRDefault="00C63860" w:rsidP="00470AE4">
            <w:pPr>
              <w:jc w:val="center"/>
              <w:rPr>
                <w:color w:val="000000"/>
              </w:rPr>
            </w:pPr>
            <w:r w:rsidRPr="00C63860">
              <w:rPr>
                <w:color w:val="00B0F0"/>
              </w:rPr>
              <w:t>–3</w:t>
            </w:r>
            <w:r w:rsidR="00470AE4" w:rsidRPr="00C63860">
              <w:t>.1</w:t>
            </w:r>
          </w:p>
        </w:tc>
        <w:tc>
          <w:tcPr>
            <w:tcW w:w="0" w:type="auto"/>
            <w:shd w:val="clear" w:color="000000" w:fill="FFFFFF"/>
            <w:noWrap/>
            <w:hideMark/>
          </w:tcPr>
          <w:p w14:paraId="0FB45DE8" w14:textId="1FD08019" w:rsidR="00470AE4" w:rsidRPr="00C63860" w:rsidRDefault="00C63860" w:rsidP="00470AE4">
            <w:pPr>
              <w:jc w:val="center"/>
            </w:pPr>
            <w:r w:rsidRPr="00C63860">
              <w:rPr>
                <w:color w:val="00B0F0"/>
              </w:rPr>
              <w:t>–2</w:t>
            </w:r>
            <w:r w:rsidR="00470AE4" w:rsidRPr="00C63860">
              <w:t>.7</w:t>
            </w:r>
          </w:p>
        </w:tc>
      </w:tr>
      <w:tr w:rsidR="00C15B66" w:rsidRPr="00C63860" w14:paraId="23A40593" w14:textId="77777777" w:rsidTr="00C63860">
        <w:trPr>
          <w:cantSplit/>
        </w:trPr>
        <w:tc>
          <w:tcPr>
            <w:tcW w:w="0" w:type="auto"/>
            <w:gridSpan w:val="6"/>
            <w:shd w:val="clear" w:color="000000" w:fill="FFFFFF"/>
            <w:vAlign w:val="center"/>
          </w:tcPr>
          <w:p w14:paraId="685518C4" w14:textId="5D062CBE" w:rsidR="00470AE4" w:rsidRPr="00C63860" w:rsidRDefault="00470AE4" w:rsidP="00470AE4">
            <w:pPr>
              <w:rPr>
                <w:rFonts w:eastAsia="DengXian"/>
                <w:sz w:val="21"/>
                <w:szCs w:val="21"/>
                <w:lang w:eastAsia="zh-CN"/>
              </w:rPr>
            </w:pPr>
            <w:r w:rsidRPr="00C63860">
              <w:rPr>
                <w:rFonts w:eastAsia="DengXian"/>
                <w:sz w:val="21"/>
                <w:szCs w:val="21"/>
                <w:lang w:eastAsia="zh-CN"/>
              </w:rPr>
              <w:t xml:space="preserve">All results are changes in percentage points unless stated. </w:t>
            </w:r>
            <w:r w:rsidRPr="00C63860">
              <w:rPr>
                <w:rFonts w:eastAsia="DengXian"/>
                <w:sz w:val="21"/>
                <w:szCs w:val="21"/>
                <w:vertAlign w:val="superscript"/>
                <w:lang w:eastAsia="zh-CN"/>
              </w:rPr>
              <w:t>a</w:t>
            </w:r>
            <w:r w:rsidRPr="00C63860">
              <w:rPr>
                <w:rFonts w:eastAsia="DengXian"/>
                <w:sz w:val="21"/>
                <w:szCs w:val="21"/>
                <w:lang w:eastAsia="zh-CN"/>
              </w:rPr>
              <w:t xml:space="preserve">Percentage of </w:t>
            </w:r>
            <w:r w:rsidR="00C63860" w:rsidRPr="00C63860">
              <w:rPr>
                <w:rFonts w:eastAsia="DengXian"/>
                <w:color w:val="00B0F0"/>
                <w:sz w:val="21"/>
                <w:szCs w:val="21"/>
                <w:lang w:eastAsia="zh-CN"/>
              </w:rPr>
              <w:t>patients who</w:t>
            </w:r>
            <w:r w:rsidRPr="00C63860">
              <w:rPr>
                <w:rFonts w:eastAsia="DengXian"/>
                <w:sz w:val="21"/>
                <w:szCs w:val="21"/>
                <w:lang w:eastAsia="zh-CN"/>
              </w:rPr>
              <w:t xml:space="preserve"> received a procedure with a prevalence that exceeded 1% volume in the index admission (See Section 4.2.3).</w:t>
            </w:r>
          </w:p>
        </w:tc>
      </w:tr>
    </w:tbl>
    <w:p w14:paraId="214E9C64" w14:textId="77777777" w:rsidR="00C63860" w:rsidRPr="00C63860" w:rsidRDefault="00C63860" w:rsidP="00470AE4">
      <w:pPr>
        <w:rPr>
          <w:b/>
          <w:bCs/>
        </w:rPr>
      </w:pPr>
    </w:p>
    <w:p w14:paraId="248BBA56" w14:textId="0ED3F4B2" w:rsidR="00C63860" w:rsidRPr="00C63860" w:rsidRDefault="00C63860" w:rsidP="00B660E0">
      <w:pPr>
        <w:pStyle w:val="Caption"/>
        <w:rPr>
          <w:b/>
          <w:bCs/>
          <w:iCs w:val="0"/>
          <w:color w:val="auto"/>
          <w:sz w:val="22"/>
          <w:szCs w:val="22"/>
        </w:rPr>
      </w:pPr>
      <w:bookmarkStart w:id="89" w:name="_Toc86670858"/>
      <w:r w:rsidRPr="00C63860">
        <w:rPr>
          <w:b/>
          <w:bCs/>
          <w:color w:val="FF0000"/>
          <w:sz w:val="22"/>
          <w:szCs w:val="22"/>
        </w:rPr>
        <w:t xml:space="preserve">Figure </w:t>
      </w:r>
      <w:r w:rsidRPr="00C63860">
        <w:rPr>
          <w:b/>
          <w:bCs/>
          <w:noProof/>
          <w:color w:val="FF0000"/>
          <w:sz w:val="22"/>
          <w:szCs w:val="22"/>
        </w:rPr>
        <w:t>18</w:t>
      </w:r>
      <w:r w:rsidR="00B660E0" w:rsidRPr="00C63860">
        <w:rPr>
          <w:b/>
          <w:bCs/>
          <w:color w:val="auto"/>
          <w:sz w:val="22"/>
          <w:szCs w:val="22"/>
        </w:rPr>
        <w:t>: Estimated Incremental Net Monetary Benefits (INBs) (£GBP) of emergency surgery (ES) versus non-emergency surgery (NES) strategies for appendicitis subgroups</w:t>
      </w:r>
      <w:bookmarkEnd w:id="89"/>
    </w:p>
    <w:p w14:paraId="63B87EBB" w14:textId="6210F1D0" w:rsidR="00C63860" w:rsidRPr="00C63860" w:rsidRDefault="00C63860" w:rsidP="00814CCA">
      <w:pPr>
        <w:pStyle w:val="Caption"/>
        <w:rPr>
          <w:b/>
          <w:bCs/>
          <w:iCs w:val="0"/>
          <w:color w:val="auto"/>
          <w:sz w:val="22"/>
          <w:szCs w:val="22"/>
        </w:rPr>
      </w:pPr>
      <w:bookmarkStart w:id="90" w:name="_Toc86670859"/>
      <w:r w:rsidRPr="00C63860">
        <w:rPr>
          <w:b/>
          <w:bCs/>
          <w:color w:val="FF0000"/>
          <w:sz w:val="22"/>
          <w:szCs w:val="22"/>
        </w:rPr>
        <w:t xml:space="preserve">Figure </w:t>
      </w:r>
      <w:r w:rsidRPr="00C63860">
        <w:rPr>
          <w:b/>
          <w:bCs/>
          <w:noProof/>
          <w:color w:val="FF0000"/>
          <w:sz w:val="22"/>
          <w:szCs w:val="22"/>
        </w:rPr>
        <w:t>19</w:t>
      </w:r>
      <w:r w:rsidR="00814CCA" w:rsidRPr="00C63860">
        <w:rPr>
          <w:b/>
          <w:bCs/>
          <w:color w:val="auto"/>
          <w:sz w:val="22"/>
          <w:szCs w:val="22"/>
        </w:rPr>
        <w:t>: Estimated Incremental Net Monetary Benefits (INBs) (£GBP) of emergency surgery (ES) versus non-emergency surgery (NES) strategies for cholelithiasis subgroups</w:t>
      </w:r>
      <w:bookmarkEnd w:id="90"/>
    </w:p>
    <w:p w14:paraId="1284AEFA" w14:textId="7213C4E3" w:rsidR="00C63860" w:rsidRPr="00C63860" w:rsidRDefault="00C63860" w:rsidP="00814CCA">
      <w:pPr>
        <w:pStyle w:val="Caption"/>
        <w:rPr>
          <w:b/>
          <w:bCs/>
          <w:iCs w:val="0"/>
          <w:color w:val="auto"/>
          <w:sz w:val="22"/>
          <w:szCs w:val="22"/>
        </w:rPr>
      </w:pPr>
      <w:bookmarkStart w:id="91" w:name="_Toc86670860"/>
      <w:r w:rsidRPr="00C63860">
        <w:rPr>
          <w:b/>
          <w:bCs/>
          <w:color w:val="FF0000"/>
          <w:sz w:val="22"/>
          <w:szCs w:val="22"/>
        </w:rPr>
        <w:t xml:space="preserve">Figure </w:t>
      </w:r>
      <w:r w:rsidRPr="00C63860">
        <w:rPr>
          <w:b/>
          <w:bCs/>
          <w:noProof/>
          <w:color w:val="FF0000"/>
          <w:sz w:val="22"/>
          <w:szCs w:val="22"/>
        </w:rPr>
        <w:t>20</w:t>
      </w:r>
      <w:r w:rsidR="00814CCA" w:rsidRPr="00C63860">
        <w:rPr>
          <w:b/>
          <w:bCs/>
          <w:color w:val="auto"/>
          <w:sz w:val="22"/>
          <w:szCs w:val="22"/>
        </w:rPr>
        <w:t>: Estimated Incremental Net Monetary Benefits (INBs) (£GBP) of emergency surgery (ES) versus non-emergency surgery (NES) strategies for diverticular disease subgroups</w:t>
      </w:r>
      <w:bookmarkEnd w:id="91"/>
    </w:p>
    <w:p w14:paraId="3FF94C3B" w14:textId="07111680" w:rsidR="00C63860" w:rsidRPr="00C63860" w:rsidRDefault="00C63860" w:rsidP="00814CCA">
      <w:pPr>
        <w:pStyle w:val="Caption"/>
        <w:rPr>
          <w:b/>
          <w:bCs/>
          <w:iCs w:val="0"/>
          <w:color w:val="auto"/>
          <w:sz w:val="22"/>
          <w:szCs w:val="22"/>
        </w:rPr>
      </w:pPr>
      <w:bookmarkStart w:id="92" w:name="_Toc86670861"/>
      <w:r w:rsidRPr="00C63860">
        <w:rPr>
          <w:b/>
          <w:bCs/>
          <w:color w:val="FF0000"/>
          <w:sz w:val="22"/>
          <w:szCs w:val="22"/>
        </w:rPr>
        <w:t xml:space="preserve">Figure </w:t>
      </w:r>
      <w:r w:rsidRPr="00C63860">
        <w:rPr>
          <w:b/>
          <w:bCs/>
          <w:noProof/>
          <w:color w:val="FF0000"/>
          <w:sz w:val="22"/>
          <w:szCs w:val="22"/>
        </w:rPr>
        <w:t>21</w:t>
      </w:r>
      <w:r w:rsidR="00814CCA" w:rsidRPr="00C63860">
        <w:rPr>
          <w:b/>
          <w:bCs/>
          <w:color w:val="auto"/>
          <w:sz w:val="22"/>
          <w:szCs w:val="22"/>
        </w:rPr>
        <w:t>: Estimated Incremental Net Monetary Benefits (INBs) (£GBP) of emergency surgery (ES) versus non-emergency surgery (NES) strategies for hernia subgroups</w:t>
      </w:r>
      <w:bookmarkEnd w:id="92"/>
    </w:p>
    <w:p w14:paraId="23096B48" w14:textId="371CF902" w:rsidR="00C63860" w:rsidRPr="00C63860" w:rsidRDefault="00C63860" w:rsidP="00814CCA">
      <w:pPr>
        <w:pStyle w:val="Caption"/>
        <w:rPr>
          <w:b/>
          <w:bCs/>
          <w:iCs w:val="0"/>
          <w:color w:val="auto"/>
          <w:sz w:val="22"/>
          <w:szCs w:val="22"/>
        </w:rPr>
      </w:pPr>
      <w:bookmarkStart w:id="93" w:name="_Toc86670862"/>
      <w:r w:rsidRPr="00C63860">
        <w:rPr>
          <w:b/>
          <w:bCs/>
          <w:color w:val="FF0000"/>
          <w:sz w:val="22"/>
          <w:szCs w:val="22"/>
        </w:rPr>
        <w:t xml:space="preserve">Figure </w:t>
      </w:r>
      <w:r w:rsidRPr="00C63860">
        <w:rPr>
          <w:b/>
          <w:bCs/>
          <w:noProof/>
          <w:color w:val="FF0000"/>
          <w:sz w:val="22"/>
          <w:szCs w:val="22"/>
        </w:rPr>
        <w:t>22</w:t>
      </w:r>
      <w:r w:rsidR="00814CCA" w:rsidRPr="00C63860">
        <w:rPr>
          <w:b/>
          <w:bCs/>
          <w:color w:val="auto"/>
          <w:sz w:val="22"/>
          <w:szCs w:val="22"/>
        </w:rPr>
        <w:t>: Estimated Incremental Net Monetary Benefits (INBs) (£GBP) of emergency surgery (ES) versus non-emergency surgery (NES) strategies for intestinal obstruction subgroups</w:t>
      </w:r>
      <w:bookmarkEnd w:id="93"/>
    </w:p>
    <w:p w14:paraId="3BD036D1" w14:textId="5AAF5170" w:rsidR="00C63860" w:rsidRPr="00C63860" w:rsidRDefault="00C63860" w:rsidP="00814CCA">
      <w:pPr>
        <w:pStyle w:val="Caption"/>
        <w:rPr>
          <w:b/>
          <w:bCs/>
          <w:color w:val="auto"/>
          <w:sz w:val="22"/>
          <w:szCs w:val="22"/>
        </w:rPr>
      </w:pPr>
      <w:bookmarkStart w:id="94" w:name="_Toc86670863"/>
      <w:r w:rsidRPr="00C63860">
        <w:rPr>
          <w:b/>
          <w:bCs/>
          <w:color w:val="FF0000"/>
          <w:sz w:val="22"/>
          <w:szCs w:val="22"/>
        </w:rPr>
        <w:t xml:space="preserve">Figure </w:t>
      </w:r>
      <w:r w:rsidRPr="00C63860">
        <w:rPr>
          <w:b/>
          <w:bCs/>
          <w:noProof/>
          <w:color w:val="FF0000"/>
          <w:sz w:val="22"/>
          <w:szCs w:val="22"/>
        </w:rPr>
        <w:t>23</w:t>
      </w:r>
      <w:r w:rsidR="00814CCA" w:rsidRPr="00C63860">
        <w:rPr>
          <w:b/>
          <w:bCs/>
          <w:color w:val="auto"/>
          <w:sz w:val="22"/>
          <w:szCs w:val="22"/>
        </w:rPr>
        <w:t>: Cost-effectiveness plane of person-</w:t>
      </w:r>
      <w:r w:rsidRPr="00C63860">
        <w:rPr>
          <w:b/>
          <w:bCs/>
          <w:color w:val="00B0F0"/>
          <w:sz w:val="22"/>
          <w:szCs w:val="22"/>
        </w:rPr>
        <w:t>centred</w:t>
      </w:r>
      <w:r w:rsidR="00814CCA" w:rsidRPr="00C63860">
        <w:rPr>
          <w:b/>
          <w:bCs/>
          <w:color w:val="auto"/>
          <w:sz w:val="22"/>
          <w:szCs w:val="22"/>
        </w:rPr>
        <w:t xml:space="preserve"> treatment effects for costs (£GBP) and Quality-Adjusted </w:t>
      </w:r>
      <w:r w:rsidRPr="00C63860">
        <w:rPr>
          <w:b/>
          <w:bCs/>
          <w:color w:val="00B0F0"/>
          <w:sz w:val="22"/>
          <w:szCs w:val="22"/>
        </w:rPr>
        <w:t>Life-year</w:t>
      </w:r>
      <w:r w:rsidR="00814CCA" w:rsidRPr="00C63860">
        <w:rPr>
          <w:b/>
          <w:bCs/>
          <w:color w:val="auto"/>
          <w:sz w:val="22"/>
          <w:szCs w:val="22"/>
        </w:rPr>
        <w:t>s (QALYs) for appendicitis</w:t>
      </w:r>
      <w:bookmarkEnd w:id="94"/>
    </w:p>
    <w:p w14:paraId="7EA5D041" w14:textId="6D309688" w:rsidR="00C63860" w:rsidRPr="00C63860" w:rsidRDefault="00C63860" w:rsidP="00814CCA">
      <w:pPr>
        <w:pStyle w:val="Caption"/>
        <w:rPr>
          <w:b/>
          <w:bCs/>
          <w:color w:val="auto"/>
          <w:sz w:val="22"/>
          <w:szCs w:val="22"/>
        </w:rPr>
      </w:pPr>
      <w:bookmarkStart w:id="95" w:name="_Toc86670864"/>
      <w:r w:rsidRPr="00C63860">
        <w:rPr>
          <w:b/>
          <w:bCs/>
          <w:color w:val="FF0000"/>
          <w:sz w:val="22"/>
          <w:szCs w:val="22"/>
        </w:rPr>
        <w:t xml:space="preserve">Figure </w:t>
      </w:r>
      <w:r w:rsidRPr="00C63860">
        <w:rPr>
          <w:b/>
          <w:bCs/>
          <w:noProof/>
          <w:color w:val="FF0000"/>
          <w:sz w:val="22"/>
          <w:szCs w:val="22"/>
        </w:rPr>
        <w:t>24</w:t>
      </w:r>
      <w:r w:rsidR="00814CCA" w:rsidRPr="00C63860">
        <w:rPr>
          <w:b/>
          <w:bCs/>
          <w:color w:val="auto"/>
          <w:sz w:val="22"/>
          <w:szCs w:val="22"/>
        </w:rPr>
        <w:t>: Cost-effectiveness plane of person-</w:t>
      </w:r>
      <w:r w:rsidRPr="00C63860">
        <w:rPr>
          <w:b/>
          <w:bCs/>
          <w:color w:val="00B0F0"/>
          <w:sz w:val="22"/>
          <w:szCs w:val="22"/>
        </w:rPr>
        <w:t>centred</w:t>
      </w:r>
      <w:r w:rsidR="00814CCA" w:rsidRPr="00C63860">
        <w:rPr>
          <w:b/>
          <w:bCs/>
          <w:color w:val="auto"/>
          <w:sz w:val="22"/>
          <w:szCs w:val="22"/>
        </w:rPr>
        <w:t xml:space="preserve"> treatment effects for costs (£GBP) and Quality-Adjusted </w:t>
      </w:r>
      <w:r w:rsidRPr="00C63860">
        <w:rPr>
          <w:b/>
          <w:bCs/>
          <w:color w:val="00B0F0"/>
          <w:sz w:val="22"/>
          <w:szCs w:val="22"/>
        </w:rPr>
        <w:t>Life-year</w:t>
      </w:r>
      <w:r w:rsidR="00814CCA" w:rsidRPr="00C63860">
        <w:rPr>
          <w:b/>
          <w:bCs/>
          <w:color w:val="auto"/>
          <w:sz w:val="22"/>
          <w:szCs w:val="22"/>
        </w:rPr>
        <w:t>s (QALYs) for cholelithiasis</w:t>
      </w:r>
      <w:bookmarkEnd w:id="95"/>
    </w:p>
    <w:p w14:paraId="5CAD6323" w14:textId="6AE23FA2" w:rsidR="00C63860" w:rsidRPr="00C63860" w:rsidRDefault="00C63860" w:rsidP="006F7532">
      <w:pPr>
        <w:pStyle w:val="Caption"/>
        <w:rPr>
          <w:b/>
          <w:bCs/>
          <w:color w:val="auto"/>
          <w:sz w:val="22"/>
          <w:szCs w:val="22"/>
        </w:rPr>
      </w:pPr>
      <w:bookmarkStart w:id="96" w:name="_Toc86670865"/>
      <w:r w:rsidRPr="00C63860">
        <w:rPr>
          <w:b/>
          <w:bCs/>
          <w:color w:val="FF0000"/>
          <w:sz w:val="22"/>
          <w:szCs w:val="22"/>
        </w:rPr>
        <w:t xml:space="preserve">Figure </w:t>
      </w:r>
      <w:r w:rsidRPr="00C63860">
        <w:rPr>
          <w:b/>
          <w:bCs/>
          <w:noProof/>
          <w:color w:val="FF0000"/>
          <w:sz w:val="22"/>
          <w:szCs w:val="22"/>
        </w:rPr>
        <w:t>25</w:t>
      </w:r>
      <w:r w:rsidR="006F7532" w:rsidRPr="00C63860">
        <w:rPr>
          <w:b/>
          <w:bCs/>
          <w:color w:val="auto"/>
          <w:sz w:val="22"/>
          <w:szCs w:val="22"/>
        </w:rPr>
        <w:t>: Cost-effectiveness plane of person-</w:t>
      </w:r>
      <w:r w:rsidRPr="00C63860">
        <w:rPr>
          <w:b/>
          <w:bCs/>
          <w:color w:val="00B0F0"/>
          <w:sz w:val="22"/>
          <w:szCs w:val="22"/>
        </w:rPr>
        <w:t>centred</w:t>
      </w:r>
      <w:r w:rsidR="006F7532" w:rsidRPr="00C63860">
        <w:rPr>
          <w:b/>
          <w:bCs/>
          <w:color w:val="auto"/>
          <w:sz w:val="22"/>
          <w:szCs w:val="22"/>
        </w:rPr>
        <w:t xml:space="preserve"> treatment effects for costs (£GBP) and Quality-Adjusted </w:t>
      </w:r>
      <w:r w:rsidRPr="00C63860">
        <w:rPr>
          <w:b/>
          <w:bCs/>
          <w:color w:val="00B0F0"/>
          <w:sz w:val="22"/>
          <w:szCs w:val="22"/>
        </w:rPr>
        <w:t>Life-year</w:t>
      </w:r>
      <w:r w:rsidR="006F7532" w:rsidRPr="00C63860">
        <w:rPr>
          <w:b/>
          <w:bCs/>
          <w:color w:val="auto"/>
          <w:sz w:val="22"/>
          <w:szCs w:val="22"/>
        </w:rPr>
        <w:t>s (QALYs) for diverticular disease</w:t>
      </w:r>
      <w:bookmarkEnd w:id="96"/>
    </w:p>
    <w:p w14:paraId="469AC86F" w14:textId="7036E749" w:rsidR="00C63860" w:rsidRPr="00C63860" w:rsidRDefault="00C63860" w:rsidP="006F7532">
      <w:pPr>
        <w:pStyle w:val="Caption"/>
        <w:rPr>
          <w:b/>
          <w:bCs/>
          <w:color w:val="auto"/>
          <w:sz w:val="22"/>
          <w:szCs w:val="22"/>
        </w:rPr>
      </w:pPr>
      <w:bookmarkStart w:id="97" w:name="_Toc86670866"/>
      <w:r w:rsidRPr="00C63860">
        <w:rPr>
          <w:b/>
          <w:bCs/>
          <w:color w:val="FF0000"/>
          <w:sz w:val="22"/>
          <w:szCs w:val="22"/>
        </w:rPr>
        <w:t xml:space="preserve">Figure </w:t>
      </w:r>
      <w:r w:rsidRPr="00C63860">
        <w:rPr>
          <w:b/>
          <w:bCs/>
          <w:noProof/>
          <w:color w:val="FF0000"/>
          <w:sz w:val="22"/>
          <w:szCs w:val="22"/>
        </w:rPr>
        <w:t>26</w:t>
      </w:r>
      <w:r w:rsidR="006F7532" w:rsidRPr="00C63860">
        <w:rPr>
          <w:b/>
          <w:bCs/>
          <w:color w:val="auto"/>
          <w:sz w:val="22"/>
          <w:szCs w:val="22"/>
        </w:rPr>
        <w:t>: Cost-effectiveness plane of person-</w:t>
      </w:r>
      <w:r w:rsidRPr="00C63860">
        <w:rPr>
          <w:b/>
          <w:bCs/>
          <w:color w:val="00B0F0"/>
          <w:sz w:val="22"/>
          <w:szCs w:val="22"/>
        </w:rPr>
        <w:t>centred</w:t>
      </w:r>
      <w:r w:rsidR="006F7532" w:rsidRPr="00C63860">
        <w:rPr>
          <w:b/>
          <w:bCs/>
          <w:color w:val="auto"/>
          <w:sz w:val="22"/>
          <w:szCs w:val="22"/>
        </w:rPr>
        <w:t xml:space="preserve"> treatment effects for costs (£GBP) and Quality-Adjusted </w:t>
      </w:r>
      <w:r w:rsidRPr="00C63860">
        <w:rPr>
          <w:b/>
          <w:bCs/>
          <w:color w:val="00B0F0"/>
          <w:sz w:val="22"/>
          <w:szCs w:val="22"/>
        </w:rPr>
        <w:t>Life-year</w:t>
      </w:r>
      <w:r w:rsidR="006F7532" w:rsidRPr="00C63860">
        <w:rPr>
          <w:b/>
          <w:bCs/>
          <w:color w:val="auto"/>
          <w:sz w:val="22"/>
          <w:szCs w:val="22"/>
        </w:rPr>
        <w:t>s (QALYs) for hernia</w:t>
      </w:r>
      <w:bookmarkEnd w:id="97"/>
    </w:p>
    <w:p w14:paraId="576BA809" w14:textId="7B8BCC43" w:rsidR="00C63860" w:rsidRPr="00C63860" w:rsidRDefault="00C63860" w:rsidP="00BC4F71">
      <w:pPr>
        <w:spacing w:after="160" w:line="259" w:lineRule="auto"/>
        <w:rPr>
          <w:b/>
          <w:bCs/>
        </w:rPr>
      </w:pPr>
      <w:bookmarkStart w:id="98" w:name="_Toc86670867"/>
      <w:r w:rsidRPr="00C63860">
        <w:rPr>
          <w:b/>
          <w:bCs/>
          <w:i/>
          <w:color w:val="FF0000"/>
        </w:rPr>
        <w:t xml:space="preserve">Figure </w:t>
      </w:r>
      <w:r w:rsidRPr="00C63860">
        <w:rPr>
          <w:b/>
          <w:bCs/>
          <w:i/>
          <w:noProof/>
          <w:color w:val="FF0000"/>
        </w:rPr>
        <w:t>27</w:t>
      </w:r>
      <w:r w:rsidR="006F7532" w:rsidRPr="00C63860">
        <w:rPr>
          <w:b/>
          <w:bCs/>
        </w:rPr>
        <w:t>: Cost-effectiveness plane of person-</w:t>
      </w:r>
      <w:r w:rsidRPr="00C63860">
        <w:rPr>
          <w:b/>
          <w:bCs/>
          <w:color w:val="00B0F0"/>
        </w:rPr>
        <w:t>centred</w:t>
      </w:r>
      <w:r w:rsidR="006F7532" w:rsidRPr="00C63860">
        <w:rPr>
          <w:b/>
          <w:bCs/>
        </w:rPr>
        <w:t xml:space="preserve"> treatment effects for costs (£GBP) and Quality-Adjusted </w:t>
      </w:r>
      <w:r w:rsidRPr="00C63860">
        <w:rPr>
          <w:b/>
          <w:bCs/>
          <w:color w:val="00B0F0"/>
        </w:rPr>
        <w:t>Life-year</w:t>
      </w:r>
      <w:r w:rsidR="006F7532" w:rsidRPr="00C63860">
        <w:rPr>
          <w:b/>
          <w:bCs/>
        </w:rPr>
        <w:t>s (QALYs) for intestinal obstruction</w:t>
      </w:r>
      <w:bookmarkEnd w:id="79"/>
      <w:bookmarkEnd w:id="98"/>
    </w:p>
    <w:p w14:paraId="5AD894A1" w14:textId="2C0F0626" w:rsidR="00470AE4" w:rsidRPr="00C63860" w:rsidRDefault="00470AE4" w:rsidP="00BC4F71">
      <w:pPr>
        <w:spacing w:before="240" w:after="240" w:line="276" w:lineRule="auto"/>
      </w:pPr>
      <w:r w:rsidRPr="00C63860">
        <w:rPr>
          <w:b/>
          <w:bCs/>
          <w:sz w:val="28"/>
          <w:szCs w:val="28"/>
        </w:rPr>
        <w:t>4.4 Discussion</w:t>
      </w:r>
    </w:p>
    <w:p w14:paraId="085898E6" w14:textId="5E3B120F" w:rsidR="00C63860" w:rsidRPr="00C63860" w:rsidRDefault="00470AE4" w:rsidP="00BC4F71">
      <w:pPr>
        <w:spacing w:before="240" w:after="240" w:line="276" w:lineRule="auto"/>
      </w:pPr>
      <w:r w:rsidRPr="00C63860">
        <w:t xml:space="preserve">This CEA finds that for each of these five acute conditions presenting as emergency admissions, neither ES nor NES strategies were more cost-effective after applying an IV approach to address confounding. The mean INBs were surrounded by 95% CIs that included zero for all five conditions. For patients with abdominal wall hernia, ES led to a small increase in mean QALYs </w:t>
      </w:r>
      <w:r w:rsidR="00D94903" w:rsidRPr="00C63860">
        <w:t>and in</w:t>
      </w:r>
      <w:r w:rsidRPr="00C63860">
        <w:t xml:space="preserve"> mean costs at one year. For the other four conditions the mean costs and mean QALYs were similar for the ES versus NES strategies. The finding that any overall difference between the comparison groups in average cost were moderate and uncertain, reflected that, while the mean index admission costs were higher for the ES versus NES groups, the proportion</w:t>
      </w:r>
      <w:r w:rsidR="00D94903" w:rsidRPr="00C63860">
        <w:t>s</w:t>
      </w:r>
      <w:r w:rsidRPr="00C63860">
        <w:t xml:space="preserve"> of patients who were readmitted to hospital before one year, were higher in the NES versus ES groups (</w:t>
      </w:r>
      <w:r w:rsidR="00C63860" w:rsidRPr="00C63860">
        <w:rPr>
          <w:i/>
          <w:color w:val="FF0000"/>
        </w:rPr>
        <w:t>Table 16</w:t>
      </w:r>
      <w:r w:rsidRPr="00C63860">
        <w:t>).</w:t>
      </w:r>
    </w:p>
    <w:p w14:paraId="59CFD646" w14:textId="66D752A3" w:rsidR="00C63860" w:rsidRPr="00C63860" w:rsidRDefault="00470AE4" w:rsidP="00BC4F71">
      <w:pPr>
        <w:spacing w:before="240" w:after="240" w:line="276" w:lineRule="auto"/>
      </w:pPr>
      <w:r w:rsidRPr="00C63860">
        <w:t>Beneath these overall findings, the CEA identified differences in relative cost-effectiveness according to patient subgroup. For patients with severe frailty, the mean costs were higher (</w:t>
      </w:r>
      <w:r w:rsidRPr="00C63860">
        <w:rPr>
          <w:rFonts w:cstheme="minorHAnsi"/>
        </w:rPr>
        <w:t>Appendix 6)</w:t>
      </w:r>
      <w:r w:rsidRPr="00C63860">
        <w:t>, the average QALYs lower (</w:t>
      </w:r>
      <w:r w:rsidRPr="00C63860">
        <w:rPr>
          <w:rFonts w:cstheme="minorHAnsi"/>
        </w:rPr>
        <w:t>Appendix 6)</w:t>
      </w:r>
      <w:r w:rsidRPr="00C63860">
        <w:t>, and hence the estimated INBs were negative following ES versus NES strategies (</w:t>
      </w:r>
      <w:r w:rsidR="00C63860" w:rsidRPr="00C63860">
        <w:rPr>
          <w:i/>
          <w:color w:val="FF0000"/>
        </w:rPr>
        <w:t>Table 20</w:t>
      </w:r>
      <w:r w:rsidRPr="00C63860">
        <w:t xml:space="preserve">). Conversely for subgroups of patients who were </w:t>
      </w:r>
      <w:r w:rsidR="00C63860" w:rsidRPr="00C63860">
        <w:rPr>
          <w:color w:val="00B0F0"/>
        </w:rPr>
        <w:t>‘</w:t>
      </w:r>
      <w:r w:rsidR="006F6056" w:rsidRPr="00C63860">
        <w:t>fit</w:t>
      </w:r>
      <w:r w:rsidR="00C63860" w:rsidRPr="00C63860">
        <w:rPr>
          <w:color w:val="00B0F0"/>
        </w:rPr>
        <w:t>’</w:t>
      </w:r>
      <w:r w:rsidRPr="00C63860">
        <w:t>, or without co-morbidities, the ES strategies tended to be more cost-effective (</w:t>
      </w:r>
      <w:r w:rsidR="00C63860" w:rsidRPr="00C63860">
        <w:rPr>
          <w:i/>
          <w:color w:val="FF0000"/>
        </w:rPr>
        <w:t>Table 20</w:t>
      </w:r>
      <w:r w:rsidRPr="00C63860">
        <w:t xml:space="preserve">). The subgroup findings reflected the higher risks of all-cause mortality were in the ES versus NES group for patients with severe frailty, </w:t>
      </w:r>
      <w:r w:rsidR="008A44AD" w:rsidRPr="00C63860">
        <w:t xml:space="preserve">and </w:t>
      </w:r>
      <w:r w:rsidRPr="00C63860">
        <w:t xml:space="preserve">more comorbidities (apart from for patients with diverticular disease). Conversely, ES strategies were generally more cost-effective for those with lower baseline risks of death, such as patients who were </w:t>
      </w:r>
      <w:r w:rsidR="00C63860" w:rsidRPr="00C63860">
        <w:rPr>
          <w:color w:val="00B0F0"/>
        </w:rPr>
        <w:t>‘</w:t>
      </w:r>
      <w:r w:rsidR="006F6056" w:rsidRPr="00C63860">
        <w:t>fit</w:t>
      </w:r>
      <w:r w:rsidR="00C63860" w:rsidRPr="00C63860">
        <w:rPr>
          <w:color w:val="00B0F0"/>
        </w:rPr>
        <w:t>’</w:t>
      </w:r>
      <w:r w:rsidR="008A44AD" w:rsidRPr="00C63860">
        <w:t xml:space="preserve"> </w:t>
      </w:r>
      <w:r w:rsidRPr="00C63860">
        <w:t>and without comorbidities.</w:t>
      </w:r>
    </w:p>
    <w:p w14:paraId="6CD2DCF4" w14:textId="415B7092" w:rsidR="00470AE4" w:rsidRPr="00C63860" w:rsidRDefault="00470AE4" w:rsidP="00BC4F71">
      <w:pPr>
        <w:spacing w:before="240" w:after="240" w:line="276" w:lineRule="auto"/>
        <w:rPr>
          <w:iCs/>
        </w:rPr>
      </w:pPr>
      <w:r w:rsidRPr="00C63860">
        <w:rPr>
          <w:iCs/>
        </w:rPr>
        <w:t>This paper contributes to the limited previous literature evaluating the cost-effectiveness of ES for these common acute gastrointestinal conditions. For patients with acute appendicitis some previous studies have suggested that NES strategies can reduce average costs.</w:t>
      </w:r>
      <w:r w:rsidRPr="00C63860">
        <w:rPr>
          <w:iCs/>
          <w:noProof/>
          <w:vertAlign w:val="superscript"/>
        </w:rPr>
        <w:t>8, 21</w:t>
      </w:r>
      <w:r w:rsidRPr="00C63860">
        <w:rPr>
          <w:iCs/>
        </w:rPr>
        <w:t xml:space="preserve"> These studies reported that around 20% of patients in the NES arm had append</w:t>
      </w:r>
      <w:r w:rsidR="00EA0A39" w:rsidRPr="00C63860">
        <w:rPr>
          <w:iCs/>
        </w:rPr>
        <w:t>ic</w:t>
      </w:r>
      <w:r w:rsidRPr="00C63860">
        <w:rPr>
          <w:iCs/>
        </w:rPr>
        <w:t>ectomies by 90 days</w:t>
      </w:r>
      <w:r w:rsidRPr="00C63860">
        <w:rPr>
          <w:iCs/>
          <w:noProof/>
          <w:vertAlign w:val="superscript"/>
        </w:rPr>
        <w:t>21</w:t>
      </w:r>
      <w:r w:rsidRPr="00C63860">
        <w:rPr>
          <w:iCs/>
        </w:rPr>
        <w:t xml:space="preserve"> and one year,</w:t>
      </w:r>
      <w:r w:rsidRPr="00C63860">
        <w:rPr>
          <w:iCs/>
          <w:noProof/>
          <w:vertAlign w:val="superscript"/>
        </w:rPr>
        <w:t>8, 23</w:t>
      </w:r>
      <w:r w:rsidRPr="00C63860">
        <w:rPr>
          <w:iCs/>
        </w:rPr>
        <w:t xml:space="preserve"> but that these additional costs of the NES strategy were insufficient to offer the additional costs of ES within the index admission. The ESORT study results differed in that almost all the ES group would have had </w:t>
      </w:r>
      <w:r w:rsidR="00554E7D" w:rsidRPr="00C63860">
        <w:rPr>
          <w:iCs/>
        </w:rPr>
        <w:t>appendicectomy</w:t>
      </w:r>
      <w:r w:rsidRPr="00C63860">
        <w:rPr>
          <w:iCs/>
        </w:rPr>
        <w:t xml:space="preserve"> by laparoscopic rather than open repair, the broad inclusion criteria would have included complicated as well as uncomplicated appendicitis, and those with suspected appendicitis that did not have clinical</w:t>
      </w:r>
      <w:r w:rsidR="008A44AD" w:rsidRPr="00C63860">
        <w:rPr>
          <w:iCs/>
        </w:rPr>
        <w:t>ly, or radiologically-confirmed</w:t>
      </w:r>
      <w:r w:rsidRPr="00C63860">
        <w:rPr>
          <w:iCs/>
        </w:rPr>
        <w:t xml:space="preserve"> diagnos</w:t>
      </w:r>
      <w:r w:rsidR="008A44AD" w:rsidRPr="00C63860">
        <w:rPr>
          <w:iCs/>
        </w:rPr>
        <w:t>e</w:t>
      </w:r>
      <w:r w:rsidRPr="00C63860">
        <w:rPr>
          <w:iCs/>
        </w:rPr>
        <w:t>s. In the ESORT study, the NES group, had rates of readmission and reintervention that led to sufficiently higher cost</w:t>
      </w:r>
      <w:r w:rsidR="00CB0ECC" w:rsidRPr="00C63860">
        <w:rPr>
          <w:iCs/>
        </w:rPr>
        <w:t>s</w:t>
      </w:r>
      <w:r w:rsidRPr="00C63860">
        <w:rPr>
          <w:iCs/>
        </w:rPr>
        <w:t xml:space="preserve"> to offset the additional index admission costs of the ES strategy (</w:t>
      </w:r>
      <w:r w:rsidR="00C63860" w:rsidRPr="00C63860">
        <w:rPr>
          <w:i/>
          <w:iCs/>
          <w:color w:val="FF0000"/>
        </w:rPr>
        <w:t>Table 16</w:t>
      </w:r>
      <w:r w:rsidRPr="00C63860">
        <w:rPr>
          <w:iCs/>
        </w:rPr>
        <w:t>). The difference between the ESORT study versus these previous cost results, may reflect these differences in the study design, and that unlike the 90-day results for the COVID-Harem study</w:t>
      </w:r>
      <w:r w:rsidRPr="00C63860">
        <w:rPr>
          <w:iCs/>
          <w:noProof/>
          <w:vertAlign w:val="superscript"/>
        </w:rPr>
        <w:t>21</w:t>
      </w:r>
      <w:r w:rsidRPr="00C63860">
        <w:rPr>
          <w:iCs/>
        </w:rPr>
        <w:t xml:space="preserve">, the ESORT follow-up extended to one year (base case) and five years (sensitivity analyses), and therefore included higher (adjusted) rates of readmission and reintervention in the NES versus ES strategy groups </w:t>
      </w:r>
      <w:r w:rsidR="00CB0ECC" w:rsidRPr="00C63860">
        <w:rPr>
          <w:iCs/>
        </w:rPr>
        <w:t>beyond</w:t>
      </w:r>
      <w:r w:rsidRPr="00C63860">
        <w:rPr>
          <w:iCs/>
        </w:rPr>
        <w:t xml:space="preserve"> 90-days.</w:t>
      </w:r>
    </w:p>
    <w:p w14:paraId="0C044313" w14:textId="498F6D9E" w:rsidR="00C63860" w:rsidRPr="00C63860" w:rsidRDefault="00470AE4" w:rsidP="00BC4F71">
      <w:pPr>
        <w:spacing w:before="240" w:after="240" w:line="276" w:lineRule="auto"/>
      </w:pPr>
      <w:r w:rsidRPr="00C63860">
        <w:rPr>
          <w:iCs/>
        </w:rPr>
        <w:t xml:space="preserve">For patients with acute </w:t>
      </w:r>
      <w:r w:rsidRPr="00C63860">
        <w:t xml:space="preserve">cholelithiasis, the ESORT study differed from CEA based on decision-models which found that </w:t>
      </w:r>
      <w:r w:rsidR="00C63860" w:rsidRPr="00C63860">
        <w:rPr>
          <w:color w:val="00B0F0"/>
        </w:rPr>
        <w:t>‘</w:t>
      </w:r>
      <w:r w:rsidR="006F6056" w:rsidRPr="00C63860">
        <w:t>early</w:t>
      </w:r>
      <w:r w:rsidR="00C63860" w:rsidRPr="00C63860">
        <w:rPr>
          <w:color w:val="00B0F0"/>
        </w:rPr>
        <w:t>’</w:t>
      </w:r>
      <w:r w:rsidRPr="00C63860">
        <w:t xml:space="preserve"> versus </w:t>
      </w:r>
      <w:r w:rsidR="00C63860" w:rsidRPr="00C63860">
        <w:rPr>
          <w:color w:val="00B0F0"/>
        </w:rPr>
        <w:t>‘</w:t>
      </w:r>
      <w:r w:rsidR="006F6056" w:rsidRPr="00C63860">
        <w:t>delayed</w:t>
      </w:r>
      <w:r w:rsidR="00C63860" w:rsidRPr="00C63860">
        <w:rPr>
          <w:color w:val="00B0F0"/>
        </w:rPr>
        <w:t>’</w:t>
      </w:r>
      <w:r w:rsidRPr="00C63860">
        <w:t xml:space="preserve"> cholecystectomy was less costly and more effective,</w:t>
      </w:r>
      <w:r w:rsidRPr="00C63860">
        <w:rPr>
          <w:noProof/>
          <w:vertAlign w:val="superscript"/>
        </w:rPr>
        <w:t>25, 93</w:t>
      </w:r>
      <w:r w:rsidRPr="00C63860">
        <w:t xml:space="preserve"> and more cost-effective.</w:t>
      </w:r>
      <w:r w:rsidRPr="00C63860">
        <w:rPr>
          <w:noProof/>
          <w:vertAlign w:val="superscript"/>
        </w:rPr>
        <w:t>26</w:t>
      </w:r>
      <w:r w:rsidRPr="00C63860">
        <w:t xml:space="preserve"> Our results also differed from a trial-based CEA, which found that delayed cholecystectomy was more cost-effective than early cholecystectomy.</w:t>
      </w:r>
      <w:r w:rsidRPr="00C63860">
        <w:rPr>
          <w:noProof/>
          <w:vertAlign w:val="superscript"/>
        </w:rPr>
        <w:t>27</w:t>
      </w:r>
      <w:r w:rsidRPr="00C63860">
        <w:t xml:space="preserve"> The distinguishing feature</w:t>
      </w:r>
      <w:r w:rsidR="00D94903" w:rsidRPr="00C63860">
        <w:t>s</w:t>
      </w:r>
      <w:r w:rsidRPr="00C63860">
        <w:t xml:space="preserve"> of the ESORT study </w:t>
      </w:r>
      <w:r w:rsidR="00D94903" w:rsidRPr="00C63860">
        <w:t>are</w:t>
      </w:r>
      <w:r w:rsidRPr="00C63860">
        <w:t xml:space="preserve"> that it had broader eligibility criteria that either the RCT or cohort studies underlying the previous CEA, considered readmissions and reinterventions for up to one year (rather than 30 days), and unlike the previous cohort studies used an advanced quantitative approach (IV estimation) to balance confounding factors between the groups. A fundamental difference between the ESORT study and the </w:t>
      </w:r>
      <w:r w:rsidRPr="00C63860">
        <w:rPr>
          <w:highlight w:val="magenta"/>
        </w:rPr>
        <w:t>preceding</w:t>
      </w:r>
      <w:r w:rsidRPr="00C63860">
        <w:t xml:space="preserve"> CEA was that previous studies defined the comparator group as those having </w:t>
      </w:r>
      <w:r w:rsidR="00C63860" w:rsidRPr="00C63860">
        <w:rPr>
          <w:color w:val="00B0F0"/>
        </w:rPr>
        <w:t>‘</w:t>
      </w:r>
      <w:r w:rsidR="006F6056" w:rsidRPr="00C63860">
        <w:t>delayed surgery</w:t>
      </w:r>
      <w:r w:rsidR="00C63860" w:rsidRPr="00C63860">
        <w:rPr>
          <w:color w:val="00B0F0"/>
        </w:rPr>
        <w:t>’</w:t>
      </w:r>
      <w:r w:rsidRPr="00C63860">
        <w:t xml:space="preserve"> who may have been different in prognosis to those who had </w:t>
      </w:r>
      <w:r w:rsidR="00C63860" w:rsidRPr="00C63860">
        <w:rPr>
          <w:color w:val="00B0F0"/>
        </w:rPr>
        <w:t>‘</w:t>
      </w:r>
      <w:r w:rsidR="006F6056" w:rsidRPr="00C63860">
        <w:t>early surgery</w:t>
      </w:r>
      <w:r w:rsidR="00C63860" w:rsidRPr="00C63860">
        <w:rPr>
          <w:color w:val="00B0F0"/>
        </w:rPr>
        <w:t>’</w:t>
      </w:r>
      <w:r w:rsidRPr="00C63860">
        <w:t xml:space="preserve">. By contrast in the ESORT study, the ES versus NES groups were defined at the same point in time (when they were seen by a surgeon), and the IV approach aimed to balance the patient characteristics at that timepoint. A key reason why the ESORT study found that average costs were similar at one year between the comparison groups is that while the NES strategy arm did have rates of readmission and (re)intervention after the index admission that were higher than for the ES strategy, group, the differences in adjusted rates (53.4 vs </w:t>
      </w:r>
      <w:r w:rsidRPr="00C63860">
        <w:rPr>
          <w:rFonts w:cstheme="minorHAnsi"/>
        </w:rPr>
        <w:t>83.3</w:t>
      </w:r>
      <w:r w:rsidRPr="00C63860">
        <w:t xml:space="preserve"> for readmission, 19.2 vs </w:t>
      </w:r>
      <w:r w:rsidRPr="00C63860">
        <w:rPr>
          <w:rFonts w:cstheme="minorHAnsi"/>
        </w:rPr>
        <w:t>63.2</w:t>
      </w:r>
      <w:r w:rsidRPr="00C63860">
        <w:t xml:space="preserve"> for (re)intervention) were relatively small.</w:t>
      </w:r>
    </w:p>
    <w:p w14:paraId="168C9E9E" w14:textId="155C2BAD" w:rsidR="00470AE4" w:rsidRPr="00C63860" w:rsidRDefault="00470AE4" w:rsidP="00BC4F71">
      <w:pPr>
        <w:spacing w:before="240" w:after="240" w:line="276" w:lineRule="auto"/>
        <w:rPr>
          <w:iCs/>
        </w:rPr>
      </w:pPr>
      <w:r w:rsidRPr="00C63860">
        <w:t>For patients with acute diverticular disease and abdominal wall hernia, previous CEA of surgery versus watchful waiting have been undertaken in the elective setting,</w:t>
      </w:r>
      <w:r w:rsidRPr="00C63860">
        <w:rPr>
          <w:noProof/>
          <w:vertAlign w:val="superscript"/>
        </w:rPr>
        <w:t>94, 95</w:t>
      </w:r>
      <w:r w:rsidRPr="00C63860">
        <w:t xml:space="preserve"> but there are no precedent CEA of direct relevance to compare to the ESORT study. For patients with intestinal obstruction, the ESORT study included a broad range of patients, including those admitted with cancer diagnoses, and those with adhesions from previous surgery. Previous CEA have found NES (stenting) to be cost-effective for patients with incurable large bowel obstruction,</w:t>
      </w:r>
      <w:r w:rsidRPr="00C63860">
        <w:rPr>
          <w:noProof/>
          <w:vertAlign w:val="superscript"/>
        </w:rPr>
        <w:t>85</w:t>
      </w:r>
      <w:r w:rsidRPr="00C63860">
        <w:t xml:space="preserve"> and that ES was cost-effective for patients with ﻿adhesive small bowel obstruction.</w:t>
      </w:r>
      <w:r w:rsidRPr="00C63860">
        <w:rPr>
          <w:noProof/>
          <w:vertAlign w:val="superscript"/>
        </w:rPr>
        <w:t>96</w:t>
      </w:r>
    </w:p>
    <w:p w14:paraId="4F983A93" w14:textId="77D5FF34" w:rsidR="00C63860" w:rsidRPr="00C63860" w:rsidRDefault="00470AE4" w:rsidP="00BC4F71">
      <w:pPr>
        <w:spacing w:before="240" w:after="240" w:line="276" w:lineRule="auto"/>
        <w:rPr>
          <w:iCs/>
        </w:rPr>
      </w:pPr>
      <w:r w:rsidRPr="00C63860">
        <w:rPr>
          <w:iCs/>
        </w:rPr>
        <w:t>The ESORT study has several strengths. First, the CEA extended the previously validated IV approach,</w:t>
      </w:r>
      <w:r w:rsidRPr="00C63860">
        <w:rPr>
          <w:iCs/>
          <w:noProof/>
          <w:vertAlign w:val="superscript"/>
        </w:rPr>
        <w:t>20</w:t>
      </w:r>
      <w:r w:rsidRPr="00C63860">
        <w:rPr>
          <w:iCs/>
        </w:rPr>
        <w:t xml:space="preserve"> used in the assessment of clinical effectiveness (Chapter 3), to the CEA context. The study exemplified how an IV approach can be applied to EHR </w:t>
      </w:r>
      <w:r w:rsidRPr="00C63860">
        <w:rPr>
          <w:iCs/>
          <w:highlight w:val="magenta"/>
        </w:rPr>
        <w:t>data</w:t>
      </w:r>
      <w:r w:rsidRPr="00C63860">
        <w:rPr>
          <w:iCs/>
        </w:rPr>
        <w:t xml:space="preserve"> to address confounding and heterogeneity in providing cost-effectiveness estimates overall, and according to patient subgroup. This study therefore addresses a gap in the applied methods literature; a review of CEA that used observational </w:t>
      </w:r>
      <w:r w:rsidRPr="00C63860">
        <w:rPr>
          <w:iCs/>
          <w:highlight w:val="magenta"/>
        </w:rPr>
        <w:t>data</w:t>
      </w:r>
      <w:r w:rsidRPr="00C63860">
        <w:rPr>
          <w:iCs/>
        </w:rPr>
        <w:t xml:space="preserve"> highlighted that less than 5% of studies used IV approaches.</w:t>
      </w:r>
      <w:r w:rsidRPr="00C63860">
        <w:rPr>
          <w:iCs/>
          <w:noProof/>
          <w:vertAlign w:val="superscript"/>
        </w:rPr>
        <w:t>97</w:t>
      </w:r>
      <w:r w:rsidRPr="00C63860">
        <w:rPr>
          <w:iCs/>
        </w:rPr>
        <w:t xml:space="preserve"> In addition, the LIV approach fully recognises heterogeneity, but has not previously been applied to CEA. In extending the LIV approach to the CEA context, it was necessary to allow for individual-level correlation between costs and outcomes. It was also important to apply appropriate costs models for handling the highly right-skewed nature of the cost </w:t>
      </w:r>
      <w:r w:rsidRPr="00C63860">
        <w:rPr>
          <w:iCs/>
          <w:highlight w:val="magenta"/>
        </w:rPr>
        <w:t>data</w:t>
      </w:r>
      <w:r w:rsidRPr="00C63860">
        <w:rPr>
          <w:iCs/>
        </w:rPr>
        <w:t>, notably for conditions such as diverticular disease and intestinal obstruction which included patients with extremely high one-year costs (in excess of £100,000). The LIV approach provided cost-effectiveness estimates according to the subgroups of interest. For appendicitis, cholelithiasis and hernia, the LIV approach (base case), provided similar cost-effectiveness estimates to those from regression approaches that assumed all confounding factors were observed (SA6) (</w:t>
      </w:r>
      <w:r w:rsidR="00C63860" w:rsidRPr="00C63860">
        <w:rPr>
          <w:i/>
          <w:iCs/>
          <w:color w:val="FF0000"/>
        </w:rPr>
        <w:t>Table 18</w:t>
      </w:r>
      <w:r w:rsidRPr="00C63860">
        <w:rPr>
          <w:iCs/>
        </w:rPr>
        <w:t xml:space="preserve">). For patients with acute diverticular disease and intestinal obstruction, the regression analysis provided quite different results to the LIV method. The most plausible explanation for these differences is that for these conditions, the choice of ES versus NES strategy was informed by baseline prognostic factors that are not available within the HES </w:t>
      </w:r>
      <w:r w:rsidRPr="00C63860">
        <w:rPr>
          <w:iCs/>
          <w:highlight w:val="magenta"/>
        </w:rPr>
        <w:t>data</w:t>
      </w:r>
      <w:r w:rsidRPr="00C63860">
        <w:rPr>
          <w:iCs/>
        </w:rPr>
        <w:t>, for example patients</w:t>
      </w:r>
      <w:r w:rsidR="00C63860" w:rsidRPr="00C63860">
        <w:rPr>
          <w:iCs/>
          <w:color w:val="00B0F0"/>
        </w:rPr>
        <w:t>’</w:t>
      </w:r>
      <w:r w:rsidRPr="00C63860">
        <w:rPr>
          <w:iCs/>
        </w:rPr>
        <w:t xml:space="preserve"> disease stage. Hence, it seems plausible that patients with these acute conditions who were of worse prognosis according to unobserved baseline measures, were more likely to receive ES than NES. Although the IV approach was able to ensure that these factors were balanced between the comparison groups, the regression analysis was subject to residual confounding in favour of the NES strategy group.</w:t>
      </w:r>
    </w:p>
    <w:p w14:paraId="48FD5FA5" w14:textId="1A8DDE5C" w:rsidR="00470AE4" w:rsidRPr="00C63860" w:rsidRDefault="00470AE4" w:rsidP="00BC4F71">
      <w:pPr>
        <w:spacing w:before="240" w:after="240" w:line="276" w:lineRule="auto"/>
        <w:rPr>
          <w:iCs/>
        </w:rPr>
      </w:pPr>
      <w:r w:rsidRPr="00C63860">
        <w:rPr>
          <w:iCs/>
        </w:rPr>
        <w:t xml:space="preserve">Second, the application of IV methods to CEA raised the danger of imprecise estimates. While the overall CEA estimates were indeed uncertain, the large representative samples of patients enabled the study to report sufficiently precise subgroup results. The study therefore demonstrates the value of applying IV approaches to CEA, with concerns addressed at the study design stage, by undertaking sample size calculations using pilot </w:t>
      </w:r>
      <w:r w:rsidRPr="00C63860">
        <w:rPr>
          <w:iCs/>
          <w:highlight w:val="magenta"/>
        </w:rPr>
        <w:t>data</w:t>
      </w:r>
      <w:r w:rsidRPr="00C63860">
        <w:rPr>
          <w:iCs/>
        </w:rPr>
        <w:t xml:space="preserve"> as part of pre-specified analysis plans (see statistical analysis plan on project webpage), and including sufficient hospitals (175), and time periods (10 years), to provide estimates with sufficient precision at subgroup level.</w:t>
      </w:r>
    </w:p>
    <w:p w14:paraId="4C9076E9" w14:textId="77777777" w:rsidR="00C63860" w:rsidRPr="00C63860" w:rsidRDefault="00470AE4" w:rsidP="00BC4F71">
      <w:pPr>
        <w:spacing w:before="240" w:after="240" w:line="276" w:lineRule="auto"/>
      </w:pPr>
      <w:r w:rsidRPr="00C63860">
        <w:rPr>
          <w:iCs/>
        </w:rPr>
        <w:t xml:space="preserve">Third, the HES </w:t>
      </w:r>
      <w:r w:rsidRPr="00C63860">
        <w:rPr>
          <w:iCs/>
          <w:highlight w:val="magenta"/>
        </w:rPr>
        <w:t>data</w:t>
      </w:r>
      <w:r w:rsidRPr="00C63860">
        <w:rPr>
          <w:iCs/>
        </w:rPr>
        <w:t xml:space="preserve">, while having common features of EHR </w:t>
      </w:r>
      <w:r w:rsidRPr="00C63860">
        <w:rPr>
          <w:iCs/>
          <w:highlight w:val="magenta"/>
        </w:rPr>
        <w:t>data</w:t>
      </w:r>
      <w:r w:rsidRPr="00C63860">
        <w:rPr>
          <w:iCs/>
        </w:rPr>
        <w:t xml:space="preserve"> (notably the potential for confounding and heterogeneity), were of generally high-quality with baseline covariates, all-cause mortality and resource use </w:t>
      </w:r>
      <w:r w:rsidRPr="00C63860">
        <w:rPr>
          <w:iCs/>
          <w:highlight w:val="magenta"/>
        </w:rPr>
        <w:t>data</w:t>
      </w:r>
      <w:r w:rsidRPr="00C63860">
        <w:rPr>
          <w:iCs/>
        </w:rPr>
        <w:t xml:space="preserve"> available for ~95% of patients. Economic evaluations that use routine </w:t>
      </w:r>
      <w:r w:rsidRPr="00C63860">
        <w:rPr>
          <w:iCs/>
          <w:highlight w:val="magenta"/>
        </w:rPr>
        <w:t>data</w:t>
      </w:r>
      <w:r w:rsidRPr="00C63860">
        <w:rPr>
          <w:iCs/>
        </w:rPr>
        <w:t xml:space="preserve"> face inevitable challenges, above and beyond those that face comparative effectiveness studies. CEA are required to offer a comprehensive description of the comparison groups. For both groups, the information available on defining the strategies was limited to that available from the OPCS procedure codes. The information available from OPCS procedure codes was sufficient to categorise patients into the ES versus NES strategy groups, and to define use of specific operative procedures in both comparison groups, but it did not provide </w:t>
      </w:r>
      <w:r w:rsidR="00EA0A39" w:rsidRPr="00C63860">
        <w:rPr>
          <w:iCs/>
        </w:rPr>
        <w:t xml:space="preserve">full </w:t>
      </w:r>
      <w:r w:rsidRPr="00C63860">
        <w:rPr>
          <w:iCs/>
        </w:rPr>
        <w:t xml:space="preserve">information about non-operative strategies, for example use of antibiotics for patients with uncomplicated acute appendicitis. </w:t>
      </w:r>
      <w:r w:rsidRPr="00C63860">
        <w:t xml:space="preserve">It is possible that the HES </w:t>
      </w:r>
      <w:r w:rsidRPr="00C63860">
        <w:rPr>
          <w:highlight w:val="magenta"/>
        </w:rPr>
        <w:t>data</w:t>
      </w:r>
      <w:r w:rsidRPr="00C63860">
        <w:t xml:space="preserve"> were subject to coding errors which were then incorporated into the estimates of cost and cost-effectiveness, though previous research found that costs estimated from HES </w:t>
      </w:r>
      <w:r w:rsidRPr="00C63860">
        <w:rPr>
          <w:highlight w:val="magenta"/>
        </w:rPr>
        <w:t>data</w:t>
      </w:r>
      <w:r w:rsidRPr="00C63860">
        <w:t>, were very similar to those derived from medical records.</w:t>
      </w:r>
      <w:r w:rsidRPr="00C63860">
        <w:rPr>
          <w:noProof/>
          <w:vertAlign w:val="superscript"/>
        </w:rPr>
        <w:t>98</w:t>
      </w:r>
    </w:p>
    <w:p w14:paraId="5FDD2F13" w14:textId="531FDF41" w:rsidR="00C63860" w:rsidRPr="00C63860" w:rsidRDefault="00470AE4" w:rsidP="00BC4F71">
      <w:pPr>
        <w:spacing w:before="240" w:after="240" w:line="276" w:lineRule="auto"/>
      </w:pPr>
      <w:r w:rsidRPr="00C63860">
        <w:t xml:space="preserve">The base case analysis took a one-year time horizon. This time horizon was judged to be sufficient to capture important differences between the comparator groups, such as differences in all-cause mortality or readmissions. The advantage of this time horizon is that it enabled all patients to be included in the analysis without censoring, or making assumptions about future costs and outcomes, beyond the observed </w:t>
      </w:r>
      <w:r w:rsidRPr="00C63860">
        <w:rPr>
          <w:highlight w:val="magenta"/>
        </w:rPr>
        <w:t>data</w:t>
      </w:r>
      <w:r w:rsidRPr="00C63860">
        <w:t>. The sensitivity analyses found that the overall results were similar if the time horizon was extended to five years. For patients with appendicitis or diverticular disease, the sensitivity analysis suggested that the point estimates for the INB were somewhat different with the five- versus one- year time horizon (</w:t>
      </w:r>
      <w:r w:rsidR="00C63860" w:rsidRPr="00C63860">
        <w:rPr>
          <w:i/>
          <w:color w:val="FF0000"/>
        </w:rPr>
        <w:t>Table 18</w:t>
      </w:r>
      <w:r w:rsidRPr="00C63860">
        <w:t>), but this sensitivity analysis should be interpreted with caution. These five-year results were highly uncertain with 95% CI that overlap the base case estimates and reflected the much-reduced sample sizes. The extended time horizon raised additional concerns for the IV approach, in that the underlying assumption that the hospital</w:t>
      </w:r>
      <w:r w:rsidR="00C63860" w:rsidRPr="00C63860">
        <w:rPr>
          <w:color w:val="00B0F0"/>
        </w:rPr>
        <w:t>’</w:t>
      </w:r>
      <w:r w:rsidRPr="00C63860">
        <w:t>s TTO had no direct effect on the endpoints, beyond that through the comparison groups, was less tenable over the longer time horizon.</w:t>
      </w:r>
    </w:p>
    <w:p w14:paraId="64392A87" w14:textId="626507C5" w:rsidR="00470AE4" w:rsidRPr="00C63860" w:rsidRDefault="00470AE4" w:rsidP="00BC4F71">
      <w:pPr>
        <w:spacing w:before="240" w:after="240" w:line="276" w:lineRule="auto"/>
      </w:pPr>
      <w:r w:rsidRPr="00C63860">
        <w:t xml:space="preserve">The CEA did not take the recommended perspective of agencies such as NICE and consider all costs from the health and personal social services perspective. The study only included inpatient costs as the required resource use measures were available from the HES </w:t>
      </w:r>
      <w:r w:rsidRPr="00C63860">
        <w:rPr>
          <w:highlight w:val="magenta"/>
        </w:rPr>
        <w:t>data</w:t>
      </w:r>
      <w:r w:rsidRPr="00C63860">
        <w:t xml:space="preserve">, </w:t>
      </w:r>
      <w:r w:rsidR="35840B7B" w:rsidRPr="00C63860">
        <w:t>while</w:t>
      </w:r>
      <w:r w:rsidRPr="00C63860">
        <w:t xml:space="preserve"> previous literature suggested were likely to be the main driver of the incremental costs</w:t>
      </w:r>
      <w:r w:rsidR="35840B7B" w:rsidRPr="00C63860">
        <w:t>, it does raise the concern that for some patient groups who might have had high use of NHS-funded social care,</w:t>
      </w:r>
      <w:r w:rsidR="00C63860" w:rsidRPr="00C63860">
        <w:rPr>
          <w:color w:val="00B0F0"/>
        </w:rPr>
        <w:t xml:space="preserve"> e.g. </w:t>
      </w:r>
      <w:r w:rsidR="35840B7B" w:rsidRPr="00C63860">
        <w:t>those with severe levels of frailty, incremental costs were underestimated</w:t>
      </w:r>
      <w:r w:rsidRPr="00C63860">
        <w:t xml:space="preserve"> While, the ESORT study could have also used linked </w:t>
      </w:r>
      <w:r w:rsidRPr="00C63860">
        <w:rPr>
          <w:highlight w:val="magenta"/>
        </w:rPr>
        <w:t>data</w:t>
      </w:r>
      <w:r w:rsidRPr="00C63860">
        <w:t xml:space="preserve"> on HES outpatient </w:t>
      </w:r>
      <w:r w:rsidRPr="00C63860">
        <w:rPr>
          <w:highlight w:val="magenta"/>
        </w:rPr>
        <w:t>data</w:t>
      </w:r>
      <w:r w:rsidRPr="00C63860">
        <w:t xml:space="preserve">, these </w:t>
      </w:r>
      <w:r w:rsidRPr="00C63860">
        <w:rPr>
          <w:highlight w:val="magenta"/>
        </w:rPr>
        <w:t>data</w:t>
      </w:r>
      <w:r w:rsidRPr="00C63860">
        <w:t xml:space="preserve"> are of poor quality, and likely to be inaccurate. Similarly, while information could have been used on patients</w:t>
      </w:r>
      <w:r w:rsidR="00C63860" w:rsidRPr="00C63860">
        <w:rPr>
          <w:color w:val="00B0F0"/>
        </w:rPr>
        <w:t>’</w:t>
      </w:r>
      <w:r w:rsidRPr="00C63860">
        <w:t xml:space="preserve"> discharge destination (e.g. care home) this was judged unreliable, and its use would have required further </w:t>
      </w:r>
      <w:r w:rsidR="35840B7B" w:rsidRPr="00C63860">
        <w:t>untestable assumptions. An alternative approach would have been to survey samples of patients and their carers, and ask them about their use of health and personal social services outwith the acute hospital. However, this approach would have added to the study</w:t>
      </w:r>
      <w:r w:rsidR="00C63860" w:rsidRPr="00C63860">
        <w:rPr>
          <w:color w:val="00B0F0"/>
        </w:rPr>
        <w:t>’</w:t>
      </w:r>
      <w:r w:rsidR="35840B7B" w:rsidRPr="00C63860">
        <w:t xml:space="preserve">s burden and duration, and is prone to problems of missing </w:t>
      </w:r>
      <w:r w:rsidR="35840B7B" w:rsidRPr="00C63860">
        <w:rPr>
          <w:highlight w:val="magenta"/>
        </w:rPr>
        <w:t>data</w:t>
      </w:r>
      <w:r w:rsidR="35840B7B" w:rsidRPr="00C63860">
        <w:t xml:space="preserve"> and recall bias.</w:t>
      </w:r>
      <w:r w:rsidR="00C63860" w:rsidRPr="00C63860">
        <w:t xml:space="preserve"> </w:t>
      </w:r>
      <w:r w:rsidRPr="00C63860">
        <w:t>Previous CEA of ES versus NES strategies for patients with acute appendicitis,</w:t>
      </w:r>
      <w:r w:rsidRPr="00C63860">
        <w:rPr>
          <w:noProof/>
          <w:vertAlign w:val="superscript"/>
        </w:rPr>
        <w:t>21</w:t>
      </w:r>
      <w:r w:rsidRPr="00C63860">
        <w:t xml:space="preserve"> and of alternative forms of ES for patients with ruptured aortic aneurisms,</w:t>
      </w:r>
      <w:r w:rsidRPr="00C63860">
        <w:rPr>
          <w:noProof/>
          <w:vertAlign w:val="superscript"/>
        </w:rPr>
        <w:t>77</w:t>
      </w:r>
      <w:r w:rsidRPr="00C63860">
        <w:t xml:space="preserve"> both reported that the main drivers of relative costs of the alternative strategies are inpatient costs.</w:t>
      </w:r>
    </w:p>
    <w:p w14:paraId="01EFEC1F" w14:textId="6C9F6AF3" w:rsidR="00C63860" w:rsidRPr="00C63860" w:rsidRDefault="00470AE4" w:rsidP="00BC4F71">
      <w:pPr>
        <w:spacing w:before="240" w:after="240" w:line="276" w:lineRule="auto"/>
        <w:rPr>
          <w:rFonts w:cstheme="minorHAnsi"/>
        </w:rPr>
      </w:pPr>
      <w:r w:rsidRPr="00C63860">
        <w:rPr>
          <w:rFonts w:cstheme="minorHAnsi"/>
        </w:rPr>
        <w:t xml:space="preserve">Finally, in common with any approach to address confounding, the implementation of the LIV methods made assumptions; in particular, that the relationships of the covariates and the IV, with both the treatment receipt and the outcomes were correctly specified. Here, more flexible </w:t>
      </w:r>
      <w:r w:rsidRPr="00C63860">
        <w:rPr>
          <w:rFonts w:cstheme="minorHAnsi"/>
          <w:highlight w:val="magenta"/>
        </w:rPr>
        <w:t>data</w:t>
      </w:r>
      <w:r w:rsidRPr="00C63860">
        <w:rPr>
          <w:rFonts w:cstheme="minorHAnsi"/>
        </w:rPr>
        <w:t>-adaptive approaches may be helpful, though they have not yet been extended to this context.</w:t>
      </w:r>
      <w:r w:rsidRPr="00C63860">
        <w:t xml:space="preserve"> </w:t>
      </w:r>
      <w:r w:rsidRPr="00C63860">
        <w:rPr>
          <w:rFonts w:cstheme="minorHAnsi"/>
        </w:rPr>
        <w:t>A further consideration is that subgroup analyses presented here represent the average estimated effect</w:t>
      </w:r>
      <w:r w:rsidR="00C63860" w:rsidRPr="00C63860">
        <w:rPr>
          <w:rFonts w:cstheme="minorHAnsi"/>
        </w:rPr>
        <w:t xml:space="preserve"> </w:t>
      </w:r>
      <w:r w:rsidRPr="00C63860">
        <w:rPr>
          <w:rFonts w:cstheme="minorHAnsi"/>
        </w:rPr>
        <w:t xml:space="preserve">for individuals within the group, rather than the causal effect of group membership per se. While the subgroups used here were pre-specified within a statistical analysis plan, in other contexts spurious subgroup effects may be obtained by </w:t>
      </w:r>
      <w:r w:rsidR="00C63860" w:rsidRPr="00C63860">
        <w:rPr>
          <w:rFonts w:cstheme="minorHAnsi"/>
          <w:color w:val="00B0F0"/>
        </w:rPr>
        <w:t>‘</w:t>
      </w:r>
      <w:r w:rsidR="006F6056" w:rsidRPr="00C63860">
        <w:rPr>
          <w:rFonts w:cstheme="minorHAnsi"/>
          <w:i/>
          <w:color w:val="00B0F0"/>
        </w:rPr>
        <w:t>p</w:t>
      </w:r>
      <w:r w:rsidR="006F6056" w:rsidRPr="00C63860">
        <w:rPr>
          <w:rFonts w:cstheme="minorHAnsi"/>
        </w:rPr>
        <w:t>-hacking</w:t>
      </w:r>
      <w:r w:rsidR="00C63860" w:rsidRPr="00C63860">
        <w:rPr>
          <w:rFonts w:cstheme="minorHAnsi"/>
          <w:color w:val="00B0F0"/>
        </w:rPr>
        <w:t>’</w:t>
      </w:r>
      <w:r w:rsidRPr="00C63860">
        <w:rPr>
          <w:rFonts w:cstheme="minorHAnsi"/>
        </w:rPr>
        <w:t>.</w:t>
      </w:r>
      <w:r w:rsidRPr="00C63860">
        <w:rPr>
          <w:rFonts w:cstheme="minorHAnsi"/>
          <w:noProof/>
          <w:vertAlign w:val="superscript"/>
        </w:rPr>
        <w:t>99</w:t>
      </w:r>
    </w:p>
    <w:p w14:paraId="16E4C0D8" w14:textId="66A7D1CE" w:rsidR="00017D43" w:rsidRPr="00C63860" w:rsidRDefault="00C63860" w:rsidP="00017D43">
      <w:pPr>
        <w:pStyle w:val="Caption"/>
        <w:rPr>
          <w:b/>
          <w:bCs/>
          <w:color w:val="auto"/>
          <w:sz w:val="22"/>
          <w:szCs w:val="22"/>
        </w:rPr>
      </w:pPr>
      <w:bookmarkStart w:id="99" w:name="_Toc86670792"/>
      <w:r w:rsidRPr="00C63860">
        <w:rPr>
          <w:b/>
          <w:bCs/>
          <w:color w:val="FF0000"/>
          <w:sz w:val="22"/>
          <w:szCs w:val="22"/>
        </w:rPr>
        <w:t xml:space="preserve">Table </w:t>
      </w:r>
      <w:r w:rsidRPr="00C63860">
        <w:rPr>
          <w:b/>
          <w:bCs/>
          <w:noProof/>
          <w:color w:val="FF0000"/>
          <w:sz w:val="22"/>
          <w:szCs w:val="22"/>
        </w:rPr>
        <w:t>20</w:t>
      </w:r>
      <w:r w:rsidR="00017D43" w:rsidRPr="00C63860">
        <w:rPr>
          <w:b/>
          <w:bCs/>
          <w:color w:val="auto"/>
          <w:sz w:val="22"/>
          <w:szCs w:val="22"/>
        </w:rPr>
        <w:t>: Estimated incremental net monetary benefit (INB, £GBP 2019/20) of emergency surgery (ES) versus non-strategy surgery (NES), overall and by subgroups</w:t>
      </w:r>
      <w:bookmarkEnd w:id="99"/>
    </w:p>
    <w:p w14:paraId="226561EE" w14:textId="128D6863" w:rsidR="00AC251F" w:rsidRPr="00C63860" w:rsidRDefault="00AC251F" w:rsidP="00AC251F">
      <w:pPr>
        <w:rPr>
          <w:i/>
          <w:color w:val="FF0000"/>
        </w:rPr>
      </w:pPr>
      <w:r w:rsidRPr="00C63860">
        <w:rPr>
          <w:i/>
          <w:color w:val="FF0000"/>
        </w:rPr>
        <w:t>&lt;&lt;Typesetter: retain table shading&gt;&gt;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682"/>
        <w:gridCol w:w="1516"/>
        <w:gridCol w:w="1459"/>
        <w:gridCol w:w="1543"/>
        <w:gridCol w:w="1413"/>
        <w:gridCol w:w="1413"/>
      </w:tblGrid>
      <w:tr w:rsidR="00470AE4" w:rsidRPr="00C63860" w14:paraId="5014182C" w14:textId="77777777" w:rsidTr="00C63860">
        <w:trPr>
          <w:cantSplit/>
        </w:trPr>
        <w:tc>
          <w:tcPr>
            <w:tcW w:w="0" w:type="auto"/>
          </w:tcPr>
          <w:p w14:paraId="47D074D4" w14:textId="77777777" w:rsidR="00470AE4" w:rsidRPr="00C63860" w:rsidRDefault="00470AE4" w:rsidP="00470AE4">
            <w:pPr>
              <w:spacing w:after="160"/>
              <w:contextualSpacing/>
              <w:jc w:val="center"/>
            </w:pPr>
          </w:p>
        </w:tc>
        <w:tc>
          <w:tcPr>
            <w:tcW w:w="0" w:type="auto"/>
          </w:tcPr>
          <w:p w14:paraId="231EB811" w14:textId="77777777" w:rsidR="00470AE4" w:rsidRPr="00C63860" w:rsidRDefault="00470AE4" w:rsidP="00470AE4">
            <w:pPr>
              <w:spacing w:after="160"/>
              <w:contextualSpacing/>
              <w:jc w:val="center"/>
            </w:pPr>
            <w:r w:rsidRPr="00C63860">
              <w:rPr>
                <w:b/>
                <w:bCs/>
              </w:rPr>
              <w:t>Acute appendicitis (N=268,144)</w:t>
            </w:r>
          </w:p>
        </w:tc>
        <w:tc>
          <w:tcPr>
            <w:tcW w:w="0" w:type="auto"/>
          </w:tcPr>
          <w:p w14:paraId="448977F9" w14:textId="77777777" w:rsidR="00C63860" w:rsidRPr="00C63860" w:rsidRDefault="00470AE4" w:rsidP="00470AE4">
            <w:pPr>
              <w:spacing w:after="160"/>
              <w:contextualSpacing/>
              <w:jc w:val="center"/>
              <w:rPr>
                <w:b/>
                <w:bCs/>
              </w:rPr>
            </w:pPr>
            <w:r w:rsidRPr="00C63860">
              <w:rPr>
                <w:b/>
                <w:bCs/>
              </w:rPr>
              <w:t>Cholelithiasis</w:t>
            </w:r>
          </w:p>
          <w:p w14:paraId="3FA0A991" w14:textId="65248183" w:rsidR="00470AE4" w:rsidRPr="00C63860" w:rsidRDefault="00470AE4" w:rsidP="00470AE4">
            <w:pPr>
              <w:spacing w:after="160"/>
              <w:contextualSpacing/>
              <w:jc w:val="center"/>
              <w:rPr>
                <w:b/>
                <w:bCs/>
              </w:rPr>
            </w:pPr>
            <w:r w:rsidRPr="00C63860">
              <w:rPr>
                <w:b/>
                <w:bCs/>
              </w:rPr>
              <w:t>(N= 240,977)</w:t>
            </w:r>
          </w:p>
        </w:tc>
        <w:tc>
          <w:tcPr>
            <w:tcW w:w="0" w:type="auto"/>
          </w:tcPr>
          <w:p w14:paraId="119604C2" w14:textId="77777777" w:rsidR="00470AE4" w:rsidRPr="00C63860" w:rsidRDefault="00470AE4" w:rsidP="00470AE4">
            <w:pPr>
              <w:spacing w:after="160"/>
              <w:contextualSpacing/>
              <w:jc w:val="center"/>
            </w:pPr>
            <w:r w:rsidRPr="00C63860">
              <w:rPr>
                <w:b/>
                <w:bCs/>
              </w:rPr>
              <w:t>Diverticular disease (N=138,869)</w:t>
            </w:r>
          </w:p>
        </w:tc>
        <w:tc>
          <w:tcPr>
            <w:tcW w:w="0" w:type="auto"/>
          </w:tcPr>
          <w:p w14:paraId="05D25537" w14:textId="77777777" w:rsidR="00C63860" w:rsidRPr="00C63860" w:rsidRDefault="00470AE4" w:rsidP="00470AE4">
            <w:pPr>
              <w:spacing w:after="160"/>
              <w:contextualSpacing/>
              <w:jc w:val="center"/>
              <w:rPr>
                <w:b/>
                <w:bCs/>
              </w:rPr>
            </w:pPr>
            <w:r w:rsidRPr="00C63860">
              <w:rPr>
                <w:b/>
                <w:bCs/>
              </w:rPr>
              <w:t>Hernia</w:t>
            </w:r>
          </w:p>
          <w:p w14:paraId="3889F51D" w14:textId="68CC6F2F" w:rsidR="00470AE4" w:rsidRPr="00C63860" w:rsidRDefault="00470AE4" w:rsidP="00470AE4">
            <w:pPr>
              <w:spacing w:after="160"/>
              <w:contextualSpacing/>
              <w:jc w:val="center"/>
            </w:pPr>
            <w:r w:rsidRPr="00C63860">
              <w:rPr>
                <w:b/>
                <w:bCs/>
              </w:rPr>
              <w:t>(N=106,432)</w:t>
            </w:r>
          </w:p>
        </w:tc>
        <w:tc>
          <w:tcPr>
            <w:tcW w:w="0" w:type="auto"/>
          </w:tcPr>
          <w:p w14:paraId="524BF0D9" w14:textId="77777777" w:rsidR="00C63860" w:rsidRPr="00C63860" w:rsidRDefault="00470AE4" w:rsidP="00470AE4">
            <w:pPr>
              <w:spacing w:after="160"/>
              <w:contextualSpacing/>
              <w:jc w:val="center"/>
              <w:rPr>
                <w:b/>
                <w:bCs/>
              </w:rPr>
            </w:pPr>
            <w:r w:rsidRPr="00C63860">
              <w:rPr>
                <w:b/>
                <w:bCs/>
              </w:rPr>
              <w:t>Intestinal obstruction</w:t>
            </w:r>
          </w:p>
          <w:p w14:paraId="07E750D1" w14:textId="711BCB1C" w:rsidR="00470AE4" w:rsidRPr="00C63860" w:rsidRDefault="00470AE4" w:rsidP="00470AE4">
            <w:pPr>
              <w:spacing w:after="160"/>
              <w:contextualSpacing/>
              <w:jc w:val="center"/>
              <w:rPr>
                <w:b/>
                <w:bCs/>
              </w:rPr>
            </w:pPr>
            <w:r w:rsidRPr="00C63860">
              <w:rPr>
                <w:b/>
                <w:bCs/>
              </w:rPr>
              <w:t>(N=133,073)</w:t>
            </w:r>
          </w:p>
        </w:tc>
      </w:tr>
      <w:tr w:rsidR="00470AE4" w:rsidRPr="00C63860" w14:paraId="2D410637" w14:textId="77777777" w:rsidTr="00C63860">
        <w:trPr>
          <w:cantSplit/>
        </w:trPr>
        <w:tc>
          <w:tcPr>
            <w:tcW w:w="0" w:type="auto"/>
          </w:tcPr>
          <w:p w14:paraId="2DF03D4E" w14:textId="77777777" w:rsidR="00470AE4" w:rsidRPr="00C63860" w:rsidRDefault="00470AE4" w:rsidP="00470AE4">
            <w:pPr>
              <w:spacing w:after="160"/>
              <w:contextualSpacing/>
              <w:rPr>
                <w:i/>
              </w:rPr>
            </w:pPr>
            <w:r w:rsidRPr="00C63860">
              <w:rPr>
                <w:i/>
              </w:rPr>
              <w:t>Overall</w:t>
            </w:r>
          </w:p>
        </w:tc>
        <w:tc>
          <w:tcPr>
            <w:tcW w:w="0" w:type="auto"/>
            <w:shd w:val="clear" w:color="auto" w:fill="FFE599" w:themeFill="accent4" w:themeFillTint="66"/>
          </w:tcPr>
          <w:p w14:paraId="746CB3B2" w14:textId="47311310" w:rsidR="00470AE4" w:rsidRPr="00C63860" w:rsidRDefault="00C63860" w:rsidP="00470AE4">
            <w:pPr>
              <w:spacing w:after="160"/>
              <w:contextualSpacing/>
              <w:jc w:val="center"/>
            </w:pPr>
            <w:r w:rsidRPr="00C63860">
              <w:rPr>
                <w:color w:val="00B0F0"/>
              </w:rPr>
              <w:t>–8</w:t>
            </w:r>
            <w:r w:rsidR="00470AE4" w:rsidRPr="00C63860">
              <w:t>6.2 (</w:t>
            </w:r>
            <w:r w:rsidRPr="00C63860">
              <w:rPr>
                <w:color w:val="00B0F0"/>
              </w:rPr>
              <w:t>–1</w:t>
            </w:r>
            <w:r w:rsidR="00470AE4" w:rsidRPr="00C63860">
              <w:t>,160, 991)</w:t>
            </w:r>
          </w:p>
        </w:tc>
        <w:tc>
          <w:tcPr>
            <w:tcW w:w="0" w:type="auto"/>
            <w:shd w:val="clear" w:color="auto" w:fill="FFE599" w:themeFill="accent4" w:themeFillTint="66"/>
          </w:tcPr>
          <w:p w14:paraId="0936B61E" w14:textId="32C88FB0" w:rsidR="00470AE4" w:rsidRPr="00C63860" w:rsidRDefault="00470AE4" w:rsidP="00470AE4">
            <w:pPr>
              <w:spacing w:after="160"/>
              <w:contextualSpacing/>
              <w:jc w:val="center"/>
            </w:pPr>
            <w:r w:rsidRPr="00C63860">
              <w:t>221 (</w:t>
            </w:r>
            <w:r w:rsidR="00C63860" w:rsidRPr="00C63860">
              <w:rPr>
                <w:color w:val="00B0F0"/>
              </w:rPr>
              <w:t>–4</w:t>
            </w:r>
            <w:r w:rsidRPr="00C63860">
              <w:t>50, 892)</w:t>
            </w:r>
          </w:p>
        </w:tc>
        <w:tc>
          <w:tcPr>
            <w:tcW w:w="0" w:type="auto"/>
            <w:shd w:val="clear" w:color="auto" w:fill="FFE599" w:themeFill="accent4" w:themeFillTint="66"/>
          </w:tcPr>
          <w:p w14:paraId="12F55985" w14:textId="3585B965" w:rsidR="00470AE4" w:rsidRPr="00C63860" w:rsidRDefault="00470AE4" w:rsidP="00470AE4">
            <w:pPr>
              <w:spacing w:after="160"/>
              <w:contextualSpacing/>
              <w:jc w:val="center"/>
            </w:pPr>
            <w:r w:rsidRPr="00C63860">
              <w:t>2,660 (</w:t>
            </w:r>
            <w:r w:rsidR="00C63860" w:rsidRPr="00C63860">
              <w:rPr>
                <w:color w:val="00B0F0"/>
              </w:rPr>
              <w:t>–4</w:t>
            </w:r>
            <w:r w:rsidRPr="00C63860">
              <w:t>,300, 9,630)</w:t>
            </w:r>
          </w:p>
        </w:tc>
        <w:tc>
          <w:tcPr>
            <w:tcW w:w="0" w:type="auto"/>
            <w:shd w:val="clear" w:color="auto" w:fill="FFE599" w:themeFill="accent4" w:themeFillTint="66"/>
          </w:tcPr>
          <w:p w14:paraId="6977F4C4" w14:textId="7EA7FC46" w:rsidR="00470AE4" w:rsidRPr="00C63860" w:rsidRDefault="00C63860" w:rsidP="00470AE4">
            <w:pPr>
              <w:spacing w:after="160"/>
              <w:contextualSpacing/>
              <w:jc w:val="center"/>
            </w:pPr>
            <w:r w:rsidRPr="00C63860">
              <w:rPr>
                <w:color w:val="00B0F0"/>
              </w:rPr>
              <w:t>–1</w:t>
            </w:r>
            <w:r w:rsidR="00470AE4" w:rsidRPr="00C63860">
              <w:t>19 (</w:t>
            </w:r>
            <w:r w:rsidRPr="00C63860">
              <w:rPr>
                <w:color w:val="00B0F0"/>
              </w:rPr>
              <w:t>–1</w:t>
            </w:r>
            <w:r w:rsidR="00470AE4" w:rsidRPr="00C63860">
              <w:t>,280, 1,040)</w:t>
            </w:r>
          </w:p>
        </w:tc>
        <w:tc>
          <w:tcPr>
            <w:tcW w:w="0" w:type="auto"/>
            <w:shd w:val="clear" w:color="auto" w:fill="FFE599" w:themeFill="accent4" w:themeFillTint="66"/>
          </w:tcPr>
          <w:p w14:paraId="39F5FEE9" w14:textId="1D7A516A" w:rsidR="00470AE4" w:rsidRPr="00C63860" w:rsidRDefault="00470AE4" w:rsidP="00470AE4">
            <w:pPr>
              <w:spacing w:after="160"/>
              <w:contextualSpacing/>
              <w:jc w:val="center"/>
            </w:pPr>
            <w:r w:rsidRPr="00C63860">
              <w:t>728 (</w:t>
            </w:r>
            <w:r w:rsidR="00C63860" w:rsidRPr="00C63860">
              <w:rPr>
                <w:color w:val="00B0F0"/>
              </w:rPr>
              <w:t>–2</w:t>
            </w:r>
            <w:r w:rsidRPr="00C63860">
              <w:t>,160, 3,620)</w:t>
            </w:r>
          </w:p>
        </w:tc>
      </w:tr>
      <w:tr w:rsidR="00470AE4" w:rsidRPr="00C63860" w14:paraId="0607ACD6" w14:textId="77777777" w:rsidTr="00C63860">
        <w:trPr>
          <w:cantSplit/>
        </w:trPr>
        <w:tc>
          <w:tcPr>
            <w:tcW w:w="0" w:type="auto"/>
          </w:tcPr>
          <w:p w14:paraId="32983017" w14:textId="77777777" w:rsidR="00470AE4" w:rsidRPr="00C63860" w:rsidRDefault="00470AE4" w:rsidP="00470AE4">
            <w:pPr>
              <w:spacing w:after="160"/>
              <w:contextualSpacing/>
              <w:rPr>
                <w:i/>
              </w:rPr>
            </w:pPr>
            <w:r w:rsidRPr="00C63860">
              <w:rPr>
                <w:i/>
              </w:rPr>
              <w:t>Age groups</w:t>
            </w:r>
          </w:p>
        </w:tc>
        <w:tc>
          <w:tcPr>
            <w:tcW w:w="0" w:type="auto"/>
          </w:tcPr>
          <w:p w14:paraId="1379C078" w14:textId="77777777" w:rsidR="00470AE4" w:rsidRPr="00C63860" w:rsidRDefault="00470AE4" w:rsidP="00470AE4">
            <w:pPr>
              <w:spacing w:after="160"/>
              <w:contextualSpacing/>
              <w:jc w:val="center"/>
            </w:pPr>
          </w:p>
        </w:tc>
        <w:tc>
          <w:tcPr>
            <w:tcW w:w="0" w:type="auto"/>
          </w:tcPr>
          <w:p w14:paraId="40D97477" w14:textId="77777777" w:rsidR="00470AE4" w:rsidRPr="00C63860" w:rsidRDefault="00470AE4" w:rsidP="00470AE4">
            <w:pPr>
              <w:spacing w:after="160"/>
              <w:contextualSpacing/>
              <w:jc w:val="center"/>
            </w:pPr>
          </w:p>
        </w:tc>
        <w:tc>
          <w:tcPr>
            <w:tcW w:w="0" w:type="auto"/>
          </w:tcPr>
          <w:p w14:paraId="7155CDE6" w14:textId="77777777" w:rsidR="00470AE4" w:rsidRPr="00C63860" w:rsidRDefault="00470AE4" w:rsidP="00470AE4">
            <w:pPr>
              <w:spacing w:after="160"/>
              <w:contextualSpacing/>
              <w:jc w:val="center"/>
            </w:pPr>
          </w:p>
        </w:tc>
        <w:tc>
          <w:tcPr>
            <w:tcW w:w="0" w:type="auto"/>
          </w:tcPr>
          <w:p w14:paraId="03C8D423" w14:textId="77777777" w:rsidR="00470AE4" w:rsidRPr="00C63860" w:rsidRDefault="00470AE4" w:rsidP="00470AE4">
            <w:pPr>
              <w:spacing w:after="160"/>
              <w:contextualSpacing/>
              <w:jc w:val="center"/>
            </w:pPr>
          </w:p>
        </w:tc>
        <w:tc>
          <w:tcPr>
            <w:tcW w:w="0" w:type="auto"/>
          </w:tcPr>
          <w:p w14:paraId="4A7F05A0" w14:textId="77777777" w:rsidR="00470AE4" w:rsidRPr="00C63860" w:rsidRDefault="00470AE4" w:rsidP="00470AE4">
            <w:pPr>
              <w:spacing w:after="160"/>
              <w:contextualSpacing/>
              <w:jc w:val="center"/>
            </w:pPr>
          </w:p>
        </w:tc>
      </w:tr>
      <w:tr w:rsidR="00470AE4" w:rsidRPr="00C63860" w14:paraId="15A88A56" w14:textId="77777777" w:rsidTr="00C63860">
        <w:trPr>
          <w:cantSplit/>
        </w:trPr>
        <w:tc>
          <w:tcPr>
            <w:tcW w:w="0" w:type="auto"/>
          </w:tcPr>
          <w:p w14:paraId="6F7E3BD2" w14:textId="28850E19" w:rsidR="00470AE4" w:rsidRPr="00C63860" w:rsidRDefault="00C63860" w:rsidP="00470AE4">
            <w:pPr>
              <w:spacing w:after="160"/>
              <w:ind w:left="340"/>
              <w:contextualSpacing/>
            </w:pPr>
            <w:r w:rsidRPr="00C63860">
              <w:rPr>
                <w:color w:val="00B0F0"/>
              </w:rPr>
              <w:t>&lt; 4</w:t>
            </w:r>
            <w:r w:rsidR="00470AE4" w:rsidRPr="00C63860">
              <w:t>5</w:t>
            </w:r>
          </w:p>
        </w:tc>
        <w:tc>
          <w:tcPr>
            <w:tcW w:w="0" w:type="auto"/>
            <w:shd w:val="clear" w:color="auto" w:fill="FFE599" w:themeFill="accent4" w:themeFillTint="66"/>
          </w:tcPr>
          <w:p w14:paraId="58C9DC53" w14:textId="56713803" w:rsidR="00470AE4" w:rsidRPr="00C63860" w:rsidRDefault="00470AE4" w:rsidP="00470AE4">
            <w:pPr>
              <w:spacing w:after="160"/>
              <w:contextualSpacing/>
              <w:jc w:val="center"/>
            </w:pPr>
            <w:r w:rsidRPr="00C63860">
              <w:t>542 (</w:t>
            </w:r>
            <w:r w:rsidR="00C63860" w:rsidRPr="00C63860">
              <w:rPr>
                <w:color w:val="00B0F0"/>
              </w:rPr>
              <w:t>–5</w:t>
            </w:r>
            <w:r w:rsidRPr="00C63860">
              <w:t>82, 1,670)</w:t>
            </w:r>
          </w:p>
        </w:tc>
        <w:tc>
          <w:tcPr>
            <w:tcW w:w="0" w:type="auto"/>
            <w:shd w:val="clear" w:color="auto" w:fill="FFE599" w:themeFill="accent4" w:themeFillTint="66"/>
          </w:tcPr>
          <w:p w14:paraId="531651DD" w14:textId="52DA82A6" w:rsidR="00470AE4" w:rsidRPr="00C63860" w:rsidRDefault="00470AE4" w:rsidP="00470AE4">
            <w:pPr>
              <w:spacing w:after="160"/>
              <w:contextualSpacing/>
              <w:jc w:val="center"/>
            </w:pPr>
            <w:r w:rsidRPr="00C63860">
              <w:t>114 (</w:t>
            </w:r>
            <w:r w:rsidR="00C63860" w:rsidRPr="00C63860">
              <w:rPr>
                <w:color w:val="00B0F0"/>
              </w:rPr>
              <w:t>–3</w:t>
            </w:r>
            <w:r w:rsidRPr="00C63860">
              <w:t>30, 560)</w:t>
            </w:r>
          </w:p>
        </w:tc>
        <w:tc>
          <w:tcPr>
            <w:tcW w:w="0" w:type="auto"/>
            <w:shd w:val="clear" w:color="auto" w:fill="FFE599" w:themeFill="accent4" w:themeFillTint="66"/>
          </w:tcPr>
          <w:p w14:paraId="1A4F72D7" w14:textId="59921DDD" w:rsidR="00470AE4" w:rsidRPr="00C63860" w:rsidRDefault="00C63860" w:rsidP="00470AE4">
            <w:pPr>
              <w:spacing w:after="160"/>
              <w:contextualSpacing/>
              <w:jc w:val="center"/>
            </w:pPr>
            <w:r w:rsidRPr="00C63860">
              <w:rPr>
                <w:color w:val="00B0F0"/>
              </w:rPr>
              <w:t>–8</w:t>
            </w:r>
            <w:r w:rsidR="00470AE4" w:rsidRPr="00C63860">
              <w:t>87 (</w:t>
            </w:r>
            <w:r w:rsidRPr="00C63860">
              <w:rPr>
                <w:color w:val="00B0F0"/>
              </w:rPr>
              <w:t>–7</w:t>
            </w:r>
            <w:r w:rsidR="00470AE4" w:rsidRPr="00C63860">
              <w:t>,640, 5,870)</w:t>
            </w:r>
          </w:p>
        </w:tc>
        <w:tc>
          <w:tcPr>
            <w:tcW w:w="0" w:type="auto"/>
            <w:shd w:val="clear" w:color="auto" w:fill="FFE599" w:themeFill="accent4" w:themeFillTint="66"/>
          </w:tcPr>
          <w:p w14:paraId="74F556A1" w14:textId="0556B9FC" w:rsidR="00470AE4" w:rsidRPr="00C63860" w:rsidRDefault="00470AE4" w:rsidP="00470AE4">
            <w:pPr>
              <w:spacing w:after="160"/>
              <w:contextualSpacing/>
              <w:jc w:val="center"/>
            </w:pPr>
            <w:r w:rsidRPr="00C63860">
              <w:t>576 (</w:t>
            </w:r>
            <w:r w:rsidR="00C63860" w:rsidRPr="00C63860">
              <w:rPr>
                <w:color w:val="00B0F0"/>
              </w:rPr>
              <w:t>–8</w:t>
            </w:r>
            <w:r w:rsidRPr="00C63860">
              <w:t>19, 1,970)</w:t>
            </w:r>
          </w:p>
        </w:tc>
        <w:tc>
          <w:tcPr>
            <w:tcW w:w="0" w:type="auto"/>
            <w:shd w:val="clear" w:color="auto" w:fill="FFE599" w:themeFill="accent4" w:themeFillTint="66"/>
          </w:tcPr>
          <w:p w14:paraId="030944FF" w14:textId="2D083E6B" w:rsidR="00470AE4" w:rsidRPr="00C63860" w:rsidRDefault="00C63860" w:rsidP="00470AE4">
            <w:pPr>
              <w:spacing w:after="160"/>
              <w:contextualSpacing/>
              <w:jc w:val="center"/>
            </w:pPr>
            <w:r w:rsidRPr="00C63860">
              <w:rPr>
                <w:color w:val="00B0F0"/>
              </w:rPr>
              <w:t>–4</w:t>
            </w:r>
            <w:r w:rsidR="00470AE4" w:rsidRPr="00C63860">
              <w:t>68 (</w:t>
            </w:r>
            <w:r w:rsidRPr="00C63860">
              <w:rPr>
                <w:color w:val="00B0F0"/>
              </w:rPr>
              <w:t>–4</w:t>
            </w:r>
            <w:r w:rsidR="00470AE4" w:rsidRPr="00C63860">
              <w:t>330, 339)</w:t>
            </w:r>
          </w:p>
        </w:tc>
      </w:tr>
      <w:tr w:rsidR="00470AE4" w:rsidRPr="00C63860" w14:paraId="4788015D" w14:textId="77777777" w:rsidTr="00C63860">
        <w:trPr>
          <w:cantSplit/>
        </w:trPr>
        <w:tc>
          <w:tcPr>
            <w:tcW w:w="0" w:type="auto"/>
          </w:tcPr>
          <w:p w14:paraId="7DCFB259" w14:textId="105FD8F9" w:rsidR="00470AE4" w:rsidRPr="00C63860" w:rsidRDefault="00470AE4" w:rsidP="00470AE4">
            <w:pPr>
              <w:spacing w:after="160"/>
              <w:ind w:left="340"/>
              <w:contextualSpacing/>
            </w:pPr>
            <w:r w:rsidRPr="00C63860">
              <w:t>45</w:t>
            </w:r>
            <w:r w:rsidR="00C63860" w:rsidRPr="00C63860">
              <w:rPr>
                <w:color w:val="00B0F0"/>
              </w:rPr>
              <w:t>–4</w:t>
            </w:r>
            <w:r w:rsidRPr="00C63860">
              <w:t>9</w:t>
            </w:r>
          </w:p>
        </w:tc>
        <w:tc>
          <w:tcPr>
            <w:tcW w:w="0" w:type="auto"/>
            <w:shd w:val="clear" w:color="auto" w:fill="FFE599" w:themeFill="accent4" w:themeFillTint="66"/>
          </w:tcPr>
          <w:p w14:paraId="23F9FE83" w14:textId="5C37586E" w:rsidR="00470AE4" w:rsidRPr="00C63860" w:rsidRDefault="00C63860" w:rsidP="00470AE4">
            <w:pPr>
              <w:spacing w:after="160"/>
              <w:contextualSpacing/>
              <w:jc w:val="center"/>
            </w:pPr>
            <w:r w:rsidRPr="00C63860">
              <w:rPr>
                <w:color w:val="00B0F0"/>
              </w:rPr>
              <w:t>–4</w:t>
            </w:r>
            <w:r w:rsidR="00470AE4" w:rsidRPr="00C63860">
              <w:t>40 (</w:t>
            </w:r>
            <w:r w:rsidRPr="00C63860">
              <w:rPr>
                <w:color w:val="00B0F0"/>
              </w:rPr>
              <w:t>–2</w:t>
            </w:r>
            <w:r w:rsidR="00470AE4" w:rsidRPr="00C63860">
              <w:t>,280, 1,410)</w:t>
            </w:r>
          </w:p>
        </w:tc>
        <w:tc>
          <w:tcPr>
            <w:tcW w:w="0" w:type="auto"/>
            <w:shd w:val="clear" w:color="auto" w:fill="FFE599" w:themeFill="accent4" w:themeFillTint="66"/>
          </w:tcPr>
          <w:p w14:paraId="48A5BCEF" w14:textId="2899F193" w:rsidR="00470AE4" w:rsidRPr="00C63860" w:rsidRDefault="00470AE4" w:rsidP="00470AE4">
            <w:pPr>
              <w:spacing w:after="160"/>
              <w:contextualSpacing/>
              <w:jc w:val="center"/>
            </w:pPr>
            <w:r w:rsidRPr="00C63860">
              <w:t>511 (</w:t>
            </w:r>
            <w:r w:rsidR="00C63860" w:rsidRPr="00C63860">
              <w:rPr>
                <w:color w:val="00B0F0"/>
              </w:rPr>
              <w:t>–1</w:t>
            </w:r>
            <w:r w:rsidRPr="00C63860">
              <w:t>.20, 1,020)</w:t>
            </w:r>
          </w:p>
        </w:tc>
        <w:tc>
          <w:tcPr>
            <w:tcW w:w="0" w:type="auto"/>
            <w:shd w:val="clear" w:color="auto" w:fill="FFE599" w:themeFill="accent4" w:themeFillTint="66"/>
          </w:tcPr>
          <w:p w14:paraId="194DF265" w14:textId="71D5036C" w:rsidR="00470AE4" w:rsidRPr="00C63860" w:rsidRDefault="00C63860" w:rsidP="00470AE4">
            <w:pPr>
              <w:spacing w:after="160"/>
              <w:contextualSpacing/>
              <w:jc w:val="center"/>
            </w:pPr>
            <w:r w:rsidRPr="00C63860">
              <w:rPr>
                <w:color w:val="00B0F0"/>
              </w:rPr>
              <w:t>–7</w:t>
            </w:r>
            <w:r w:rsidR="00470AE4" w:rsidRPr="00C63860">
              <w:t>3.9 (</w:t>
            </w:r>
            <w:r w:rsidRPr="00C63860">
              <w:rPr>
                <w:color w:val="00B0F0"/>
              </w:rPr>
              <w:t>–6</w:t>
            </w:r>
            <w:r w:rsidR="00470AE4" w:rsidRPr="00C63860">
              <w:t>,950, 6,800)</w:t>
            </w:r>
          </w:p>
        </w:tc>
        <w:tc>
          <w:tcPr>
            <w:tcW w:w="0" w:type="auto"/>
            <w:shd w:val="clear" w:color="auto" w:fill="A8D08D" w:themeFill="accent6" w:themeFillTint="99"/>
          </w:tcPr>
          <w:p w14:paraId="5E58D0CD" w14:textId="77777777" w:rsidR="00470AE4" w:rsidRPr="00C63860" w:rsidRDefault="00470AE4" w:rsidP="00470AE4">
            <w:pPr>
              <w:spacing w:after="160"/>
              <w:contextualSpacing/>
              <w:jc w:val="center"/>
            </w:pPr>
            <w:r w:rsidRPr="00C63860">
              <w:t>2,090 (595, 3,580)</w:t>
            </w:r>
          </w:p>
        </w:tc>
        <w:tc>
          <w:tcPr>
            <w:tcW w:w="0" w:type="auto"/>
            <w:shd w:val="clear" w:color="auto" w:fill="FFE599" w:themeFill="accent4" w:themeFillTint="66"/>
          </w:tcPr>
          <w:p w14:paraId="104F2696" w14:textId="3A69B6B1" w:rsidR="00470AE4" w:rsidRPr="00C63860" w:rsidRDefault="00470AE4" w:rsidP="00470AE4">
            <w:pPr>
              <w:spacing w:after="160"/>
              <w:contextualSpacing/>
              <w:jc w:val="center"/>
            </w:pPr>
            <w:r w:rsidRPr="00C63860">
              <w:t>4,080 (</w:t>
            </w:r>
            <w:r w:rsidR="00C63860" w:rsidRPr="00C63860">
              <w:rPr>
                <w:color w:val="00B0F0"/>
              </w:rPr>
              <w:t>–6</w:t>
            </w:r>
            <w:r w:rsidRPr="00C63860">
              <w:t>52, 8810)</w:t>
            </w:r>
          </w:p>
        </w:tc>
      </w:tr>
      <w:tr w:rsidR="00470AE4" w:rsidRPr="00C63860" w14:paraId="7F420336" w14:textId="77777777" w:rsidTr="00C63860">
        <w:trPr>
          <w:cantSplit/>
        </w:trPr>
        <w:tc>
          <w:tcPr>
            <w:tcW w:w="0" w:type="auto"/>
          </w:tcPr>
          <w:p w14:paraId="47A92174" w14:textId="4E97D6B0" w:rsidR="00470AE4" w:rsidRPr="00C63860" w:rsidRDefault="00470AE4" w:rsidP="00470AE4">
            <w:pPr>
              <w:spacing w:after="160"/>
              <w:ind w:left="340"/>
              <w:contextualSpacing/>
            </w:pPr>
            <w:r w:rsidRPr="00C63860">
              <w:t>50</w:t>
            </w:r>
            <w:r w:rsidR="00C63860" w:rsidRPr="00C63860">
              <w:rPr>
                <w:color w:val="00B0F0"/>
              </w:rPr>
              <w:t>–5</w:t>
            </w:r>
            <w:r w:rsidRPr="00C63860">
              <w:t>4</w:t>
            </w:r>
          </w:p>
        </w:tc>
        <w:tc>
          <w:tcPr>
            <w:tcW w:w="0" w:type="auto"/>
            <w:shd w:val="clear" w:color="auto" w:fill="FFE599" w:themeFill="accent4" w:themeFillTint="66"/>
          </w:tcPr>
          <w:p w14:paraId="3E7542B9" w14:textId="366DF8F5" w:rsidR="00470AE4" w:rsidRPr="00C63860" w:rsidRDefault="00C63860" w:rsidP="00470AE4">
            <w:pPr>
              <w:spacing w:after="160"/>
              <w:contextualSpacing/>
              <w:jc w:val="center"/>
            </w:pPr>
            <w:r w:rsidRPr="00C63860">
              <w:rPr>
                <w:color w:val="00B0F0"/>
              </w:rPr>
              <w:t>–7</w:t>
            </w:r>
            <w:r w:rsidR="00470AE4" w:rsidRPr="00C63860">
              <w:t>57 (</w:t>
            </w:r>
            <w:r w:rsidRPr="00C63860">
              <w:rPr>
                <w:color w:val="00B0F0"/>
              </w:rPr>
              <w:t>–2</w:t>
            </w:r>
            <w:r w:rsidR="00470AE4" w:rsidRPr="00C63860">
              <w:t>,720, 1,210)</w:t>
            </w:r>
          </w:p>
        </w:tc>
        <w:tc>
          <w:tcPr>
            <w:tcW w:w="0" w:type="auto"/>
            <w:shd w:val="clear" w:color="auto" w:fill="A8D08D" w:themeFill="accent6" w:themeFillTint="99"/>
          </w:tcPr>
          <w:p w14:paraId="338D760B" w14:textId="77777777" w:rsidR="00470AE4" w:rsidRPr="00C63860" w:rsidRDefault="00470AE4" w:rsidP="00470AE4">
            <w:pPr>
              <w:spacing w:after="160"/>
              <w:contextualSpacing/>
              <w:jc w:val="center"/>
            </w:pPr>
            <w:r w:rsidRPr="00C63860">
              <w:t>933 (294, 1,570)</w:t>
            </w:r>
          </w:p>
        </w:tc>
        <w:tc>
          <w:tcPr>
            <w:tcW w:w="0" w:type="auto"/>
            <w:shd w:val="clear" w:color="auto" w:fill="FFE599" w:themeFill="accent4" w:themeFillTint="66"/>
          </w:tcPr>
          <w:p w14:paraId="54F65EBC" w14:textId="6E74ACE5" w:rsidR="00470AE4" w:rsidRPr="00C63860" w:rsidRDefault="00C63860" w:rsidP="00470AE4">
            <w:pPr>
              <w:spacing w:after="160"/>
              <w:contextualSpacing/>
              <w:jc w:val="center"/>
            </w:pPr>
            <w:r w:rsidRPr="00C63860">
              <w:rPr>
                <w:color w:val="00B0F0"/>
              </w:rPr>
              <w:t>–7</w:t>
            </w:r>
            <w:r w:rsidR="00470AE4" w:rsidRPr="00C63860">
              <w:t>49 (</w:t>
            </w:r>
            <w:r w:rsidRPr="00C63860">
              <w:rPr>
                <w:color w:val="00B0F0"/>
              </w:rPr>
              <w:t>–9</w:t>
            </w:r>
            <w:r w:rsidR="00470AE4" w:rsidRPr="00C63860">
              <w:t>,760, 8,260)</w:t>
            </w:r>
          </w:p>
        </w:tc>
        <w:tc>
          <w:tcPr>
            <w:tcW w:w="0" w:type="auto"/>
            <w:shd w:val="clear" w:color="auto" w:fill="A8D08D" w:themeFill="accent6" w:themeFillTint="99"/>
          </w:tcPr>
          <w:p w14:paraId="0A9D2ADE" w14:textId="77777777" w:rsidR="00470AE4" w:rsidRPr="00C63860" w:rsidRDefault="00470AE4" w:rsidP="00470AE4">
            <w:pPr>
              <w:spacing w:after="160"/>
              <w:contextualSpacing/>
              <w:jc w:val="center"/>
            </w:pPr>
            <w:r w:rsidRPr="00C63860">
              <w:t>2390 (716, 4,070)</w:t>
            </w:r>
          </w:p>
        </w:tc>
        <w:tc>
          <w:tcPr>
            <w:tcW w:w="0" w:type="auto"/>
            <w:shd w:val="clear" w:color="auto" w:fill="A8D08D" w:themeFill="accent6" w:themeFillTint="99"/>
          </w:tcPr>
          <w:p w14:paraId="4A822E96" w14:textId="77777777" w:rsidR="00470AE4" w:rsidRPr="00C63860" w:rsidRDefault="00470AE4" w:rsidP="00470AE4">
            <w:pPr>
              <w:spacing w:after="160"/>
              <w:contextualSpacing/>
              <w:jc w:val="center"/>
            </w:pPr>
            <w:r w:rsidRPr="00C63860">
              <w:t>8,490 (450, 16,535)</w:t>
            </w:r>
          </w:p>
        </w:tc>
      </w:tr>
      <w:tr w:rsidR="00470AE4" w:rsidRPr="00C63860" w14:paraId="673EB8CF" w14:textId="77777777" w:rsidTr="00C63860">
        <w:trPr>
          <w:cantSplit/>
        </w:trPr>
        <w:tc>
          <w:tcPr>
            <w:tcW w:w="0" w:type="auto"/>
          </w:tcPr>
          <w:p w14:paraId="22821CD7" w14:textId="726B20AA" w:rsidR="00470AE4" w:rsidRPr="00C63860" w:rsidRDefault="00470AE4" w:rsidP="00470AE4">
            <w:pPr>
              <w:spacing w:after="160"/>
              <w:ind w:left="340"/>
              <w:contextualSpacing/>
            </w:pPr>
            <w:r w:rsidRPr="00C63860">
              <w:t>55</w:t>
            </w:r>
            <w:r w:rsidR="00C63860" w:rsidRPr="00C63860">
              <w:rPr>
                <w:color w:val="00B0F0"/>
              </w:rPr>
              <w:t>–5</w:t>
            </w:r>
            <w:r w:rsidRPr="00C63860">
              <w:t>9</w:t>
            </w:r>
          </w:p>
        </w:tc>
        <w:tc>
          <w:tcPr>
            <w:tcW w:w="0" w:type="auto"/>
            <w:shd w:val="clear" w:color="auto" w:fill="FFE599" w:themeFill="accent4" w:themeFillTint="66"/>
          </w:tcPr>
          <w:p w14:paraId="74991F12" w14:textId="522AC5F3" w:rsidR="00470AE4" w:rsidRPr="00C63860" w:rsidRDefault="00C63860" w:rsidP="00470AE4">
            <w:pPr>
              <w:spacing w:after="160"/>
              <w:contextualSpacing/>
              <w:jc w:val="center"/>
            </w:pPr>
            <w:r w:rsidRPr="00C63860">
              <w:rPr>
                <w:color w:val="00B0F0"/>
              </w:rPr>
              <w:t>–1</w:t>
            </w:r>
            <w:r w:rsidR="00470AE4" w:rsidRPr="00C63860">
              <w:t>,230 (</w:t>
            </w:r>
            <w:r w:rsidRPr="00C63860">
              <w:rPr>
                <w:color w:val="00B0F0"/>
              </w:rPr>
              <w:t>–3</w:t>
            </w:r>
            <w:r w:rsidR="00470AE4" w:rsidRPr="00C63860">
              <w:t>,250, 793)</w:t>
            </w:r>
          </w:p>
        </w:tc>
        <w:tc>
          <w:tcPr>
            <w:tcW w:w="0" w:type="auto"/>
            <w:shd w:val="clear" w:color="auto" w:fill="A8D08D" w:themeFill="accent6" w:themeFillTint="99"/>
          </w:tcPr>
          <w:p w14:paraId="3149F3DF" w14:textId="77777777" w:rsidR="00470AE4" w:rsidRPr="00C63860" w:rsidRDefault="00470AE4" w:rsidP="00470AE4">
            <w:pPr>
              <w:spacing w:after="160"/>
              <w:contextualSpacing/>
              <w:jc w:val="center"/>
            </w:pPr>
            <w:r w:rsidRPr="00C63860">
              <w:t>1,050 (56.2, 2,040)</w:t>
            </w:r>
          </w:p>
        </w:tc>
        <w:tc>
          <w:tcPr>
            <w:tcW w:w="0" w:type="auto"/>
            <w:shd w:val="clear" w:color="auto" w:fill="FFE599" w:themeFill="accent4" w:themeFillTint="66"/>
          </w:tcPr>
          <w:p w14:paraId="7D1D6F13" w14:textId="33A5CCDB" w:rsidR="00470AE4" w:rsidRPr="00C63860" w:rsidRDefault="00470AE4" w:rsidP="00470AE4">
            <w:pPr>
              <w:spacing w:after="160"/>
              <w:contextualSpacing/>
              <w:jc w:val="center"/>
            </w:pPr>
            <w:r w:rsidRPr="00C63860">
              <w:t>2,568 (</w:t>
            </w:r>
            <w:r w:rsidR="00C63860" w:rsidRPr="00C63860">
              <w:rPr>
                <w:color w:val="00B0F0"/>
              </w:rPr>
              <w:t>–4</w:t>
            </w:r>
            <w:r w:rsidRPr="00C63860">
              <w:t>,360, 9,500)</w:t>
            </w:r>
          </w:p>
        </w:tc>
        <w:tc>
          <w:tcPr>
            <w:tcW w:w="0" w:type="auto"/>
            <w:shd w:val="clear" w:color="auto" w:fill="FFE599" w:themeFill="accent4" w:themeFillTint="66"/>
          </w:tcPr>
          <w:p w14:paraId="6D3B2D87" w14:textId="1F66AE3E" w:rsidR="00470AE4" w:rsidRPr="00C63860" w:rsidRDefault="00470AE4" w:rsidP="00470AE4">
            <w:pPr>
              <w:spacing w:after="160"/>
              <w:contextualSpacing/>
              <w:jc w:val="center"/>
            </w:pPr>
            <w:r w:rsidRPr="00C63860">
              <w:t>195 (</w:t>
            </w:r>
            <w:r w:rsidR="00C63860" w:rsidRPr="00C63860">
              <w:rPr>
                <w:color w:val="00B0F0"/>
              </w:rPr>
              <w:t>–1</w:t>
            </w:r>
            <w:r w:rsidRPr="00C63860">
              <w:t>,620, 2,010)</w:t>
            </w:r>
          </w:p>
        </w:tc>
        <w:tc>
          <w:tcPr>
            <w:tcW w:w="0" w:type="auto"/>
            <w:shd w:val="clear" w:color="auto" w:fill="FFE599" w:themeFill="accent4" w:themeFillTint="66"/>
          </w:tcPr>
          <w:p w14:paraId="124E772D" w14:textId="5BBFD731" w:rsidR="00470AE4" w:rsidRPr="00C63860" w:rsidRDefault="00470AE4" w:rsidP="00470AE4">
            <w:pPr>
              <w:spacing w:after="160"/>
              <w:contextualSpacing/>
              <w:jc w:val="center"/>
            </w:pPr>
            <w:r w:rsidRPr="00C63860">
              <w:t>5,440 (</w:t>
            </w:r>
            <w:r w:rsidR="00C63860" w:rsidRPr="00C63860">
              <w:rPr>
                <w:color w:val="00B0F0"/>
              </w:rPr>
              <w:t>–2</w:t>
            </w:r>
            <w:r w:rsidRPr="00C63860">
              <w:t>,500, 13,400)</w:t>
            </w:r>
          </w:p>
        </w:tc>
      </w:tr>
      <w:tr w:rsidR="00470AE4" w:rsidRPr="00C63860" w14:paraId="4E5662C8" w14:textId="77777777" w:rsidTr="00C63860">
        <w:trPr>
          <w:cantSplit/>
        </w:trPr>
        <w:tc>
          <w:tcPr>
            <w:tcW w:w="0" w:type="auto"/>
          </w:tcPr>
          <w:p w14:paraId="6C44D7A1" w14:textId="77710DB0" w:rsidR="00470AE4" w:rsidRPr="00C63860" w:rsidRDefault="00470AE4" w:rsidP="00470AE4">
            <w:pPr>
              <w:spacing w:after="160"/>
              <w:ind w:left="340"/>
              <w:contextualSpacing/>
            </w:pPr>
            <w:r w:rsidRPr="00C63860">
              <w:t>60</w:t>
            </w:r>
            <w:r w:rsidR="00C63860" w:rsidRPr="00C63860">
              <w:rPr>
                <w:color w:val="00B0F0"/>
              </w:rPr>
              <w:t>–6</w:t>
            </w:r>
            <w:r w:rsidRPr="00C63860">
              <w:t>4</w:t>
            </w:r>
          </w:p>
        </w:tc>
        <w:tc>
          <w:tcPr>
            <w:tcW w:w="0" w:type="auto"/>
            <w:shd w:val="clear" w:color="auto" w:fill="FFE599" w:themeFill="accent4" w:themeFillTint="66"/>
          </w:tcPr>
          <w:p w14:paraId="2811340D" w14:textId="3D8D232F" w:rsidR="00470AE4" w:rsidRPr="00C63860" w:rsidRDefault="00C63860" w:rsidP="00470AE4">
            <w:pPr>
              <w:spacing w:after="160"/>
              <w:contextualSpacing/>
              <w:jc w:val="center"/>
            </w:pPr>
            <w:r w:rsidRPr="00C63860">
              <w:rPr>
                <w:color w:val="00B0F0"/>
              </w:rPr>
              <w:t>–1</w:t>
            </w:r>
            <w:r w:rsidR="00470AE4" w:rsidRPr="00C63860">
              <w:t>,830 (</w:t>
            </w:r>
            <w:r w:rsidRPr="00C63860">
              <w:rPr>
                <w:color w:val="00B0F0"/>
              </w:rPr>
              <w:t>–3</w:t>
            </w:r>
            <w:r w:rsidR="00470AE4" w:rsidRPr="00C63860">
              <w:t>,770, 112)</w:t>
            </w:r>
          </w:p>
        </w:tc>
        <w:tc>
          <w:tcPr>
            <w:tcW w:w="0" w:type="auto"/>
            <w:shd w:val="clear" w:color="auto" w:fill="FFE599" w:themeFill="accent4" w:themeFillTint="66"/>
          </w:tcPr>
          <w:p w14:paraId="3706943D" w14:textId="3499D2AF" w:rsidR="00470AE4" w:rsidRPr="00C63860" w:rsidRDefault="00470AE4" w:rsidP="00470AE4">
            <w:pPr>
              <w:spacing w:after="160"/>
              <w:contextualSpacing/>
              <w:jc w:val="center"/>
            </w:pPr>
            <w:r w:rsidRPr="00C63860">
              <w:t>172 (</w:t>
            </w:r>
            <w:r w:rsidR="00C63860" w:rsidRPr="00C63860">
              <w:rPr>
                <w:color w:val="00B0F0"/>
              </w:rPr>
              <w:t>–9</w:t>
            </w:r>
            <w:r w:rsidRPr="00C63860">
              <w:t>42, 1,290)</w:t>
            </w:r>
          </w:p>
        </w:tc>
        <w:tc>
          <w:tcPr>
            <w:tcW w:w="0" w:type="auto"/>
            <w:shd w:val="clear" w:color="auto" w:fill="FFE599" w:themeFill="accent4" w:themeFillTint="66"/>
          </w:tcPr>
          <w:p w14:paraId="1271C6DF" w14:textId="06D984C6" w:rsidR="00470AE4" w:rsidRPr="00C63860" w:rsidRDefault="00470AE4" w:rsidP="00470AE4">
            <w:pPr>
              <w:spacing w:after="160"/>
              <w:contextualSpacing/>
              <w:jc w:val="center"/>
            </w:pPr>
            <w:r w:rsidRPr="00C63860">
              <w:t>2,970 (</w:t>
            </w:r>
            <w:r w:rsidR="00C63860" w:rsidRPr="00C63860">
              <w:rPr>
                <w:color w:val="00B0F0"/>
              </w:rPr>
              <w:t>–4</w:t>
            </w:r>
            <w:r w:rsidRPr="00C63860">
              <w:t>,000, 9,950)</w:t>
            </w:r>
          </w:p>
        </w:tc>
        <w:tc>
          <w:tcPr>
            <w:tcW w:w="0" w:type="auto"/>
            <w:shd w:val="clear" w:color="auto" w:fill="FFE599" w:themeFill="accent4" w:themeFillTint="66"/>
          </w:tcPr>
          <w:p w14:paraId="31E72344" w14:textId="1BE197D7" w:rsidR="00470AE4" w:rsidRPr="00C63860" w:rsidRDefault="00C63860" w:rsidP="00470AE4">
            <w:pPr>
              <w:spacing w:after="160"/>
              <w:contextualSpacing/>
              <w:jc w:val="center"/>
            </w:pPr>
            <w:r w:rsidRPr="00C63860">
              <w:rPr>
                <w:color w:val="00B0F0"/>
              </w:rPr>
              <w:t>–1</w:t>
            </w:r>
            <w:r w:rsidR="00470AE4" w:rsidRPr="00C63860">
              <w:t>,290 (</w:t>
            </w:r>
            <w:r w:rsidRPr="00C63860">
              <w:rPr>
                <w:color w:val="00B0F0"/>
              </w:rPr>
              <w:t>–3</w:t>
            </w:r>
            <w:r w:rsidR="00470AE4" w:rsidRPr="00C63860">
              <w:t>,350, 778)</w:t>
            </w:r>
          </w:p>
        </w:tc>
        <w:tc>
          <w:tcPr>
            <w:tcW w:w="0" w:type="auto"/>
            <w:shd w:val="clear" w:color="auto" w:fill="FFE599" w:themeFill="accent4" w:themeFillTint="66"/>
          </w:tcPr>
          <w:p w14:paraId="0B40C1C5" w14:textId="563B6197" w:rsidR="00470AE4" w:rsidRPr="00C63860" w:rsidRDefault="00470AE4" w:rsidP="00470AE4">
            <w:pPr>
              <w:spacing w:after="160"/>
              <w:contextualSpacing/>
              <w:jc w:val="center"/>
            </w:pPr>
            <w:r w:rsidRPr="00C63860">
              <w:t>3,940 (</w:t>
            </w:r>
            <w:r w:rsidR="00C63860" w:rsidRPr="00C63860">
              <w:rPr>
                <w:color w:val="00B0F0"/>
              </w:rPr>
              <w:t>–5</w:t>
            </w:r>
            <w:r w:rsidRPr="00C63860">
              <w:t>75, 8,450)</w:t>
            </w:r>
          </w:p>
        </w:tc>
      </w:tr>
      <w:tr w:rsidR="00470AE4" w:rsidRPr="00C63860" w14:paraId="7AC1E020" w14:textId="77777777" w:rsidTr="00C63860">
        <w:trPr>
          <w:cantSplit/>
        </w:trPr>
        <w:tc>
          <w:tcPr>
            <w:tcW w:w="0" w:type="auto"/>
          </w:tcPr>
          <w:p w14:paraId="63185FAE" w14:textId="28081588" w:rsidR="00470AE4" w:rsidRPr="00C63860" w:rsidRDefault="00470AE4" w:rsidP="00470AE4">
            <w:pPr>
              <w:spacing w:after="160"/>
              <w:ind w:left="340"/>
              <w:contextualSpacing/>
            </w:pPr>
            <w:r w:rsidRPr="00C63860">
              <w:t>65</w:t>
            </w:r>
            <w:r w:rsidR="00C63860" w:rsidRPr="00C63860">
              <w:rPr>
                <w:color w:val="00B0F0"/>
              </w:rPr>
              <w:t>–6</w:t>
            </w:r>
            <w:r w:rsidRPr="00C63860">
              <w:t>9</w:t>
            </w:r>
          </w:p>
        </w:tc>
        <w:tc>
          <w:tcPr>
            <w:tcW w:w="0" w:type="auto"/>
            <w:shd w:val="clear" w:color="auto" w:fill="FFE599" w:themeFill="accent4" w:themeFillTint="66"/>
          </w:tcPr>
          <w:p w14:paraId="391B8BED" w14:textId="7524379D" w:rsidR="00470AE4" w:rsidRPr="00C63860" w:rsidRDefault="00C63860" w:rsidP="00470AE4">
            <w:pPr>
              <w:spacing w:after="160"/>
              <w:contextualSpacing/>
              <w:jc w:val="center"/>
            </w:pPr>
            <w:r w:rsidRPr="00C63860">
              <w:rPr>
                <w:color w:val="00B0F0"/>
              </w:rPr>
              <w:t>–9</w:t>
            </w:r>
            <w:r w:rsidR="00470AE4" w:rsidRPr="00C63860">
              <w:t>20 (</w:t>
            </w:r>
            <w:r w:rsidRPr="00C63860">
              <w:rPr>
                <w:color w:val="00B0F0"/>
              </w:rPr>
              <w:t>–3</w:t>
            </w:r>
            <w:r w:rsidR="00470AE4" w:rsidRPr="00C63860">
              <w:t>,290, 1,450)</w:t>
            </w:r>
          </w:p>
        </w:tc>
        <w:tc>
          <w:tcPr>
            <w:tcW w:w="0" w:type="auto"/>
            <w:shd w:val="clear" w:color="auto" w:fill="FFE599" w:themeFill="accent4" w:themeFillTint="66"/>
          </w:tcPr>
          <w:p w14:paraId="70D3C448" w14:textId="24FBF4EA" w:rsidR="00470AE4" w:rsidRPr="00C63860" w:rsidRDefault="00470AE4" w:rsidP="00470AE4">
            <w:pPr>
              <w:spacing w:after="160"/>
              <w:contextualSpacing/>
              <w:jc w:val="center"/>
            </w:pPr>
            <w:r w:rsidRPr="00C63860">
              <w:t>1,040 (</w:t>
            </w:r>
            <w:r w:rsidR="00C63860" w:rsidRPr="00C63860">
              <w:rPr>
                <w:color w:val="00B0F0"/>
              </w:rPr>
              <w:t>–1</w:t>
            </w:r>
            <w:r w:rsidRPr="00C63860">
              <w:t>9.3, 2,100)</w:t>
            </w:r>
          </w:p>
        </w:tc>
        <w:tc>
          <w:tcPr>
            <w:tcW w:w="0" w:type="auto"/>
            <w:shd w:val="clear" w:color="auto" w:fill="FFE599" w:themeFill="accent4" w:themeFillTint="66"/>
          </w:tcPr>
          <w:p w14:paraId="071DFF69" w14:textId="2B5878DA" w:rsidR="00470AE4" w:rsidRPr="00C63860" w:rsidRDefault="00470AE4" w:rsidP="00470AE4">
            <w:pPr>
              <w:spacing w:after="160"/>
              <w:contextualSpacing/>
              <w:jc w:val="center"/>
            </w:pPr>
            <w:r w:rsidRPr="00C63860">
              <w:t>4,650 (</w:t>
            </w:r>
            <w:r w:rsidR="00C63860" w:rsidRPr="00C63860">
              <w:rPr>
                <w:color w:val="00B0F0"/>
              </w:rPr>
              <w:t>–1</w:t>
            </w:r>
            <w:r w:rsidRPr="00C63860">
              <w:t>,810, 11,100)</w:t>
            </w:r>
          </w:p>
        </w:tc>
        <w:tc>
          <w:tcPr>
            <w:tcW w:w="0" w:type="auto"/>
            <w:shd w:val="clear" w:color="auto" w:fill="FFE599" w:themeFill="accent4" w:themeFillTint="66"/>
          </w:tcPr>
          <w:p w14:paraId="24DC1F5C" w14:textId="1F6AC16C" w:rsidR="00470AE4" w:rsidRPr="00C63860" w:rsidRDefault="00470AE4" w:rsidP="00470AE4">
            <w:pPr>
              <w:spacing w:after="160"/>
              <w:contextualSpacing/>
              <w:jc w:val="center"/>
            </w:pPr>
            <w:r w:rsidRPr="00C63860">
              <w:t>597 (</w:t>
            </w:r>
            <w:r w:rsidR="00C63860" w:rsidRPr="00C63860">
              <w:rPr>
                <w:color w:val="00B0F0"/>
              </w:rPr>
              <w:t>–1</w:t>
            </w:r>
            <w:r w:rsidRPr="00C63860">
              <w:t>,400, 2,590)</w:t>
            </w:r>
          </w:p>
        </w:tc>
        <w:tc>
          <w:tcPr>
            <w:tcW w:w="0" w:type="auto"/>
            <w:shd w:val="clear" w:color="auto" w:fill="FFE599" w:themeFill="accent4" w:themeFillTint="66"/>
          </w:tcPr>
          <w:p w14:paraId="2BABD973" w14:textId="21FD037F" w:rsidR="00470AE4" w:rsidRPr="00C63860" w:rsidRDefault="00470AE4" w:rsidP="00470AE4">
            <w:pPr>
              <w:spacing w:after="160"/>
              <w:contextualSpacing/>
              <w:jc w:val="center"/>
            </w:pPr>
            <w:r w:rsidRPr="00C63860">
              <w:t>3,740 (</w:t>
            </w:r>
            <w:r w:rsidR="00C63860" w:rsidRPr="00C63860">
              <w:rPr>
                <w:color w:val="00B0F0"/>
              </w:rPr>
              <w:t>–4</w:t>
            </w:r>
            <w:r w:rsidRPr="00C63860">
              <w:t>85, 7,960)</w:t>
            </w:r>
          </w:p>
        </w:tc>
      </w:tr>
      <w:tr w:rsidR="00470AE4" w:rsidRPr="00C63860" w14:paraId="6B19FA50" w14:textId="77777777" w:rsidTr="00C63860">
        <w:trPr>
          <w:cantSplit/>
        </w:trPr>
        <w:tc>
          <w:tcPr>
            <w:tcW w:w="0" w:type="auto"/>
          </w:tcPr>
          <w:p w14:paraId="7AC0132C" w14:textId="3FBDE1E9" w:rsidR="00470AE4" w:rsidRPr="00C63860" w:rsidRDefault="00470AE4" w:rsidP="00470AE4">
            <w:pPr>
              <w:spacing w:after="160"/>
              <w:ind w:left="340"/>
              <w:contextualSpacing/>
            </w:pPr>
            <w:r w:rsidRPr="00C63860">
              <w:t>70</w:t>
            </w:r>
            <w:r w:rsidR="00C63860" w:rsidRPr="00C63860">
              <w:rPr>
                <w:color w:val="00B0F0"/>
              </w:rPr>
              <w:t>–7</w:t>
            </w:r>
            <w:r w:rsidRPr="00C63860">
              <w:t>4</w:t>
            </w:r>
          </w:p>
        </w:tc>
        <w:tc>
          <w:tcPr>
            <w:tcW w:w="0" w:type="auto"/>
            <w:shd w:val="clear" w:color="auto" w:fill="FFE599" w:themeFill="accent4" w:themeFillTint="66"/>
          </w:tcPr>
          <w:p w14:paraId="35AC8063" w14:textId="286C652F" w:rsidR="00470AE4" w:rsidRPr="00C63860" w:rsidRDefault="00C63860" w:rsidP="00470AE4">
            <w:pPr>
              <w:spacing w:after="160"/>
              <w:contextualSpacing/>
              <w:jc w:val="center"/>
            </w:pPr>
            <w:r w:rsidRPr="00C63860">
              <w:rPr>
                <w:color w:val="00B0F0"/>
              </w:rPr>
              <w:t>–2</w:t>
            </w:r>
            <w:r w:rsidR="00470AE4" w:rsidRPr="00C63860">
              <w:t>,350 (</w:t>
            </w:r>
            <w:r w:rsidRPr="00C63860">
              <w:rPr>
                <w:color w:val="00B0F0"/>
              </w:rPr>
              <w:t>–5</w:t>
            </w:r>
            <w:r w:rsidR="00470AE4" w:rsidRPr="00C63860">
              <w:t>,120, 420)</w:t>
            </w:r>
          </w:p>
        </w:tc>
        <w:tc>
          <w:tcPr>
            <w:tcW w:w="0" w:type="auto"/>
            <w:shd w:val="clear" w:color="auto" w:fill="FFE599" w:themeFill="accent4" w:themeFillTint="66"/>
          </w:tcPr>
          <w:p w14:paraId="35C6241E" w14:textId="1BE7C050" w:rsidR="00470AE4" w:rsidRPr="00C63860" w:rsidRDefault="00470AE4" w:rsidP="00470AE4">
            <w:pPr>
              <w:spacing w:after="160"/>
              <w:contextualSpacing/>
              <w:jc w:val="center"/>
            </w:pPr>
            <w:r w:rsidRPr="00C63860">
              <w:t>446 (</w:t>
            </w:r>
            <w:r w:rsidR="00C63860" w:rsidRPr="00C63860">
              <w:rPr>
                <w:color w:val="00B0F0"/>
              </w:rPr>
              <w:t>–1</w:t>
            </w:r>
            <w:r w:rsidRPr="00C63860">
              <w:t>,090, 1,980)</w:t>
            </w:r>
          </w:p>
        </w:tc>
        <w:tc>
          <w:tcPr>
            <w:tcW w:w="0" w:type="auto"/>
            <w:shd w:val="clear" w:color="auto" w:fill="FFE599" w:themeFill="accent4" w:themeFillTint="66"/>
          </w:tcPr>
          <w:p w14:paraId="0D6457B0" w14:textId="1854E23B" w:rsidR="00470AE4" w:rsidRPr="00C63860" w:rsidRDefault="00470AE4" w:rsidP="00470AE4">
            <w:pPr>
              <w:spacing w:after="160"/>
              <w:contextualSpacing/>
              <w:jc w:val="center"/>
            </w:pPr>
            <w:r w:rsidRPr="00C63860">
              <w:t>5,710 (</w:t>
            </w:r>
            <w:r w:rsidR="00C63860" w:rsidRPr="00C63860">
              <w:rPr>
                <w:color w:val="00B0F0"/>
              </w:rPr>
              <w:t>–8</w:t>
            </w:r>
            <w:r w:rsidRPr="00C63860">
              <w:t>95, 12,320)</w:t>
            </w:r>
          </w:p>
        </w:tc>
        <w:tc>
          <w:tcPr>
            <w:tcW w:w="0" w:type="auto"/>
            <w:shd w:val="clear" w:color="auto" w:fill="FFE599" w:themeFill="accent4" w:themeFillTint="66"/>
          </w:tcPr>
          <w:p w14:paraId="5D84A4AC" w14:textId="5AC984E4" w:rsidR="00470AE4" w:rsidRPr="00C63860" w:rsidRDefault="00C63860" w:rsidP="00470AE4">
            <w:pPr>
              <w:spacing w:after="160"/>
              <w:contextualSpacing/>
              <w:jc w:val="center"/>
            </w:pPr>
            <w:r w:rsidRPr="00C63860">
              <w:rPr>
                <w:color w:val="00B0F0"/>
              </w:rPr>
              <w:t>–9</w:t>
            </w:r>
            <w:r w:rsidR="00470AE4" w:rsidRPr="00C63860">
              <w:t>4.8 (</w:t>
            </w:r>
            <w:r w:rsidRPr="00C63860">
              <w:rPr>
                <w:color w:val="00B0F0"/>
              </w:rPr>
              <w:t>–2</w:t>
            </w:r>
            <w:r w:rsidR="00470AE4" w:rsidRPr="00C63860">
              <w:t>,140, 1,950)</w:t>
            </w:r>
          </w:p>
        </w:tc>
        <w:tc>
          <w:tcPr>
            <w:tcW w:w="0" w:type="auto"/>
            <w:shd w:val="clear" w:color="auto" w:fill="FFE599" w:themeFill="accent4" w:themeFillTint="66"/>
          </w:tcPr>
          <w:p w14:paraId="44AE3AFE" w14:textId="00D294E9" w:rsidR="00470AE4" w:rsidRPr="00C63860" w:rsidRDefault="00470AE4" w:rsidP="00470AE4">
            <w:pPr>
              <w:spacing w:after="160"/>
              <w:contextualSpacing/>
              <w:jc w:val="center"/>
            </w:pPr>
            <w:r w:rsidRPr="00C63860">
              <w:t>1,830 (</w:t>
            </w:r>
            <w:r w:rsidR="00C63860" w:rsidRPr="00C63860">
              <w:rPr>
                <w:color w:val="00B0F0"/>
              </w:rPr>
              <w:t>–1</w:t>
            </w:r>
            <w:r w:rsidRPr="00C63860">
              <w:t>,990, 5,660)</w:t>
            </w:r>
          </w:p>
        </w:tc>
      </w:tr>
      <w:tr w:rsidR="00470AE4" w:rsidRPr="00C63860" w14:paraId="694BBED9" w14:textId="77777777" w:rsidTr="00C63860">
        <w:trPr>
          <w:cantSplit/>
        </w:trPr>
        <w:tc>
          <w:tcPr>
            <w:tcW w:w="0" w:type="auto"/>
          </w:tcPr>
          <w:p w14:paraId="5EA4B94F" w14:textId="0CE2C1F4" w:rsidR="00470AE4" w:rsidRPr="00C63860" w:rsidRDefault="00470AE4" w:rsidP="00470AE4">
            <w:pPr>
              <w:spacing w:after="160"/>
              <w:ind w:left="340"/>
              <w:contextualSpacing/>
            </w:pPr>
            <w:r w:rsidRPr="00C63860">
              <w:t>75</w:t>
            </w:r>
            <w:r w:rsidR="00C63860" w:rsidRPr="00C63860">
              <w:rPr>
                <w:color w:val="00B0F0"/>
              </w:rPr>
              <w:t>–7</w:t>
            </w:r>
            <w:r w:rsidRPr="00C63860">
              <w:t>9</w:t>
            </w:r>
          </w:p>
        </w:tc>
        <w:tc>
          <w:tcPr>
            <w:tcW w:w="0" w:type="auto"/>
            <w:shd w:val="clear" w:color="auto" w:fill="FFE599" w:themeFill="accent4" w:themeFillTint="66"/>
          </w:tcPr>
          <w:p w14:paraId="7065FB6A" w14:textId="0BF0CB0B" w:rsidR="00470AE4" w:rsidRPr="00C63860" w:rsidRDefault="00C63860" w:rsidP="00470AE4">
            <w:pPr>
              <w:spacing w:after="160"/>
              <w:contextualSpacing/>
              <w:jc w:val="center"/>
            </w:pPr>
            <w:r w:rsidRPr="00C63860">
              <w:rPr>
                <w:color w:val="00B0F0"/>
              </w:rPr>
              <w:t>–2</w:t>
            </w:r>
            <w:r w:rsidR="00470AE4" w:rsidRPr="00C63860">
              <w:t>,510 (</w:t>
            </w:r>
            <w:r w:rsidRPr="00C63860">
              <w:rPr>
                <w:color w:val="00B0F0"/>
              </w:rPr>
              <w:t>–6</w:t>
            </w:r>
            <w:r w:rsidR="00470AE4" w:rsidRPr="00C63860">
              <w:t>,560, 1,530)</w:t>
            </w:r>
          </w:p>
        </w:tc>
        <w:tc>
          <w:tcPr>
            <w:tcW w:w="0" w:type="auto"/>
            <w:shd w:val="clear" w:color="auto" w:fill="FFE599" w:themeFill="accent4" w:themeFillTint="66"/>
          </w:tcPr>
          <w:p w14:paraId="136B0B0B" w14:textId="30CFDCCF" w:rsidR="00470AE4" w:rsidRPr="00C63860" w:rsidRDefault="00470AE4" w:rsidP="00470AE4">
            <w:pPr>
              <w:spacing w:after="160"/>
              <w:contextualSpacing/>
              <w:jc w:val="center"/>
            </w:pPr>
            <w:r w:rsidRPr="00C63860">
              <w:t>628 (</w:t>
            </w:r>
            <w:r w:rsidR="00C63860" w:rsidRPr="00C63860">
              <w:rPr>
                <w:color w:val="00B0F0"/>
              </w:rPr>
              <w:t>–1</w:t>
            </w:r>
            <w:r w:rsidRPr="00C63860">
              <w:t>,260, 2,520)</w:t>
            </w:r>
          </w:p>
        </w:tc>
        <w:tc>
          <w:tcPr>
            <w:tcW w:w="0" w:type="auto"/>
            <w:shd w:val="clear" w:color="auto" w:fill="FFE599" w:themeFill="accent4" w:themeFillTint="66"/>
          </w:tcPr>
          <w:p w14:paraId="0C937074" w14:textId="3FEFACF0" w:rsidR="00470AE4" w:rsidRPr="00C63860" w:rsidRDefault="00470AE4" w:rsidP="00470AE4">
            <w:pPr>
              <w:spacing w:after="160"/>
              <w:contextualSpacing/>
              <w:jc w:val="center"/>
            </w:pPr>
            <w:r w:rsidRPr="00C63860">
              <w:t>6,270 (</w:t>
            </w:r>
            <w:r w:rsidR="00C63860" w:rsidRPr="00C63860">
              <w:rPr>
                <w:color w:val="00B0F0"/>
              </w:rPr>
              <w:t>–1</w:t>
            </w:r>
            <w:r w:rsidRPr="00C63860">
              <w:t>,980, 14.500)</w:t>
            </w:r>
          </w:p>
        </w:tc>
        <w:tc>
          <w:tcPr>
            <w:tcW w:w="0" w:type="auto"/>
            <w:shd w:val="clear" w:color="auto" w:fill="FFE599" w:themeFill="accent4" w:themeFillTint="66"/>
          </w:tcPr>
          <w:p w14:paraId="0F4DC23F" w14:textId="035F1E11" w:rsidR="00470AE4" w:rsidRPr="00C63860" w:rsidRDefault="00C63860" w:rsidP="00470AE4">
            <w:pPr>
              <w:spacing w:after="160"/>
              <w:contextualSpacing/>
              <w:jc w:val="center"/>
            </w:pPr>
            <w:r w:rsidRPr="00C63860">
              <w:rPr>
                <w:color w:val="00B0F0"/>
              </w:rPr>
              <w:t>–1</w:t>
            </w:r>
            <w:r w:rsidR="00470AE4" w:rsidRPr="00C63860">
              <w:t>,630 (</w:t>
            </w:r>
            <w:r w:rsidRPr="00C63860">
              <w:rPr>
                <w:color w:val="00B0F0"/>
              </w:rPr>
              <w:t>–3</w:t>
            </w:r>
            <w:r w:rsidR="00470AE4" w:rsidRPr="00C63860">
              <w:t>,860, 598)</w:t>
            </w:r>
          </w:p>
        </w:tc>
        <w:tc>
          <w:tcPr>
            <w:tcW w:w="0" w:type="auto"/>
            <w:shd w:val="clear" w:color="auto" w:fill="FFE599" w:themeFill="accent4" w:themeFillTint="66"/>
          </w:tcPr>
          <w:p w14:paraId="3521B5E4" w14:textId="15CBA769" w:rsidR="00470AE4" w:rsidRPr="00C63860" w:rsidRDefault="00470AE4" w:rsidP="00470AE4">
            <w:pPr>
              <w:spacing w:after="160"/>
              <w:contextualSpacing/>
              <w:jc w:val="center"/>
            </w:pPr>
            <w:r w:rsidRPr="00C63860">
              <w:t>534 (</w:t>
            </w:r>
            <w:r w:rsidR="00C63860" w:rsidRPr="00C63860">
              <w:rPr>
                <w:color w:val="00B0F0"/>
              </w:rPr>
              <w:t>–4</w:t>
            </w:r>
            <w:r w:rsidRPr="00C63860">
              <w:t>,760, 5,830)</w:t>
            </w:r>
          </w:p>
        </w:tc>
      </w:tr>
      <w:tr w:rsidR="00470AE4" w:rsidRPr="00C63860" w14:paraId="6914B16E" w14:textId="77777777" w:rsidTr="00C63860">
        <w:trPr>
          <w:cantSplit/>
        </w:trPr>
        <w:tc>
          <w:tcPr>
            <w:tcW w:w="0" w:type="auto"/>
          </w:tcPr>
          <w:p w14:paraId="19E56E90" w14:textId="1C91381B" w:rsidR="00470AE4" w:rsidRPr="00C63860" w:rsidRDefault="00470AE4" w:rsidP="00470AE4">
            <w:pPr>
              <w:spacing w:after="160"/>
              <w:ind w:left="340"/>
              <w:contextualSpacing/>
            </w:pPr>
            <w:r w:rsidRPr="00C63860">
              <w:t>80</w:t>
            </w:r>
            <w:r w:rsidR="00C63860" w:rsidRPr="00C63860">
              <w:rPr>
                <w:color w:val="00B0F0"/>
              </w:rPr>
              <w:t>–8</w:t>
            </w:r>
            <w:r w:rsidRPr="00C63860">
              <w:t>4</w:t>
            </w:r>
          </w:p>
        </w:tc>
        <w:tc>
          <w:tcPr>
            <w:tcW w:w="0" w:type="auto"/>
            <w:shd w:val="clear" w:color="auto" w:fill="E1706D"/>
          </w:tcPr>
          <w:p w14:paraId="11CF5B17" w14:textId="2645F00B" w:rsidR="00470AE4" w:rsidRPr="00C63860" w:rsidRDefault="00C63860" w:rsidP="00470AE4">
            <w:pPr>
              <w:spacing w:after="160"/>
              <w:contextualSpacing/>
              <w:jc w:val="center"/>
            </w:pPr>
            <w:r w:rsidRPr="00C63860">
              <w:rPr>
                <w:color w:val="00B0F0"/>
              </w:rPr>
              <w:t>–4</w:t>
            </w:r>
            <w:r w:rsidR="00470AE4" w:rsidRPr="00C63860">
              <w:t>,890 (</w:t>
            </w:r>
            <w:r w:rsidRPr="00C63860">
              <w:rPr>
                <w:color w:val="00B0F0"/>
              </w:rPr>
              <w:t>–9</w:t>
            </w:r>
            <w:r w:rsidR="00470AE4" w:rsidRPr="00C63860">
              <w:t>,61</w:t>
            </w:r>
            <w:r w:rsidRPr="00C63860">
              <w:rPr>
                <w:color w:val="00B0F0"/>
              </w:rPr>
              <w:t>0, -1</w:t>
            </w:r>
            <w:r w:rsidR="00470AE4" w:rsidRPr="00C63860">
              <w:t>65)</w:t>
            </w:r>
          </w:p>
        </w:tc>
        <w:tc>
          <w:tcPr>
            <w:tcW w:w="0" w:type="auto"/>
            <w:shd w:val="clear" w:color="auto" w:fill="FFE599" w:themeFill="accent4" w:themeFillTint="66"/>
          </w:tcPr>
          <w:p w14:paraId="5AE62D7D" w14:textId="66C854B1" w:rsidR="00470AE4" w:rsidRPr="00C63860" w:rsidRDefault="00C63860" w:rsidP="00470AE4">
            <w:pPr>
              <w:spacing w:after="160"/>
              <w:contextualSpacing/>
              <w:jc w:val="center"/>
            </w:pPr>
            <w:r w:rsidRPr="00C63860">
              <w:rPr>
                <w:color w:val="00B0F0"/>
              </w:rPr>
              <w:t>–1</w:t>
            </w:r>
            <w:r w:rsidR="00470AE4" w:rsidRPr="00C63860">
              <w:t>,640 (</w:t>
            </w:r>
            <w:r w:rsidRPr="00C63860">
              <w:rPr>
                <w:color w:val="00B0F0"/>
              </w:rPr>
              <w:t>–4</w:t>
            </w:r>
            <w:r w:rsidR="00470AE4" w:rsidRPr="00C63860">
              <w:t>,400, 1,120)</w:t>
            </w:r>
          </w:p>
        </w:tc>
        <w:tc>
          <w:tcPr>
            <w:tcW w:w="0" w:type="auto"/>
            <w:shd w:val="clear" w:color="auto" w:fill="FFE599" w:themeFill="accent4" w:themeFillTint="66"/>
          </w:tcPr>
          <w:p w14:paraId="4B6BEDB9" w14:textId="4F9DC04C" w:rsidR="00470AE4" w:rsidRPr="00C63860" w:rsidRDefault="00470AE4" w:rsidP="00470AE4">
            <w:pPr>
              <w:spacing w:after="160"/>
              <w:contextualSpacing/>
              <w:jc w:val="center"/>
            </w:pPr>
            <w:r w:rsidRPr="00C63860">
              <w:t>4,000 (</w:t>
            </w:r>
            <w:r w:rsidR="00C63860" w:rsidRPr="00C63860">
              <w:rPr>
                <w:color w:val="00B0F0"/>
              </w:rPr>
              <w:t>–5</w:t>
            </w:r>
            <w:r w:rsidRPr="00C63860">
              <w:t>,420, 13,400)</w:t>
            </w:r>
          </w:p>
        </w:tc>
        <w:tc>
          <w:tcPr>
            <w:tcW w:w="0" w:type="auto"/>
            <w:shd w:val="clear" w:color="auto" w:fill="FFE599" w:themeFill="accent4" w:themeFillTint="66"/>
          </w:tcPr>
          <w:p w14:paraId="068BBFD5" w14:textId="205F48FF" w:rsidR="00470AE4" w:rsidRPr="00C63860" w:rsidRDefault="00C63860" w:rsidP="00470AE4">
            <w:pPr>
              <w:spacing w:after="160"/>
              <w:contextualSpacing/>
              <w:jc w:val="center"/>
            </w:pPr>
            <w:r w:rsidRPr="00C63860">
              <w:rPr>
                <w:color w:val="00B0F0"/>
              </w:rPr>
              <w:t>–8</w:t>
            </w:r>
            <w:r w:rsidR="00470AE4" w:rsidRPr="00C63860">
              <w:t>54 (</w:t>
            </w:r>
            <w:r w:rsidRPr="00C63860">
              <w:rPr>
                <w:color w:val="00B0F0"/>
              </w:rPr>
              <w:t>–3</w:t>
            </w:r>
            <w:r w:rsidR="00470AE4" w:rsidRPr="00C63860">
              <w:t>,170, 1,470)</w:t>
            </w:r>
          </w:p>
        </w:tc>
        <w:tc>
          <w:tcPr>
            <w:tcW w:w="0" w:type="auto"/>
            <w:shd w:val="clear" w:color="auto" w:fill="FFE599" w:themeFill="accent4" w:themeFillTint="66"/>
          </w:tcPr>
          <w:p w14:paraId="3A4AF7E4" w14:textId="4CDAA849" w:rsidR="00470AE4" w:rsidRPr="00C63860" w:rsidRDefault="00C63860" w:rsidP="00470AE4">
            <w:pPr>
              <w:spacing w:after="160"/>
              <w:contextualSpacing/>
              <w:jc w:val="center"/>
            </w:pPr>
            <w:r w:rsidRPr="00C63860">
              <w:rPr>
                <w:color w:val="00B0F0"/>
              </w:rPr>
              <w:t>–2</w:t>
            </w:r>
            <w:r w:rsidR="00470AE4" w:rsidRPr="00C63860">
              <w:t>,380 (</w:t>
            </w:r>
            <w:r w:rsidRPr="00C63860">
              <w:rPr>
                <w:color w:val="00B0F0"/>
              </w:rPr>
              <w:t>–6</w:t>
            </w:r>
            <w:r w:rsidR="00470AE4" w:rsidRPr="00C63860">
              <w:t>,260, 1,500)</w:t>
            </w:r>
          </w:p>
        </w:tc>
      </w:tr>
      <w:tr w:rsidR="00470AE4" w:rsidRPr="00C63860" w14:paraId="62A7540B" w14:textId="77777777" w:rsidTr="00C63860">
        <w:trPr>
          <w:cantSplit/>
        </w:trPr>
        <w:tc>
          <w:tcPr>
            <w:tcW w:w="0" w:type="auto"/>
          </w:tcPr>
          <w:p w14:paraId="59E7AD5D" w14:textId="30388300" w:rsidR="00470AE4" w:rsidRPr="00C63860" w:rsidRDefault="00C63860" w:rsidP="00470AE4">
            <w:pPr>
              <w:spacing w:after="160"/>
              <w:ind w:left="340"/>
              <w:contextualSpacing/>
            </w:pPr>
            <w:r w:rsidRPr="00C63860">
              <w:rPr>
                <w:color w:val="00B0F0"/>
              </w:rPr>
              <w:t>&gt; 8</w:t>
            </w:r>
            <w:r w:rsidR="00470AE4" w:rsidRPr="00C63860">
              <w:t>4</w:t>
            </w:r>
          </w:p>
        </w:tc>
        <w:tc>
          <w:tcPr>
            <w:tcW w:w="0" w:type="auto"/>
            <w:shd w:val="clear" w:color="auto" w:fill="FFE599" w:themeFill="accent4" w:themeFillTint="66"/>
          </w:tcPr>
          <w:p w14:paraId="27F2B1E9" w14:textId="52EBF585" w:rsidR="00470AE4" w:rsidRPr="00C63860" w:rsidRDefault="00C63860" w:rsidP="00470AE4">
            <w:pPr>
              <w:spacing w:after="160"/>
              <w:contextualSpacing/>
              <w:jc w:val="center"/>
            </w:pPr>
            <w:r w:rsidRPr="00C63860">
              <w:rPr>
                <w:color w:val="00B0F0"/>
              </w:rPr>
              <w:t>–3</w:t>
            </w:r>
            <w:r w:rsidR="00470AE4" w:rsidRPr="00C63860">
              <w:t>,840 (</w:t>
            </w:r>
            <w:r w:rsidRPr="00C63860">
              <w:rPr>
                <w:color w:val="00B0F0"/>
              </w:rPr>
              <w:t>–9</w:t>
            </w:r>
            <w:r w:rsidR="00470AE4" w:rsidRPr="00C63860">
              <w:t>,360, 1,680)</w:t>
            </w:r>
          </w:p>
        </w:tc>
        <w:tc>
          <w:tcPr>
            <w:tcW w:w="0" w:type="auto"/>
            <w:shd w:val="clear" w:color="auto" w:fill="FFE599" w:themeFill="accent4" w:themeFillTint="66"/>
          </w:tcPr>
          <w:p w14:paraId="24A00B6B" w14:textId="2F678FA7" w:rsidR="00470AE4" w:rsidRPr="00C63860" w:rsidRDefault="00C63860" w:rsidP="00470AE4">
            <w:pPr>
              <w:spacing w:after="160"/>
              <w:contextualSpacing/>
              <w:jc w:val="center"/>
            </w:pPr>
            <w:r w:rsidRPr="00C63860">
              <w:rPr>
                <w:color w:val="00B0F0"/>
              </w:rPr>
              <w:t>–1</w:t>
            </w:r>
            <w:r w:rsidR="00470AE4" w:rsidRPr="00C63860">
              <w:t>,920 (</w:t>
            </w:r>
            <w:r w:rsidRPr="00C63860">
              <w:rPr>
                <w:color w:val="00B0F0"/>
              </w:rPr>
              <w:t>–4</w:t>
            </w:r>
            <w:r w:rsidR="00470AE4" w:rsidRPr="00C63860">
              <w:t>,920, 1,070)</w:t>
            </w:r>
          </w:p>
        </w:tc>
        <w:tc>
          <w:tcPr>
            <w:tcW w:w="0" w:type="auto"/>
            <w:shd w:val="clear" w:color="auto" w:fill="FFE599" w:themeFill="accent4" w:themeFillTint="66"/>
          </w:tcPr>
          <w:p w14:paraId="2AE2BE32" w14:textId="0579CCC1" w:rsidR="00470AE4" w:rsidRPr="00C63860" w:rsidRDefault="00470AE4" w:rsidP="00470AE4">
            <w:pPr>
              <w:spacing w:after="160"/>
              <w:contextualSpacing/>
              <w:jc w:val="center"/>
            </w:pPr>
            <w:r w:rsidRPr="00C63860">
              <w:t>2,100 (</w:t>
            </w:r>
            <w:r w:rsidR="00C63860" w:rsidRPr="00C63860">
              <w:rPr>
                <w:color w:val="00B0F0"/>
              </w:rPr>
              <w:t>–7</w:t>
            </w:r>
            <w:r w:rsidRPr="00C63860">
              <w:t>,940, 12,100)</w:t>
            </w:r>
          </w:p>
        </w:tc>
        <w:tc>
          <w:tcPr>
            <w:tcW w:w="0" w:type="auto"/>
            <w:shd w:val="clear" w:color="auto" w:fill="FFE599" w:themeFill="accent4" w:themeFillTint="66"/>
          </w:tcPr>
          <w:p w14:paraId="57A75217" w14:textId="54BCF160" w:rsidR="00470AE4" w:rsidRPr="00C63860" w:rsidRDefault="00C63860" w:rsidP="00470AE4">
            <w:pPr>
              <w:spacing w:after="160"/>
              <w:contextualSpacing/>
              <w:jc w:val="center"/>
            </w:pPr>
            <w:r w:rsidRPr="00C63860">
              <w:rPr>
                <w:color w:val="00B0F0"/>
              </w:rPr>
              <w:t>–2</w:t>
            </w:r>
            <w:r w:rsidR="00470AE4" w:rsidRPr="00C63860">
              <w:t>,190 (</w:t>
            </w:r>
            <w:r w:rsidRPr="00C63860">
              <w:rPr>
                <w:color w:val="00B0F0"/>
              </w:rPr>
              <w:t>–4</w:t>
            </w:r>
            <w:r w:rsidR="00470AE4" w:rsidRPr="00C63860">
              <w:t>,</w:t>
            </w:r>
            <w:r w:rsidR="00470AE4" w:rsidRPr="00C63860">
              <w:rPr>
                <w:shd w:val="clear" w:color="auto" w:fill="FFE599" w:themeFill="accent4" w:themeFillTint="66"/>
              </w:rPr>
              <w:t>690</w:t>
            </w:r>
            <w:r w:rsidR="00470AE4" w:rsidRPr="00C63860">
              <w:t>, 306)</w:t>
            </w:r>
          </w:p>
        </w:tc>
        <w:tc>
          <w:tcPr>
            <w:tcW w:w="0" w:type="auto"/>
            <w:shd w:val="clear" w:color="auto" w:fill="E1706D"/>
          </w:tcPr>
          <w:p w14:paraId="49051299" w14:textId="051A1B42" w:rsidR="00470AE4" w:rsidRPr="00C63860" w:rsidRDefault="00C63860" w:rsidP="00470AE4">
            <w:pPr>
              <w:spacing w:after="160"/>
              <w:contextualSpacing/>
              <w:jc w:val="center"/>
            </w:pPr>
            <w:r w:rsidRPr="00C63860">
              <w:rPr>
                <w:color w:val="00B0F0"/>
              </w:rPr>
              <w:t>–6</w:t>
            </w:r>
            <w:r w:rsidR="00470AE4" w:rsidRPr="00C63860">
              <w:t>,730 (</w:t>
            </w:r>
            <w:r w:rsidRPr="00C63860">
              <w:rPr>
                <w:color w:val="00B0F0"/>
              </w:rPr>
              <w:t>–1</w:t>
            </w:r>
            <w:r w:rsidR="00470AE4" w:rsidRPr="00C63860">
              <w:t>1,30</w:t>
            </w:r>
            <w:r w:rsidRPr="00C63860">
              <w:rPr>
                <w:color w:val="00B0F0"/>
              </w:rPr>
              <w:t>0, -2</w:t>
            </w:r>
            <w:r w:rsidR="00470AE4" w:rsidRPr="00C63860">
              <w:t>,120)</w:t>
            </w:r>
          </w:p>
        </w:tc>
      </w:tr>
      <w:tr w:rsidR="00470AE4" w:rsidRPr="00C63860" w14:paraId="58EED393" w14:textId="77777777" w:rsidTr="00C63860">
        <w:trPr>
          <w:cantSplit/>
        </w:trPr>
        <w:tc>
          <w:tcPr>
            <w:tcW w:w="0" w:type="auto"/>
          </w:tcPr>
          <w:p w14:paraId="48500961" w14:textId="77777777" w:rsidR="00470AE4" w:rsidRPr="00C63860" w:rsidRDefault="00470AE4" w:rsidP="00470AE4">
            <w:pPr>
              <w:spacing w:after="160"/>
              <w:contextualSpacing/>
              <w:rPr>
                <w:i/>
              </w:rPr>
            </w:pPr>
            <w:r w:rsidRPr="00C63860">
              <w:rPr>
                <w:i/>
              </w:rPr>
              <w:t>Frailty levels</w:t>
            </w:r>
          </w:p>
        </w:tc>
        <w:tc>
          <w:tcPr>
            <w:tcW w:w="0" w:type="auto"/>
          </w:tcPr>
          <w:p w14:paraId="4184B0D8" w14:textId="77777777" w:rsidR="00470AE4" w:rsidRPr="00C63860" w:rsidRDefault="00470AE4" w:rsidP="00470AE4">
            <w:pPr>
              <w:spacing w:after="160"/>
              <w:contextualSpacing/>
              <w:jc w:val="center"/>
            </w:pPr>
          </w:p>
        </w:tc>
        <w:tc>
          <w:tcPr>
            <w:tcW w:w="0" w:type="auto"/>
          </w:tcPr>
          <w:p w14:paraId="1A8129CF" w14:textId="77777777" w:rsidR="00470AE4" w:rsidRPr="00C63860" w:rsidRDefault="00470AE4" w:rsidP="00470AE4">
            <w:pPr>
              <w:spacing w:after="160"/>
              <w:contextualSpacing/>
              <w:jc w:val="center"/>
            </w:pPr>
          </w:p>
        </w:tc>
        <w:tc>
          <w:tcPr>
            <w:tcW w:w="0" w:type="auto"/>
          </w:tcPr>
          <w:p w14:paraId="682DADC8" w14:textId="77777777" w:rsidR="00470AE4" w:rsidRPr="00C63860" w:rsidRDefault="00470AE4" w:rsidP="00470AE4">
            <w:pPr>
              <w:spacing w:after="160"/>
              <w:contextualSpacing/>
              <w:jc w:val="center"/>
            </w:pPr>
          </w:p>
        </w:tc>
        <w:tc>
          <w:tcPr>
            <w:tcW w:w="0" w:type="auto"/>
          </w:tcPr>
          <w:p w14:paraId="3B70CBB7" w14:textId="77777777" w:rsidR="00470AE4" w:rsidRPr="00C63860" w:rsidRDefault="00470AE4" w:rsidP="00470AE4">
            <w:pPr>
              <w:spacing w:after="160"/>
              <w:contextualSpacing/>
              <w:jc w:val="center"/>
            </w:pPr>
          </w:p>
        </w:tc>
        <w:tc>
          <w:tcPr>
            <w:tcW w:w="0" w:type="auto"/>
          </w:tcPr>
          <w:p w14:paraId="71440132" w14:textId="77777777" w:rsidR="00470AE4" w:rsidRPr="00C63860" w:rsidRDefault="00470AE4" w:rsidP="00470AE4">
            <w:pPr>
              <w:spacing w:after="160"/>
              <w:contextualSpacing/>
              <w:jc w:val="center"/>
            </w:pPr>
          </w:p>
        </w:tc>
      </w:tr>
      <w:tr w:rsidR="00470AE4" w:rsidRPr="00C63860" w14:paraId="14F0AE45" w14:textId="77777777" w:rsidTr="00C63860">
        <w:trPr>
          <w:cantSplit/>
        </w:trPr>
        <w:tc>
          <w:tcPr>
            <w:tcW w:w="0" w:type="auto"/>
          </w:tcPr>
          <w:p w14:paraId="5D378458" w14:textId="77777777" w:rsidR="00470AE4" w:rsidRPr="00C63860" w:rsidRDefault="00470AE4" w:rsidP="00470AE4">
            <w:pPr>
              <w:spacing w:after="160"/>
              <w:ind w:left="340"/>
              <w:contextualSpacing/>
            </w:pPr>
            <w:r w:rsidRPr="00C63860">
              <w:t>Fit</w:t>
            </w:r>
          </w:p>
        </w:tc>
        <w:tc>
          <w:tcPr>
            <w:tcW w:w="0" w:type="auto"/>
            <w:shd w:val="clear" w:color="auto" w:fill="FFE599" w:themeFill="accent4" w:themeFillTint="66"/>
          </w:tcPr>
          <w:p w14:paraId="35DD0AEC" w14:textId="18C0D530" w:rsidR="00470AE4" w:rsidRPr="00C63860" w:rsidRDefault="00470AE4" w:rsidP="00470AE4">
            <w:pPr>
              <w:spacing w:after="160"/>
              <w:contextualSpacing/>
              <w:jc w:val="center"/>
            </w:pPr>
            <w:r w:rsidRPr="00C63860">
              <w:t>369 (</w:t>
            </w:r>
            <w:r w:rsidR="00C63860" w:rsidRPr="00C63860">
              <w:rPr>
                <w:color w:val="00B0F0"/>
              </w:rPr>
              <w:t>–7</w:t>
            </w:r>
            <w:r w:rsidRPr="00C63860">
              <w:t>28, 1,470)</w:t>
            </w:r>
          </w:p>
        </w:tc>
        <w:tc>
          <w:tcPr>
            <w:tcW w:w="0" w:type="auto"/>
            <w:shd w:val="clear" w:color="auto" w:fill="A8D08D" w:themeFill="accent6" w:themeFillTint="99"/>
          </w:tcPr>
          <w:p w14:paraId="7BF8C93C" w14:textId="77777777" w:rsidR="00470AE4" w:rsidRPr="00C63860" w:rsidRDefault="00470AE4" w:rsidP="00470AE4">
            <w:pPr>
              <w:spacing w:after="160"/>
              <w:contextualSpacing/>
              <w:jc w:val="center"/>
            </w:pPr>
            <w:r w:rsidRPr="00C63860">
              <w:t>718 (294, 1,140)</w:t>
            </w:r>
          </w:p>
        </w:tc>
        <w:tc>
          <w:tcPr>
            <w:tcW w:w="0" w:type="auto"/>
            <w:shd w:val="clear" w:color="auto" w:fill="A8D08D" w:themeFill="accent6" w:themeFillTint="99"/>
          </w:tcPr>
          <w:p w14:paraId="124D0A45" w14:textId="77777777" w:rsidR="00470AE4" w:rsidRPr="00C63860" w:rsidRDefault="00470AE4" w:rsidP="00470AE4">
            <w:pPr>
              <w:spacing w:after="160"/>
              <w:contextualSpacing/>
              <w:jc w:val="center"/>
            </w:pPr>
            <w:r w:rsidRPr="00C63860">
              <w:t>5,180 (684, 9,680)</w:t>
            </w:r>
          </w:p>
        </w:tc>
        <w:tc>
          <w:tcPr>
            <w:tcW w:w="0" w:type="auto"/>
            <w:shd w:val="clear" w:color="auto" w:fill="A8D08D" w:themeFill="accent6" w:themeFillTint="99"/>
          </w:tcPr>
          <w:p w14:paraId="308FBC21" w14:textId="6ED11783" w:rsidR="00470AE4" w:rsidRPr="00C63860" w:rsidRDefault="00470AE4" w:rsidP="00470AE4">
            <w:pPr>
              <w:spacing w:after="160"/>
              <w:contextualSpacing/>
              <w:jc w:val="center"/>
            </w:pPr>
            <w:r w:rsidRPr="00C63860">
              <w:t>2</w:t>
            </w:r>
            <w:r w:rsidR="00871B25" w:rsidRPr="00C63860">
              <w:t>,</w:t>
            </w:r>
            <w:r w:rsidRPr="00C63860">
              <w:t>040 (996, 3,090)</w:t>
            </w:r>
          </w:p>
        </w:tc>
        <w:tc>
          <w:tcPr>
            <w:tcW w:w="0" w:type="auto"/>
            <w:shd w:val="clear" w:color="auto" w:fill="A8D08D" w:themeFill="accent6" w:themeFillTint="99"/>
          </w:tcPr>
          <w:p w14:paraId="15310745" w14:textId="768CE269" w:rsidR="00470AE4" w:rsidRPr="00C63860" w:rsidRDefault="00470AE4" w:rsidP="00470AE4">
            <w:pPr>
              <w:spacing w:after="160"/>
              <w:contextualSpacing/>
              <w:jc w:val="center"/>
            </w:pPr>
            <w:r w:rsidRPr="00C63860">
              <w:t>7</w:t>
            </w:r>
            <w:r w:rsidR="00871B25" w:rsidRPr="00C63860">
              <w:t>,</w:t>
            </w:r>
            <w:r w:rsidRPr="00C63860">
              <w:t>850 (5020, 10,700)</w:t>
            </w:r>
          </w:p>
        </w:tc>
      </w:tr>
      <w:tr w:rsidR="00470AE4" w:rsidRPr="00C63860" w14:paraId="212816CE" w14:textId="77777777" w:rsidTr="00C63860">
        <w:trPr>
          <w:cantSplit/>
        </w:trPr>
        <w:tc>
          <w:tcPr>
            <w:tcW w:w="0" w:type="auto"/>
          </w:tcPr>
          <w:p w14:paraId="705A5C7D" w14:textId="77777777" w:rsidR="00470AE4" w:rsidRPr="00C63860" w:rsidRDefault="00470AE4" w:rsidP="00470AE4">
            <w:pPr>
              <w:spacing w:after="160"/>
              <w:ind w:left="340"/>
              <w:contextualSpacing/>
            </w:pPr>
            <w:r w:rsidRPr="00C63860">
              <w:t>Mild frailty</w:t>
            </w:r>
          </w:p>
        </w:tc>
        <w:tc>
          <w:tcPr>
            <w:tcW w:w="0" w:type="auto"/>
            <w:shd w:val="clear" w:color="auto" w:fill="FFE599" w:themeFill="accent4" w:themeFillTint="66"/>
          </w:tcPr>
          <w:p w14:paraId="559B15EE" w14:textId="184AFEE6" w:rsidR="00470AE4" w:rsidRPr="00C63860" w:rsidRDefault="00C63860" w:rsidP="00470AE4">
            <w:pPr>
              <w:spacing w:after="160"/>
              <w:contextualSpacing/>
              <w:jc w:val="center"/>
            </w:pPr>
            <w:r w:rsidRPr="00C63860">
              <w:rPr>
                <w:color w:val="00B0F0"/>
              </w:rPr>
              <w:t>–1</w:t>
            </w:r>
            <w:r w:rsidR="00470AE4" w:rsidRPr="00C63860">
              <w:t>,030 (</w:t>
            </w:r>
            <w:r w:rsidRPr="00C63860">
              <w:rPr>
                <w:color w:val="00B0F0"/>
              </w:rPr>
              <w:t>–2</w:t>
            </w:r>
            <w:r w:rsidR="00470AE4" w:rsidRPr="00C63860">
              <w:t>,360, 295)</w:t>
            </w:r>
          </w:p>
        </w:tc>
        <w:tc>
          <w:tcPr>
            <w:tcW w:w="0" w:type="auto"/>
            <w:shd w:val="clear" w:color="auto" w:fill="FFE599" w:themeFill="accent4" w:themeFillTint="66"/>
          </w:tcPr>
          <w:p w14:paraId="39A5224E" w14:textId="519B322B" w:rsidR="00470AE4" w:rsidRPr="00C63860" w:rsidRDefault="00470AE4" w:rsidP="00470AE4">
            <w:pPr>
              <w:spacing w:after="160"/>
              <w:contextualSpacing/>
              <w:jc w:val="center"/>
            </w:pPr>
            <w:r w:rsidRPr="00C63860">
              <w:t>243 (</w:t>
            </w:r>
            <w:r w:rsidR="00C63860" w:rsidRPr="00C63860">
              <w:rPr>
                <w:color w:val="00B0F0"/>
              </w:rPr>
              <w:t>–6</w:t>
            </w:r>
            <w:r w:rsidRPr="00C63860">
              <w:t>09, 1,090)</w:t>
            </w:r>
          </w:p>
        </w:tc>
        <w:tc>
          <w:tcPr>
            <w:tcW w:w="0" w:type="auto"/>
            <w:shd w:val="clear" w:color="auto" w:fill="FFE599" w:themeFill="accent4" w:themeFillTint="66"/>
          </w:tcPr>
          <w:p w14:paraId="0F21D1D2" w14:textId="02F0BA80" w:rsidR="00470AE4" w:rsidRPr="00C63860" w:rsidRDefault="00470AE4" w:rsidP="00470AE4">
            <w:pPr>
              <w:spacing w:after="160"/>
              <w:contextualSpacing/>
              <w:jc w:val="center"/>
            </w:pPr>
            <w:r w:rsidRPr="00C63860">
              <w:t>2,650 (</w:t>
            </w:r>
            <w:r w:rsidR="00C63860" w:rsidRPr="00C63860">
              <w:rPr>
                <w:color w:val="00B0F0"/>
              </w:rPr>
              <w:t>–5</w:t>
            </w:r>
            <w:r w:rsidRPr="00C63860">
              <w:t>,690, 11,000)</w:t>
            </w:r>
          </w:p>
        </w:tc>
        <w:tc>
          <w:tcPr>
            <w:tcW w:w="0" w:type="auto"/>
            <w:shd w:val="clear" w:color="auto" w:fill="FFE599" w:themeFill="accent4" w:themeFillTint="66"/>
          </w:tcPr>
          <w:p w14:paraId="1F7B23B5" w14:textId="59B6D887" w:rsidR="00470AE4" w:rsidRPr="00C63860" w:rsidRDefault="00470AE4" w:rsidP="00470AE4">
            <w:pPr>
              <w:spacing w:after="160"/>
              <w:contextualSpacing/>
              <w:jc w:val="center"/>
            </w:pPr>
            <w:r w:rsidRPr="00C63860">
              <w:t>481 (</w:t>
            </w:r>
            <w:r w:rsidR="00C63860" w:rsidRPr="00C63860">
              <w:rPr>
                <w:color w:val="00B0F0"/>
              </w:rPr>
              <w:t>–9</w:t>
            </w:r>
            <w:r w:rsidRPr="00C63860">
              <w:t>89, 1,950)</w:t>
            </w:r>
          </w:p>
        </w:tc>
        <w:tc>
          <w:tcPr>
            <w:tcW w:w="0" w:type="auto"/>
            <w:shd w:val="clear" w:color="auto" w:fill="FFE599" w:themeFill="accent4" w:themeFillTint="66"/>
          </w:tcPr>
          <w:p w14:paraId="521595FE" w14:textId="61DFB1D3" w:rsidR="00470AE4" w:rsidRPr="00C63860" w:rsidRDefault="00C63860" w:rsidP="00470AE4">
            <w:pPr>
              <w:spacing w:after="160"/>
              <w:contextualSpacing/>
              <w:jc w:val="center"/>
            </w:pPr>
            <w:r w:rsidRPr="00C63860">
              <w:rPr>
                <w:color w:val="00B0F0"/>
              </w:rPr>
              <w:t>–4</w:t>
            </w:r>
            <w:r w:rsidR="00470AE4" w:rsidRPr="00C63860">
              <w:t>39 (</w:t>
            </w:r>
            <w:r w:rsidRPr="00C63860">
              <w:rPr>
                <w:color w:val="00B0F0"/>
              </w:rPr>
              <w:t>–3</w:t>
            </w:r>
            <w:r w:rsidR="00470AE4" w:rsidRPr="00C63860">
              <w:t>,540, 2,660)</w:t>
            </w:r>
          </w:p>
        </w:tc>
      </w:tr>
      <w:tr w:rsidR="00470AE4" w:rsidRPr="00C63860" w14:paraId="5EB480C9" w14:textId="77777777" w:rsidTr="00C63860">
        <w:trPr>
          <w:cantSplit/>
        </w:trPr>
        <w:tc>
          <w:tcPr>
            <w:tcW w:w="0" w:type="auto"/>
          </w:tcPr>
          <w:p w14:paraId="19FF9509" w14:textId="77777777" w:rsidR="00470AE4" w:rsidRPr="00C63860" w:rsidRDefault="00470AE4" w:rsidP="00470AE4">
            <w:pPr>
              <w:spacing w:after="160"/>
              <w:ind w:left="340"/>
              <w:contextualSpacing/>
            </w:pPr>
            <w:r w:rsidRPr="00C63860">
              <w:t>Moderate frailty</w:t>
            </w:r>
          </w:p>
        </w:tc>
        <w:tc>
          <w:tcPr>
            <w:tcW w:w="0" w:type="auto"/>
            <w:shd w:val="clear" w:color="auto" w:fill="E1706D"/>
          </w:tcPr>
          <w:p w14:paraId="7D053695" w14:textId="0E9F215A" w:rsidR="00470AE4" w:rsidRPr="00C63860" w:rsidRDefault="00C63860" w:rsidP="00470AE4">
            <w:pPr>
              <w:spacing w:after="160"/>
              <w:contextualSpacing/>
              <w:jc w:val="center"/>
            </w:pPr>
            <w:r w:rsidRPr="00C63860">
              <w:rPr>
                <w:color w:val="00B0F0"/>
              </w:rPr>
              <w:t>–5</w:t>
            </w:r>
            <w:r w:rsidR="00470AE4" w:rsidRPr="00C63860">
              <w:t>,750 (</w:t>
            </w:r>
            <w:r w:rsidRPr="00C63860">
              <w:rPr>
                <w:color w:val="00B0F0"/>
              </w:rPr>
              <w:t>–7</w:t>
            </w:r>
            <w:r w:rsidR="00470AE4" w:rsidRPr="00C63860">
              <w:t>,81</w:t>
            </w:r>
            <w:r w:rsidRPr="00C63860">
              <w:rPr>
                <w:color w:val="00B0F0"/>
              </w:rPr>
              <w:t>0, -3</w:t>
            </w:r>
            <w:r w:rsidR="00470AE4" w:rsidRPr="00C63860">
              <w:t>,690)</w:t>
            </w:r>
          </w:p>
        </w:tc>
        <w:tc>
          <w:tcPr>
            <w:tcW w:w="0" w:type="auto"/>
            <w:shd w:val="clear" w:color="auto" w:fill="FFE599" w:themeFill="accent4" w:themeFillTint="66"/>
          </w:tcPr>
          <w:p w14:paraId="4C0BFACC" w14:textId="6D07EEE0" w:rsidR="00470AE4" w:rsidRPr="00C63860" w:rsidRDefault="00C63860" w:rsidP="00470AE4">
            <w:pPr>
              <w:spacing w:after="160"/>
              <w:contextualSpacing/>
              <w:jc w:val="center"/>
            </w:pPr>
            <w:r w:rsidRPr="00C63860">
              <w:rPr>
                <w:color w:val="00B0F0"/>
              </w:rPr>
              <w:t>–1</w:t>
            </w:r>
            <w:r w:rsidR="00470AE4" w:rsidRPr="00C63860">
              <w:t>,130 (</w:t>
            </w:r>
            <w:r w:rsidRPr="00C63860">
              <w:rPr>
                <w:color w:val="00B0F0"/>
              </w:rPr>
              <w:t>–3</w:t>
            </w:r>
            <w:r w:rsidR="00470AE4" w:rsidRPr="00C63860">
              <w:t>,310, 1,060)</w:t>
            </w:r>
          </w:p>
        </w:tc>
        <w:tc>
          <w:tcPr>
            <w:tcW w:w="0" w:type="auto"/>
            <w:shd w:val="clear" w:color="auto" w:fill="FFE599" w:themeFill="accent4" w:themeFillTint="66"/>
          </w:tcPr>
          <w:p w14:paraId="02A149F1" w14:textId="7F4AC635" w:rsidR="00470AE4" w:rsidRPr="00C63860" w:rsidRDefault="00C63860" w:rsidP="00470AE4">
            <w:pPr>
              <w:spacing w:after="160"/>
              <w:contextualSpacing/>
              <w:jc w:val="center"/>
            </w:pPr>
            <w:r w:rsidRPr="00C63860">
              <w:rPr>
                <w:color w:val="00B0F0"/>
              </w:rPr>
              <w:t>–3</w:t>
            </w:r>
            <w:r w:rsidR="00470AE4" w:rsidRPr="00C63860">
              <w:t>,960 (</w:t>
            </w:r>
            <w:r w:rsidRPr="00C63860">
              <w:rPr>
                <w:color w:val="00B0F0"/>
              </w:rPr>
              <w:t>–1</w:t>
            </w:r>
            <w:r w:rsidR="00470AE4" w:rsidRPr="00C63860">
              <w:t>6,400, 8,510)</w:t>
            </w:r>
          </w:p>
        </w:tc>
        <w:tc>
          <w:tcPr>
            <w:tcW w:w="0" w:type="auto"/>
            <w:shd w:val="clear" w:color="auto" w:fill="E1706D"/>
          </w:tcPr>
          <w:p w14:paraId="009E5043" w14:textId="1BED3AE1" w:rsidR="00470AE4" w:rsidRPr="00C63860" w:rsidRDefault="00C63860" w:rsidP="00470AE4">
            <w:pPr>
              <w:spacing w:after="160"/>
              <w:contextualSpacing/>
              <w:jc w:val="center"/>
            </w:pPr>
            <w:r w:rsidRPr="00C63860">
              <w:rPr>
                <w:color w:val="00B0F0"/>
              </w:rPr>
              <w:t>–5</w:t>
            </w:r>
            <w:r w:rsidR="00470AE4" w:rsidRPr="00C63860">
              <w:t>,630 (</w:t>
            </w:r>
            <w:r w:rsidRPr="00C63860">
              <w:rPr>
                <w:color w:val="00B0F0"/>
              </w:rPr>
              <w:t>–8</w:t>
            </w:r>
            <w:r w:rsidR="00470AE4" w:rsidRPr="00C63860">
              <w:t>,15</w:t>
            </w:r>
            <w:r w:rsidRPr="00C63860">
              <w:rPr>
                <w:color w:val="00B0F0"/>
              </w:rPr>
              <w:t>0, -3</w:t>
            </w:r>
            <w:r w:rsidR="00470AE4" w:rsidRPr="00C63860">
              <w:t>,110)</w:t>
            </w:r>
          </w:p>
        </w:tc>
        <w:tc>
          <w:tcPr>
            <w:tcW w:w="0" w:type="auto"/>
            <w:shd w:val="clear" w:color="auto" w:fill="E1706D"/>
          </w:tcPr>
          <w:p w14:paraId="5479C62D" w14:textId="2F6F7519" w:rsidR="00470AE4" w:rsidRPr="00C63860" w:rsidRDefault="00C63860" w:rsidP="00470AE4">
            <w:pPr>
              <w:spacing w:after="160"/>
              <w:contextualSpacing/>
              <w:jc w:val="center"/>
            </w:pPr>
            <w:r w:rsidRPr="00C63860">
              <w:rPr>
                <w:color w:val="00B0F0"/>
              </w:rPr>
              <w:t>–9</w:t>
            </w:r>
            <w:r w:rsidR="003952E1" w:rsidRPr="00C63860">
              <w:t>,</w:t>
            </w:r>
            <w:r w:rsidR="00470AE4" w:rsidRPr="00C63860">
              <w:t>3</w:t>
            </w:r>
            <w:r w:rsidR="000D3A22" w:rsidRPr="00C63860">
              <w:t>2</w:t>
            </w:r>
            <w:r w:rsidR="00470AE4" w:rsidRPr="00C63860">
              <w:t>0 (</w:t>
            </w:r>
            <w:r w:rsidRPr="00C63860">
              <w:rPr>
                <w:color w:val="00B0F0"/>
              </w:rPr>
              <w:t>–1</w:t>
            </w:r>
            <w:r w:rsidR="00470AE4" w:rsidRPr="00C63860">
              <w:t>4,90</w:t>
            </w:r>
            <w:r w:rsidRPr="00C63860">
              <w:rPr>
                <w:color w:val="00B0F0"/>
              </w:rPr>
              <w:t>0, -3</w:t>
            </w:r>
            <w:r w:rsidR="00470AE4" w:rsidRPr="00C63860">
              <w:t>,740)</w:t>
            </w:r>
          </w:p>
        </w:tc>
      </w:tr>
      <w:tr w:rsidR="00470AE4" w:rsidRPr="00C63860" w14:paraId="3FDFF69D" w14:textId="77777777" w:rsidTr="00C63860">
        <w:trPr>
          <w:cantSplit/>
        </w:trPr>
        <w:tc>
          <w:tcPr>
            <w:tcW w:w="0" w:type="auto"/>
          </w:tcPr>
          <w:p w14:paraId="4DBD80F3" w14:textId="77777777" w:rsidR="00470AE4" w:rsidRPr="00C63860" w:rsidRDefault="00470AE4" w:rsidP="00470AE4">
            <w:pPr>
              <w:spacing w:after="160"/>
              <w:ind w:left="340"/>
              <w:contextualSpacing/>
            </w:pPr>
            <w:r w:rsidRPr="00C63860">
              <w:t>Severe frailty</w:t>
            </w:r>
          </w:p>
        </w:tc>
        <w:tc>
          <w:tcPr>
            <w:tcW w:w="0" w:type="auto"/>
            <w:shd w:val="clear" w:color="auto" w:fill="E1706D"/>
          </w:tcPr>
          <w:p w14:paraId="7A08D3A0" w14:textId="367B9C44" w:rsidR="00470AE4" w:rsidRPr="00C63860" w:rsidRDefault="00C63860" w:rsidP="00470AE4">
            <w:pPr>
              <w:spacing w:after="160"/>
              <w:contextualSpacing/>
              <w:jc w:val="center"/>
            </w:pPr>
            <w:r w:rsidRPr="00C63860">
              <w:rPr>
                <w:color w:val="00B0F0"/>
              </w:rPr>
              <w:t>–1</w:t>
            </w:r>
            <w:r w:rsidR="00470AE4" w:rsidRPr="00C63860">
              <w:t>8,7</w:t>
            </w:r>
            <w:r w:rsidR="00693D6F" w:rsidRPr="00C63860">
              <w:t>00</w:t>
            </w:r>
            <w:r w:rsidR="00470AE4" w:rsidRPr="00C63860">
              <w:t xml:space="preserve"> (</w:t>
            </w:r>
            <w:r w:rsidRPr="00C63860">
              <w:rPr>
                <w:color w:val="00B0F0"/>
              </w:rPr>
              <w:t>–2</w:t>
            </w:r>
            <w:r w:rsidR="00470AE4" w:rsidRPr="00C63860">
              <w:t>3,90</w:t>
            </w:r>
            <w:r w:rsidRPr="00C63860">
              <w:rPr>
                <w:color w:val="00B0F0"/>
              </w:rPr>
              <w:t>0, -1</w:t>
            </w:r>
            <w:r w:rsidR="00470AE4" w:rsidRPr="00C63860">
              <w:t>3,600)</w:t>
            </w:r>
          </w:p>
        </w:tc>
        <w:tc>
          <w:tcPr>
            <w:tcW w:w="0" w:type="auto"/>
            <w:shd w:val="clear" w:color="auto" w:fill="E1706D"/>
          </w:tcPr>
          <w:p w14:paraId="3FAB89CD" w14:textId="0C8E7C2F" w:rsidR="00470AE4" w:rsidRPr="00C63860" w:rsidRDefault="00C63860" w:rsidP="00470AE4">
            <w:pPr>
              <w:spacing w:after="160"/>
              <w:contextualSpacing/>
              <w:jc w:val="center"/>
            </w:pPr>
            <w:r w:rsidRPr="00C63860">
              <w:rPr>
                <w:color w:val="00B0F0"/>
              </w:rPr>
              <w:t>–7</w:t>
            </w:r>
            <w:r w:rsidR="00470AE4" w:rsidRPr="00C63860">
              <w:t>,700 (</w:t>
            </w:r>
            <w:r w:rsidRPr="00C63860">
              <w:rPr>
                <w:color w:val="00B0F0"/>
              </w:rPr>
              <w:t>–1</w:t>
            </w:r>
            <w:r w:rsidR="00470AE4" w:rsidRPr="00C63860">
              <w:t>3,00</w:t>
            </w:r>
            <w:r w:rsidRPr="00C63860">
              <w:rPr>
                <w:color w:val="00B0F0"/>
              </w:rPr>
              <w:t>0, -2</w:t>
            </w:r>
            <w:r w:rsidR="00470AE4" w:rsidRPr="00C63860">
              <w:t>,370)</w:t>
            </w:r>
          </w:p>
        </w:tc>
        <w:tc>
          <w:tcPr>
            <w:tcW w:w="0" w:type="auto"/>
            <w:shd w:val="clear" w:color="auto" w:fill="FFE599" w:themeFill="accent4" w:themeFillTint="66"/>
          </w:tcPr>
          <w:p w14:paraId="32D24DDF" w14:textId="6180CF11" w:rsidR="00470AE4" w:rsidRPr="00C63860" w:rsidRDefault="00C63860" w:rsidP="00470AE4">
            <w:pPr>
              <w:spacing w:after="160"/>
              <w:contextualSpacing/>
              <w:jc w:val="center"/>
            </w:pPr>
            <w:r w:rsidRPr="00C63860">
              <w:rPr>
                <w:color w:val="00B0F0"/>
              </w:rPr>
              <w:t>–9</w:t>
            </w:r>
            <w:r w:rsidR="00470AE4" w:rsidRPr="00C63860">
              <w:t>,230 (</w:t>
            </w:r>
            <w:r w:rsidRPr="00C63860">
              <w:rPr>
                <w:color w:val="00B0F0"/>
              </w:rPr>
              <w:t>–2</w:t>
            </w:r>
            <w:r w:rsidR="00470AE4" w:rsidRPr="00C63860">
              <w:t>4,300, 5,860)</w:t>
            </w:r>
          </w:p>
        </w:tc>
        <w:tc>
          <w:tcPr>
            <w:tcW w:w="0" w:type="auto"/>
            <w:shd w:val="clear" w:color="auto" w:fill="E1706D"/>
          </w:tcPr>
          <w:p w14:paraId="49023A07" w14:textId="67980140" w:rsidR="00470AE4" w:rsidRPr="00C63860" w:rsidRDefault="00C63860" w:rsidP="00470AE4">
            <w:pPr>
              <w:spacing w:after="160"/>
              <w:contextualSpacing/>
              <w:jc w:val="center"/>
            </w:pPr>
            <w:r w:rsidRPr="00C63860">
              <w:rPr>
                <w:color w:val="00B0F0"/>
              </w:rPr>
              <w:t>–1</w:t>
            </w:r>
            <w:r w:rsidR="00470AE4" w:rsidRPr="00C63860">
              <w:t>6,600 (</w:t>
            </w:r>
            <w:r w:rsidRPr="00C63860">
              <w:rPr>
                <w:color w:val="00B0F0"/>
              </w:rPr>
              <w:t>–2</w:t>
            </w:r>
            <w:r w:rsidR="00470AE4" w:rsidRPr="00C63860">
              <w:t>1,10</w:t>
            </w:r>
            <w:r w:rsidRPr="00C63860">
              <w:rPr>
                <w:color w:val="00B0F0"/>
              </w:rPr>
              <w:t>0, -1</w:t>
            </w:r>
            <w:r w:rsidR="00470AE4" w:rsidRPr="00C63860">
              <w:t>2,000)</w:t>
            </w:r>
          </w:p>
        </w:tc>
        <w:tc>
          <w:tcPr>
            <w:tcW w:w="0" w:type="auto"/>
            <w:shd w:val="clear" w:color="auto" w:fill="E1706D"/>
          </w:tcPr>
          <w:p w14:paraId="75790C76" w14:textId="4D85A652" w:rsidR="00470AE4" w:rsidRPr="00C63860" w:rsidRDefault="00C63860" w:rsidP="00470AE4">
            <w:pPr>
              <w:spacing w:after="160"/>
              <w:contextualSpacing/>
              <w:jc w:val="center"/>
            </w:pPr>
            <w:r w:rsidRPr="00C63860">
              <w:rPr>
                <w:color w:val="00B0F0"/>
              </w:rPr>
              <w:t>–1</w:t>
            </w:r>
            <w:r w:rsidR="00470AE4" w:rsidRPr="00C63860">
              <w:t>9</w:t>
            </w:r>
            <w:r w:rsidR="003952E1" w:rsidRPr="00C63860">
              <w:t>,</w:t>
            </w:r>
            <w:r w:rsidR="00470AE4" w:rsidRPr="00C63860">
              <w:t>300 (</w:t>
            </w:r>
            <w:r w:rsidRPr="00C63860">
              <w:rPr>
                <w:color w:val="00B0F0"/>
              </w:rPr>
              <w:t>–2</w:t>
            </w:r>
            <w:r w:rsidR="00470AE4" w:rsidRPr="00C63860">
              <w:t>5,60</w:t>
            </w:r>
            <w:r w:rsidRPr="00C63860">
              <w:rPr>
                <w:color w:val="00B0F0"/>
              </w:rPr>
              <w:t>0, -1</w:t>
            </w:r>
            <w:r w:rsidR="00470AE4" w:rsidRPr="00C63860">
              <w:t>3,000)</w:t>
            </w:r>
          </w:p>
        </w:tc>
      </w:tr>
      <w:tr w:rsidR="00470AE4" w:rsidRPr="00C63860" w14:paraId="10309C22" w14:textId="77777777" w:rsidTr="00C63860">
        <w:trPr>
          <w:cantSplit/>
        </w:trPr>
        <w:tc>
          <w:tcPr>
            <w:tcW w:w="0" w:type="auto"/>
          </w:tcPr>
          <w:p w14:paraId="0E04C6AC" w14:textId="77777777" w:rsidR="00470AE4" w:rsidRPr="00C63860" w:rsidRDefault="00470AE4" w:rsidP="00470AE4">
            <w:pPr>
              <w:spacing w:after="160"/>
              <w:contextualSpacing/>
              <w:rPr>
                <w:i/>
              </w:rPr>
            </w:pPr>
            <w:r w:rsidRPr="00C63860">
              <w:rPr>
                <w:i/>
              </w:rPr>
              <w:t>Number of comorbidities</w:t>
            </w:r>
          </w:p>
        </w:tc>
        <w:tc>
          <w:tcPr>
            <w:tcW w:w="0" w:type="auto"/>
          </w:tcPr>
          <w:p w14:paraId="68465B98" w14:textId="77777777" w:rsidR="00470AE4" w:rsidRPr="00C63860" w:rsidRDefault="00470AE4" w:rsidP="00470AE4">
            <w:pPr>
              <w:spacing w:after="160"/>
              <w:contextualSpacing/>
              <w:jc w:val="center"/>
            </w:pPr>
          </w:p>
        </w:tc>
        <w:tc>
          <w:tcPr>
            <w:tcW w:w="0" w:type="auto"/>
          </w:tcPr>
          <w:p w14:paraId="6E34CF60" w14:textId="77777777" w:rsidR="00470AE4" w:rsidRPr="00C63860" w:rsidRDefault="00470AE4" w:rsidP="00470AE4">
            <w:pPr>
              <w:spacing w:after="160"/>
              <w:contextualSpacing/>
              <w:jc w:val="center"/>
            </w:pPr>
          </w:p>
        </w:tc>
        <w:tc>
          <w:tcPr>
            <w:tcW w:w="0" w:type="auto"/>
          </w:tcPr>
          <w:p w14:paraId="7B048B0F" w14:textId="77777777" w:rsidR="00470AE4" w:rsidRPr="00C63860" w:rsidRDefault="00470AE4" w:rsidP="00470AE4">
            <w:pPr>
              <w:spacing w:after="160"/>
              <w:contextualSpacing/>
              <w:jc w:val="center"/>
            </w:pPr>
          </w:p>
        </w:tc>
        <w:tc>
          <w:tcPr>
            <w:tcW w:w="0" w:type="auto"/>
          </w:tcPr>
          <w:p w14:paraId="7857C1F2" w14:textId="77777777" w:rsidR="00470AE4" w:rsidRPr="00C63860" w:rsidRDefault="00470AE4" w:rsidP="00470AE4">
            <w:pPr>
              <w:spacing w:after="160"/>
              <w:contextualSpacing/>
              <w:jc w:val="center"/>
            </w:pPr>
          </w:p>
        </w:tc>
        <w:tc>
          <w:tcPr>
            <w:tcW w:w="0" w:type="auto"/>
          </w:tcPr>
          <w:p w14:paraId="59B858B9" w14:textId="77777777" w:rsidR="00470AE4" w:rsidRPr="00C63860" w:rsidRDefault="00470AE4" w:rsidP="00470AE4">
            <w:pPr>
              <w:spacing w:after="160"/>
              <w:contextualSpacing/>
              <w:jc w:val="center"/>
            </w:pPr>
          </w:p>
        </w:tc>
      </w:tr>
      <w:tr w:rsidR="00470AE4" w:rsidRPr="00C63860" w14:paraId="74CA4BDB" w14:textId="77777777" w:rsidTr="00C63860">
        <w:trPr>
          <w:cantSplit/>
        </w:trPr>
        <w:tc>
          <w:tcPr>
            <w:tcW w:w="0" w:type="auto"/>
          </w:tcPr>
          <w:p w14:paraId="33E27F8C" w14:textId="77777777" w:rsidR="00470AE4" w:rsidRPr="00C63860" w:rsidRDefault="00470AE4" w:rsidP="00470AE4">
            <w:pPr>
              <w:spacing w:after="160"/>
              <w:ind w:left="340"/>
              <w:contextualSpacing/>
            </w:pPr>
            <w:r w:rsidRPr="00C63860">
              <w:t>0 – comorbidities</w:t>
            </w:r>
          </w:p>
        </w:tc>
        <w:tc>
          <w:tcPr>
            <w:tcW w:w="0" w:type="auto"/>
            <w:shd w:val="clear" w:color="auto" w:fill="FFE599" w:themeFill="accent4" w:themeFillTint="66"/>
          </w:tcPr>
          <w:p w14:paraId="1343E45F" w14:textId="47E88684" w:rsidR="00470AE4" w:rsidRPr="00C63860" w:rsidRDefault="00470AE4" w:rsidP="00470AE4">
            <w:pPr>
              <w:spacing w:after="160"/>
              <w:contextualSpacing/>
              <w:jc w:val="center"/>
            </w:pPr>
            <w:r w:rsidRPr="00C63860">
              <w:t>168 (</w:t>
            </w:r>
            <w:r w:rsidR="00C63860" w:rsidRPr="00C63860">
              <w:rPr>
                <w:color w:val="00B0F0"/>
              </w:rPr>
              <w:t>–9</w:t>
            </w:r>
            <w:r w:rsidRPr="00C63860">
              <w:t>30, 1,270)</w:t>
            </w:r>
          </w:p>
        </w:tc>
        <w:tc>
          <w:tcPr>
            <w:tcW w:w="0" w:type="auto"/>
            <w:shd w:val="clear" w:color="auto" w:fill="FFE599" w:themeFill="accent4" w:themeFillTint="66"/>
          </w:tcPr>
          <w:p w14:paraId="2E9CC111" w14:textId="31FABC3D" w:rsidR="00470AE4" w:rsidRPr="00C63860" w:rsidRDefault="00470AE4" w:rsidP="00470AE4">
            <w:pPr>
              <w:spacing w:after="160"/>
              <w:contextualSpacing/>
              <w:jc w:val="center"/>
            </w:pPr>
            <w:r w:rsidRPr="00C63860">
              <w:t>489 (</w:t>
            </w:r>
            <w:r w:rsidR="00C63860" w:rsidRPr="00C63860">
              <w:rPr>
                <w:color w:val="00B0F0"/>
              </w:rPr>
              <w:t>–3</w:t>
            </w:r>
            <w:r w:rsidRPr="00C63860">
              <w:t>6.6, 1,010)</w:t>
            </w:r>
          </w:p>
        </w:tc>
        <w:tc>
          <w:tcPr>
            <w:tcW w:w="0" w:type="auto"/>
            <w:shd w:val="clear" w:color="auto" w:fill="FFE599" w:themeFill="accent4" w:themeFillTint="66"/>
          </w:tcPr>
          <w:p w14:paraId="4EA777A0" w14:textId="54851257" w:rsidR="00470AE4" w:rsidRPr="00C63860" w:rsidRDefault="00470AE4" w:rsidP="00470AE4">
            <w:pPr>
              <w:spacing w:after="160"/>
              <w:contextualSpacing/>
              <w:jc w:val="center"/>
            </w:pPr>
            <w:r w:rsidRPr="00C63860">
              <w:t>1,140 (</w:t>
            </w:r>
            <w:r w:rsidR="00C63860" w:rsidRPr="00C63860">
              <w:rPr>
                <w:color w:val="00B0F0"/>
              </w:rPr>
              <w:t>–5</w:t>
            </w:r>
            <w:r w:rsidRPr="00C63860">
              <w:t>,460, 7,740)</w:t>
            </w:r>
          </w:p>
        </w:tc>
        <w:tc>
          <w:tcPr>
            <w:tcW w:w="0" w:type="auto"/>
            <w:shd w:val="clear" w:color="auto" w:fill="FFE599" w:themeFill="accent4" w:themeFillTint="66"/>
          </w:tcPr>
          <w:p w14:paraId="09A515C9" w14:textId="2F91E400" w:rsidR="00470AE4" w:rsidRPr="00C63860" w:rsidRDefault="00470AE4" w:rsidP="00470AE4">
            <w:pPr>
              <w:spacing w:after="160"/>
              <w:contextualSpacing/>
              <w:jc w:val="center"/>
            </w:pPr>
            <w:r w:rsidRPr="00C63860">
              <w:t>443 (</w:t>
            </w:r>
            <w:r w:rsidR="00C63860" w:rsidRPr="00C63860">
              <w:rPr>
                <w:color w:val="00B0F0"/>
              </w:rPr>
              <w:t>–6</w:t>
            </w:r>
            <w:r w:rsidRPr="00C63860">
              <w:t xml:space="preserve">76, 1,560) </w:t>
            </w:r>
          </w:p>
        </w:tc>
        <w:tc>
          <w:tcPr>
            <w:tcW w:w="0" w:type="auto"/>
            <w:shd w:val="clear" w:color="auto" w:fill="FFE599" w:themeFill="accent4" w:themeFillTint="66"/>
          </w:tcPr>
          <w:p w14:paraId="1D417FA3" w14:textId="139C1E2E" w:rsidR="00470AE4" w:rsidRPr="00C63860" w:rsidRDefault="00C63860" w:rsidP="00470AE4">
            <w:pPr>
              <w:spacing w:after="160"/>
              <w:contextualSpacing/>
              <w:jc w:val="center"/>
            </w:pPr>
            <w:r w:rsidRPr="00C63860">
              <w:rPr>
                <w:color w:val="00B0F0"/>
              </w:rPr>
              <w:t>–6</w:t>
            </w:r>
            <w:r w:rsidR="00470AE4" w:rsidRPr="00C63860">
              <w:t>05 (</w:t>
            </w:r>
            <w:r w:rsidRPr="00C63860">
              <w:rPr>
                <w:color w:val="00B0F0"/>
              </w:rPr>
              <w:t>–3</w:t>
            </w:r>
            <w:r w:rsidR="00470AE4" w:rsidRPr="00C63860">
              <w:t>,710, 2,500)</w:t>
            </w:r>
          </w:p>
        </w:tc>
      </w:tr>
      <w:tr w:rsidR="00470AE4" w:rsidRPr="00C63860" w14:paraId="48FE5474" w14:textId="77777777" w:rsidTr="00C63860">
        <w:trPr>
          <w:cantSplit/>
        </w:trPr>
        <w:tc>
          <w:tcPr>
            <w:tcW w:w="0" w:type="auto"/>
          </w:tcPr>
          <w:p w14:paraId="0FCD00E1" w14:textId="77777777" w:rsidR="00470AE4" w:rsidRPr="00C63860" w:rsidRDefault="00470AE4" w:rsidP="00470AE4">
            <w:pPr>
              <w:spacing w:after="160"/>
              <w:ind w:left="340"/>
              <w:contextualSpacing/>
            </w:pPr>
            <w:r w:rsidRPr="00C63860">
              <w:t>1</w:t>
            </w:r>
          </w:p>
        </w:tc>
        <w:tc>
          <w:tcPr>
            <w:tcW w:w="0" w:type="auto"/>
            <w:shd w:val="clear" w:color="auto" w:fill="FFE599" w:themeFill="accent4" w:themeFillTint="66"/>
          </w:tcPr>
          <w:p w14:paraId="46A77601" w14:textId="4F399D99" w:rsidR="00470AE4" w:rsidRPr="00C63860" w:rsidRDefault="00C63860" w:rsidP="00470AE4">
            <w:pPr>
              <w:spacing w:after="160"/>
              <w:contextualSpacing/>
              <w:jc w:val="center"/>
            </w:pPr>
            <w:r w:rsidRPr="00C63860">
              <w:rPr>
                <w:color w:val="00B0F0"/>
              </w:rPr>
              <w:t>–5</w:t>
            </w:r>
            <w:r w:rsidR="00470AE4" w:rsidRPr="00C63860">
              <w:t>05 (</w:t>
            </w:r>
            <w:r w:rsidRPr="00C63860">
              <w:rPr>
                <w:color w:val="00B0F0"/>
              </w:rPr>
              <w:t>–1</w:t>
            </w:r>
            <w:r w:rsidR="00470AE4" w:rsidRPr="00C63860">
              <w:t>,840, 828)</w:t>
            </w:r>
          </w:p>
        </w:tc>
        <w:tc>
          <w:tcPr>
            <w:tcW w:w="0" w:type="auto"/>
            <w:shd w:val="clear" w:color="auto" w:fill="FFE599" w:themeFill="accent4" w:themeFillTint="66"/>
          </w:tcPr>
          <w:p w14:paraId="2166DC08" w14:textId="29BD9A0F" w:rsidR="00470AE4" w:rsidRPr="00C63860" w:rsidRDefault="00470AE4" w:rsidP="00470AE4">
            <w:pPr>
              <w:spacing w:after="160"/>
              <w:contextualSpacing/>
              <w:jc w:val="center"/>
            </w:pPr>
            <w:r w:rsidRPr="00C63860">
              <w:t>62.6 (</w:t>
            </w:r>
            <w:r w:rsidR="00C63860" w:rsidRPr="00C63860">
              <w:rPr>
                <w:color w:val="00B0F0"/>
              </w:rPr>
              <w:t>–8</w:t>
            </w:r>
            <w:r w:rsidRPr="00C63860">
              <w:t>04, 929)</w:t>
            </w:r>
          </w:p>
        </w:tc>
        <w:tc>
          <w:tcPr>
            <w:tcW w:w="0" w:type="auto"/>
            <w:shd w:val="clear" w:color="auto" w:fill="FFE599" w:themeFill="accent4" w:themeFillTint="66"/>
          </w:tcPr>
          <w:p w14:paraId="0213E651" w14:textId="4834ABDA" w:rsidR="00470AE4" w:rsidRPr="00C63860" w:rsidRDefault="00470AE4" w:rsidP="00470AE4">
            <w:pPr>
              <w:spacing w:after="160"/>
              <w:contextualSpacing/>
              <w:jc w:val="center"/>
            </w:pPr>
            <w:r w:rsidRPr="00C63860">
              <w:t>3,900 (</w:t>
            </w:r>
            <w:r w:rsidR="00C63860" w:rsidRPr="00C63860">
              <w:rPr>
                <w:color w:val="00B0F0"/>
              </w:rPr>
              <w:t>–3</w:t>
            </w:r>
            <w:r w:rsidRPr="00C63860">
              <w:t>,700, 11,500)</w:t>
            </w:r>
          </w:p>
        </w:tc>
        <w:tc>
          <w:tcPr>
            <w:tcW w:w="0" w:type="auto"/>
            <w:shd w:val="clear" w:color="auto" w:fill="FFE599" w:themeFill="accent4" w:themeFillTint="66"/>
          </w:tcPr>
          <w:p w14:paraId="507768DF" w14:textId="0B9D8F06" w:rsidR="00470AE4" w:rsidRPr="00C63860" w:rsidRDefault="00470AE4" w:rsidP="00470AE4">
            <w:pPr>
              <w:spacing w:after="160"/>
              <w:contextualSpacing/>
              <w:jc w:val="center"/>
            </w:pPr>
            <w:r w:rsidRPr="00C63860">
              <w:t>71.3 (</w:t>
            </w:r>
            <w:r w:rsidR="00C63860" w:rsidRPr="00C63860">
              <w:rPr>
                <w:color w:val="00B0F0"/>
              </w:rPr>
              <w:t>–1</w:t>
            </w:r>
            <w:r w:rsidRPr="00C63860">
              <w:t>,590, 1,740)</w:t>
            </w:r>
          </w:p>
        </w:tc>
        <w:tc>
          <w:tcPr>
            <w:tcW w:w="0" w:type="auto"/>
            <w:shd w:val="clear" w:color="auto" w:fill="FFE599" w:themeFill="accent4" w:themeFillTint="66"/>
          </w:tcPr>
          <w:p w14:paraId="0FFF1CBE" w14:textId="19350E1B" w:rsidR="00470AE4" w:rsidRPr="00C63860" w:rsidRDefault="00470AE4" w:rsidP="00470AE4">
            <w:pPr>
              <w:spacing w:after="160"/>
              <w:contextualSpacing/>
              <w:jc w:val="center"/>
            </w:pPr>
            <w:r w:rsidRPr="00C63860">
              <w:t>1,500 (</w:t>
            </w:r>
            <w:r w:rsidR="00C63860" w:rsidRPr="00C63860">
              <w:rPr>
                <w:color w:val="00B0F0"/>
              </w:rPr>
              <w:t>–1</w:t>
            </w:r>
            <w:r w:rsidRPr="00C63860">
              <w:t>,790, 4,790)</w:t>
            </w:r>
          </w:p>
        </w:tc>
      </w:tr>
      <w:tr w:rsidR="00470AE4" w:rsidRPr="00C63860" w14:paraId="3ECE760F" w14:textId="77777777" w:rsidTr="00C63860">
        <w:trPr>
          <w:cantSplit/>
        </w:trPr>
        <w:tc>
          <w:tcPr>
            <w:tcW w:w="0" w:type="auto"/>
          </w:tcPr>
          <w:p w14:paraId="5FFABF27" w14:textId="77777777" w:rsidR="00470AE4" w:rsidRPr="00C63860" w:rsidRDefault="00470AE4" w:rsidP="00470AE4">
            <w:pPr>
              <w:spacing w:after="160"/>
              <w:ind w:left="340"/>
              <w:contextualSpacing/>
            </w:pPr>
            <w:r w:rsidRPr="00C63860">
              <w:t>2</w:t>
            </w:r>
          </w:p>
        </w:tc>
        <w:tc>
          <w:tcPr>
            <w:tcW w:w="0" w:type="auto"/>
            <w:shd w:val="clear" w:color="auto" w:fill="E1706D"/>
          </w:tcPr>
          <w:p w14:paraId="31843347" w14:textId="7855527C" w:rsidR="00470AE4" w:rsidRPr="00C63860" w:rsidRDefault="00C63860" w:rsidP="00470AE4">
            <w:pPr>
              <w:spacing w:after="160"/>
              <w:contextualSpacing/>
              <w:jc w:val="center"/>
            </w:pPr>
            <w:r w:rsidRPr="00C63860">
              <w:rPr>
                <w:color w:val="00B0F0"/>
              </w:rPr>
              <w:t>–6</w:t>
            </w:r>
            <w:r w:rsidR="00470AE4" w:rsidRPr="00C63860">
              <w:t>,410 (</w:t>
            </w:r>
            <w:r w:rsidRPr="00C63860">
              <w:rPr>
                <w:color w:val="00B0F0"/>
              </w:rPr>
              <w:t>–8</w:t>
            </w:r>
            <w:r w:rsidR="00470AE4" w:rsidRPr="00C63860">
              <w:t>,35</w:t>
            </w:r>
            <w:r w:rsidRPr="00C63860">
              <w:rPr>
                <w:color w:val="00B0F0"/>
              </w:rPr>
              <w:t>0, -4</w:t>
            </w:r>
            <w:r w:rsidR="00470AE4" w:rsidRPr="00C63860">
              <w:t>,480)</w:t>
            </w:r>
          </w:p>
        </w:tc>
        <w:tc>
          <w:tcPr>
            <w:tcW w:w="0" w:type="auto"/>
            <w:shd w:val="clear" w:color="auto" w:fill="FFE599" w:themeFill="accent4" w:themeFillTint="66"/>
          </w:tcPr>
          <w:p w14:paraId="37B00B27" w14:textId="38350F8C" w:rsidR="00470AE4" w:rsidRPr="00C63860" w:rsidRDefault="00C63860" w:rsidP="00470AE4">
            <w:pPr>
              <w:spacing w:after="160"/>
              <w:contextualSpacing/>
              <w:jc w:val="center"/>
            </w:pPr>
            <w:r w:rsidRPr="00C63860">
              <w:rPr>
                <w:color w:val="00B0F0"/>
              </w:rPr>
              <w:t>–1</w:t>
            </w:r>
            <w:r w:rsidR="00470AE4" w:rsidRPr="00C63860">
              <w:t>,370 (</w:t>
            </w:r>
            <w:r w:rsidRPr="00C63860">
              <w:rPr>
                <w:color w:val="00B0F0"/>
              </w:rPr>
              <w:t>–3</w:t>
            </w:r>
            <w:r w:rsidR="00470AE4" w:rsidRPr="00C63860">
              <w:t>,920, 1,190)</w:t>
            </w:r>
          </w:p>
        </w:tc>
        <w:tc>
          <w:tcPr>
            <w:tcW w:w="0" w:type="auto"/>
            <w:shd w:val="clear" w:color="auto" w:fill="FFE599" w:themeFill="accent4" w:themeFillTint="66"/>
          </w:tcPr>
          <w:p w14:paraId="77A8A145" w14:textId="7EBD6630" w:rsidR="00470AE4" w:rsidRPr="00C63860" w:rsidRDefault="00470AE4" w:rsidP="00470AE4">
            <w:pPr>
              <w:spacing w:after="160"/>
              <w:contextualSpacing/>
              <w:jc w:val="center"/>
            </w:pPr>
            <w:r w:rsidRPr="00C63860">
              <w:t>6,380 (</w:t>
            </w:r>
            <w:r w:rsidR="00C63860" w:rsidRPr="00C63860">
              <w:rPr>
                <w:color w:val="00B0F0"/>
              </w:rPr>
              <w:t>–2</w:t>
            </w:r>
            <w:r w:rsidRPr="00C63860">
              <w:t>,160, 14,900)</w:t>
            </w:r>
          </w:p>
        </w:tc>
        <w:tc>
          <w:tcPr>
            <w:tcW w:w="0" w:type="auto"/>
            <w:shd w:val="clear" w:color="auto" w:fill="E1706D"/>
          </w:tcPr>
          <w:p w14:paraId="1B3FC68F" w14:textId="76E9A887" w:rsidR="00470AE4" w:rsidRPr="00C63860" w:rsidRDefault="00C63860" w:rsidP="00470AE4">
            <w:pPr>
              <w:spacing w:after="160"/>
              <w:contextualSpacing/>
              <w:jc w:val="center"/>
            </w:pPr>
            <w:r w:rsidRPr="00C63860">
              <w:rPr>
                <w:color w:val="00B0F0"/>
              </w:rPr>
              <w:t>–3</w:t>
            </w:r>
            <w:r w:rsidR="00470AE4" w:rsidRPr="00C63860">
              <w:t>,470 (</w:t>
            </w:r>
            <w:r w:rsidRPr="00C63860">
              <w:rPr>
                <w:color w:val="00B0F0"/>
              </w:rPr>
              <w:t>–6</w:t>
            </w:r>
            <w:r w:rsidR="00470AE4" w:rsidRPr="00C63860">
              <w:t>,03</w:t>
            </w:r>
            <w:r w:rsidRPr="00C63860">
              <w:rPr>
                <w:color w:val="00B0F0"/>
              </w:rPr>
              <w:t>0, -9</w:t>
            </w:r>
            <w:r w:rsidR="00470AE4" w:rsidRPr="00C63860">
              <w:t>19)</w:t>
            </w:r>
          </w:p>
        </w:tc>
        <w:tc>
          <w:tcPr>
            <w:tcW w:w="0" w:type="auto"/>
            <w:shd w:val="clear" w:color="auto" w:fill="FFE599" w:themeFill="accent4" w:themeFillTint="66"/>
          </w:tcPr>
          <w:p w14:paraId="78B12467" w14:textId="0C787D27" w:rsidR="00470AE4" w:rsidRPr="00C63860" w:rsidRDefault="00470AE4" w:rsidP="00470AE4">
            <w:pPr>
              <w:spacing w:after="160"/>
              <w:contextualSpacing/>
              <w:jc w:val="center"/>
            </w:pPr>
            <w:r w:rsidRPr="00C63860">
              <w:t>2,260 (</w:t>
            </w:r>
            <w:r w:rsidR="00C63860" w:rsidRPr="00C63860">
              <w:rPr>
                <w:color w:val="00B0F0"/>
              </w:rPr>
              <w:t>–2</w:t>
            </w:r>
            <w:r w:rsidRPr="00C63860">
              <w:t>,230, 6,750)</w:t>
            </w:r>
          </w:p>
        </w:tc>
      </w:tr>
      <w:tr w:rsidR="00470AE4" w:rsidRPr="00C63860" w14:paraId="695FA643" w14:textId="77777777" w:rsidTr="00C63860">
        <w:trPr>
          <w:cantSplit/>
        </w:trPr>
        <w:tc>
          <w:tcPr>
            <w:tcW w:w="0" w:type="auto"/>
          </w:tcPr>
          <w:p w14:paraId="1193F3FF" w14:textId="3E415132" w:rsidR="00470AE4" w:rsidRPr="00C63860" w:rsidRDefault="00C63860" w:rsidP="00470AE4">
            <w:pPr>
              <w:spacing w:after="160"/>
              <w:ind w:left="340"/>
              <w:contextualSpacing/>
            </w:pPr>
            <w:r w:rsidRPr="00C63860">
              <w:rPr>
                <w:color w:val="00B0F0"/>
              </w:rPr>
              <w:t>3 +</w:t>
            </w:r>
            <w:r w:rsidR="00470AE4" w:rsidRPr="00C63860">
              <w:t xml:space="preserve"> – comorbidities </w:t>
            </w:r>
          </w:p>
        </w:tc>
        <w:tc>
          <w:tcPr>
            <w:tcW w:w="0" w:type="auto"/>
            <w:shd w:val="clear" w:color="auto" w:fill="E1706D"/>
          </w:tcPr>
          <w:p w14:paraId="7404293E" w14:textId="3C08F30C" w:rsidR="00470AE4" w:rsidRPr="00C63860" w:rsidRDefault="00C63860" w:rsidP="00470AE4">
            <w:pPr>
              <w:spacing w:after="160"/>
              <w:contextualSpacing/>
              <w:jc w:val="center"/>
            </w:pPr>
            <w:r w:rsidRPr="00C63860">
              <w:rPr>
                <w:color w:val="00B0F0"/>
              </w:rPr>
              <w:t>–1</w:t>
            </w:r>
            <w:r w:rsidR="00470AE4" w:rsidRPr="00C63860">
              <w:t>1,800 (</w:t>
            </w:r>
            <w:r w:rsidRPr="00C63860">
              <w:rPr>
                <w:color w:val="00B0F0"/>
              </w:rPr>
              <w:t>–1</w:t>
            </w:r>
            <w:r w:rsidR="00470AE4" w:rsidRPr="00C63860">
              <w:t>8,20</w:t>
            </w:r>
            <w:r w:rsidRPr="00C63860">
              <w:rPr>
                <w:color w:val="00B0F0"/>
              </w:rPr>
              <w:t>0, -5</w:t>
            </w:r>
            <w:r w:rsidR="00470AE4" w:rsidRPr="00C63860">
              <w:t>,440)</w:t>
            </w:r>
          </w:p>
        </w:tc>
        <w:tc>
          <w:tcPr>
            <w:tcW w:w="0" w:type="auto"/>
            <w:shd w:val="clear" w:color="auto" w:fill="FFE599" w:themeFill="accent4" w:themeFillTint="66"/>
          </w:tcPr>
          <w:p w14:paraId="5EAF24C9" w14:textId="57AF1E13" w:rsidR="00470AE4" w:rsidRPr="00C63860" w:rsidRDefault="00C63860" w:rsidP="00470AE4">
            <w:pPr>
              <w:spacing w:after="160"/>
              <w:contextualSpacing/>
              <w:jc w:val="center"/>
            </w:pPr>
            <w:r w:rsidRPr="00C63860">
              <w:rPr>
                <w:color w:val="00B0F0"/>
              </w:rPr>
              <w:t>–1</w:t>
            </w:r>
            <w:r w:rsidR="00470AE4" w:rsidRPr="00C63860">
              <w:t>,000 (</w:t>
            </w:r>
            <w:r w:rsidRPr="00C63860">
              <w:rPr>
                <w:color w:val="00B0F0"/>
              </w:rPr>
              <w:t>–5</w:t>
            </w:r>
            <w:r w:rsidR="00470AE4" w:rsidRPr="00C63860">
              <w:t>,810, 3,800)</w:t>
            </w:r>
          </w:p>
        </w:tc>
        <w:tc>
          <w:tcPr>
            <w:tcW w:w="0" w:type="auto"/>
            <w:shd w:val="clear" w:color="auto" w:fill="A8D08D" w:themeFill="accent6" w:themeFillTint="99"/>
          </w:tcPr>
          <w:p w14:paraId="00231734" w14:textId="77777777" w:rsidR="00470AE4" w:rsidRPr="00C63860" w:rsidRDefault="00470AE4" w:rsidP="00470AE4">
            <w:pPr>
              <w:spacing w:after="160"/>
              <w:contextualSpacing/>
              <w:jc w:val="center"/>
            </w:pPr>
            <w:r w:rsidRPr="00C63860">
              <w:t>11,700 (1,860, 21,500)</w:t>
            </w:r>
          </w:p>
        </w:tc>
        <w:tc>
          <w:tcPr>
            <w:tcW w:w="0" w:type="auto"/>
            <w:shd w:val="clear" w:color="auto" w:fill="E1706D"/>
          </w:tcPr>
          <w:p w14:paraId="5D3DD3BF" w14:textId="23B046BE" w:rsidR="00470AE4" w:rsidRPr="00C63860" w:rsidRDefault="00C63860" w:rsidP="00470AE4">
            <w:pPr>
              <w:spacing w:after="160"/>
              <w:contextualSpacing/>
              <w:jc w:val="center"/>
            </w:pPr>
            <w:r w:rsidRPr="00C63860">
              <w:rPr>
                <w:color w:val="00B0F0"/>
              </w:rPr>
              <w:t>–5</w:t>
            </w:r>
            <w:r w:rsidR="00470AE4" w:rsidRPr="00C63860">
              <w:t>,560 (</w:t>
            </w:r>
            <w:r w:rsidRPr="00C63860">
              <w:rPr>
                <w:color w:val="00B0F0"/>
              </w:rPr>
              <w:t>–9</w:t>
            </w:r>
            <w:r w:rsidR="00470AE4" w:rsidRPr="00C63860">
              <w:t>,94</w:t>
            </w:r>
            <w:r w:rsidRPr="00C63860">
              <w:rPr>
                <w:color w:val="00B0F0"/>
              </w:rPr>
              <w:t>0, -1</w:t>
            </w:r>
            <w:r w:rsidR="00470AE4" w:rsidRPr="00C63860">
              <w:t>,180)</w:t>
            </w:r>
          </w:p>
        </w:tc>
        <w:tc>
          <w:tcPr>
            <w:tcW w:w="0" w:type="auto"/>
            <w:shd w:val="clear" w:color="auto" w:fill="FFE599" w:themeFill="accent4" w:themeFillTint="66"/>
          </w:tcPr>
          <w:p w14:paraId="27F12686" w14:textId="354C28BE" w:rsidR="00470AE4" w:rsidRPr="00C63860" w:rsidRDefault="00470AE4" w:rsidP="00470AE4">
            <w:pPr>
              <w:spacing w:after="160"/>
              <w:contextualSpacing/>
              <w:jc w:val="center"/>
            </w:pPr>
            <w:r w:rsidRPr="00C63860">
              <w:t>8160 (</w:t>
            </w:r>
            <w:r w:rsidR="00C63860" w:rsidRPr="00C63860">
              <w:rPr>
                <w:color w:val="00B0F0"/>
              </w:rPr>
              <w:t>–1</w:t>
            </w:r>
            <w:r w:rsidRPr="00C63860">
              <w:t>660, 18,000)</w:t>
            </w:r>
          </w:p>
        </w:tc>
      </w:tr>
    </w:tbl>
    <w:p w14:paraId="55875C2C" w14:textId="3C01DE27" w:rsidR="00C63860" w:rsidRPr="00C63860" w:rsidRDefault="00CA2652" w:rsidP="00470AE4">
      <w:pPr>
        <w:rPr>
          <w:sz w:val="21"/>
          <w:szCs w:val="21"/>
        </w:rPr>
      </w:pPr>
      <w:r w:rsidRPr="00C63860">
        <w:rPr>
          <w:rFonts w:ascii="AppleSystemUIFont" w:hAnsi="AppleSystemUIFont" w:cs="AppleSystemUIFont"/>
          <w:sz w:val="24"/>
          <w:szCs w:val="24"/>
        </w:rPr>
        <w:t>Colours denote statistical significance at 5% level. Green cells indicate LIV method favours ES (INB</w:t>
      </w:r>
      <w:r w:rsidR="00C63860" w:rsidRPr="00C63860">
        <w:rPr>
          <w:rFonts w:ascii="AppleSystemUIFont" w:hAnsi="AppleSystemUIFont" w:cs="AppleSystemUIFont"/>
          <w:color w:val="00B0F0"/>
          <w:sz w:val="24"/>
          <w:szCs w:val="24"/>
        </w:rPr>
        <w:t>&gt; 0</w:t>
      </w:r>
      <w:r w:rsidRPr="00C63860">
        <w:rPr>
          <w:rFonts w:ascii="AppleSystemUIFont" w:hAnsi="AppleSystemUIFont" w:cs="AppleSystemUIFont"/>
          <w:sz w:val="24"/>
          <w:szCs w:val="24"/>
        </w:rPr>
        <w:t>) and red cells indicate LIV method favours NES (INB</w:t>
      </w:r>
      <w:r w:rsidR="00C63860" w:rsidRPr="00C63860">
        <w:rPr>
          <w:rFonts w:ascii="AppleSystemUIFont" w:hAnsi="AppleSystemUIFont" w:cs="AppleSystemUIFont"/>
          <w:color w:val="00B0F0"/>
          <w:sz w:val="24"/>
          <w:szCs w:val="24"/>
        </w:rPr>
        <w:t>&lt; 0</w:t>
      </w:r>
      <w:r w:rsidRPr="00C63860">
        <w:rPr>
          <w:rFonts w:ascii="AppleSystemUIFont" w:hAnsi="AppleSystemUIFont" w:cs="AppleSystemUIFont"/>
          <w:sz w:val="24"/>
          <w:szCs w:val="24"/>
        </w:rPr>
        <w:t>).</w:t>
      </w:r>
    </w:p>
    <w:p w14:paraId="7A69C5F9" w14:textId="6D544927" w:rsidR="00470AE4" w:rsidRPr="00C63860" w:rsidRDefault="00470AE4" w:rsidP="00BC4F71">
      <w:pPr>
        <w:spacing w:before="240" w:after="240" w:line="276" w:lineRule="auto"/>
        <w:outlineLvl w:val="0"/>
        <w:rPr>
          <w:rFonts w:asciiTheme="minorHAnsi" w:hAnsiTheme="minorHAnsi" w:cstheme="minorHAnsi"/>
          <w:b/>
          <w:bCs/>
          <w:sz w:val="36"/>
          <w:szCs w:val="36"/>
        </w:rPr>
      </w:pPr>
      <w:bookmarkStart w:id="100" w:name="_Toc86673001"/>
      <w:r w:rsidRPr="00C63860">
        <w:rPr>
          <w:rFonts w:asciiTheme="minorHAnsi" w:hAnsiTheme="minorHAnsi" w:cstheme="minorHAnsi"/>
          <w:b/>
          <w:bCs/>
          <w:sz w:val="36"/>
          <w:szCs w:val="36"/>
        </w:rPr>
        <w:t>Chapter 5: Discussion</w:t>
      </w:r>
      <w:bookmarkEnd w:id="100"/>
    </w:p>
    <w:p w14:paraId="22318913" w14:textId="77777777" w:rsidR="00470AE4" w:rsidRPr="00C63860" w:rsidRDefault="00470AE4" w:rsidP="00BC4F71">
      <w:pPr>
        <w:spacing w:before="240" w:after="240" w:line="276" w:lineRule="auto"/>
        <w:rPr>
          <w:b/>
          <w:bCs/>
          <w:sz w:val="28"/>
          <w:szCs w:val="28"/>
        </w:rPr>
      </w:pPr>
      <w:r w:rsidRPr="00C63860">
        <w:rPr>
          <w:b/>
          <w:bCs/>
          <w:sz w:val="28"/>
          <w:szCs w:val="28"/>
        </w:rPr>
        <w:t>5.1 Overview</w:t>
      </w:r>
    </w:p>
    <w:p w14:paraId="6164531A" w14:textId="77777777" w:rsidR="00470AE4" w:rsidRPr="00C63860" w:rsidRDefault="00470AE4" w:rsidP="00BC4F71">
      <w:pPr>
        <w:spacing w:before="240" w:after="240" w:line="276" w:lineRule="auto"/>
      </w:pPr>
      <w:r w:rsidRPr="00C63860">
        <w:t xml:space="preserve">The ESORT study evaluated the clinical effectiveness and the cost-effectiveness of ES versus NES strategies that included medical management, non-surgical procedures (e.g. radiological guided drainage of abscess), or surgery deferred to the elective (planned) setting. The study considered patients presenting as emergency admissions to hospital with suspected acute appendicitis, cholelithiasis, diverticular disease, abdominal wall hernia or intestinal obstruction. The study used HES </w:t>
      </w:r>
      <w:r w:rsidRPr="00C63860">
        <w:rPr>
          <w:highlight w:val="magenta"/>
        </w:rPr>
        <w:t>data</w:t>
      </w:r>
      <w:r w:rsidRPr="00C63860">
        <w:t xml:space="preserve"> to define the study cohorts, and the comparator strategies. The study also used the same HES </w:t>
      </w:r>
      <w:r w:rsidRPr="00C63860">
        <w:rPr>
          <w:highlight w:val="magenta"/>
        </w:rPr>
        <w:t>data</w:t>
      </w:r>
      <w:r w:rsidRPr="00C63860">
        <w:t xml:space="preserve"> linked to ONS mortality to derive the primary clinical outcome, DAOH at 90 days, and to calculate QALYs and hospitalisation costs at one year. The ESORT study reported the effectiveness, and cost-effectiveness of ES versus NES with an IV approach that addressed confounding and recognised heterogeneity in the relative effectiveness and cost-effectiveness of ES according to patient subgroup.</w:t>
      </w:r>
    </w:p>
    <w:p w14:paraId="775C0C03" w14:textId="77777777" w:rsidR="00C63860" w:rsidRPr="00C63860" w:rsidRDefault="00470AE4" w:rsidP="00BC4F71">
      <w:pPr>
        <w:spacing w:before="240" w:after="240" w:line="276" w:lineRule="auto"/>
      </w:pPr>
      <w:r w:rsidRPr="00C63860">
        <w:t>The main findings were that overall, the average numbers of DAOH at 90 days were similar following ES and NES strategies for each of the five cohorts of patients with acute gastrointestinal conditions requiring emergency admission. The CEA did not provide strong evidence that either strategy was more cost-effective</w:t>
      </w:r>
      <w:r w:rsidR="00286851" w:rsidRPr="00C63860">
        <w:t xml:space="preserve"> overall across each of the five cohorts of patients.</w:t>
      </w:r>
    </w:p>
    <w:p w14:paraId="0C0C1A91" w14:textId="77777777" w:rsidR="00C63860" w:rsidRPr="00C63860" w:rsidRDefault="00470AE4" w:rsidP="00BC4F71">
      <w:pPr>
        <w:spacing w:before="240" w:after="240" w:line="276" w:lineRule="auto"/>
      </w:pPr>
      <w:r w:rsidRPr="00C63860">
        <w:t>The ESORT study found that for each of the five conditions, the relative effectiveness and cost-effectiveness of ES versus NES strategies differed by patient subgroup, notably according t</w:t>
      </w:r>
      <w:r w:rsidR="00286851" w:rsidRPr="00C63860">
        <w:t xml:space="preserve">o </w:t>
      </w:r>
      <w:r w:rsidRPr="00C63860">
        <w:t>number of comorbidities (Charlson comorbidity index) and frailty level (SCARF index). For patients with acute appendicitis, or abdominal wall hernia who had two or more comorbidities, NES strategies led to increase</w:t>
      </w:r>
      <w:r w:rsidR="003806DF" w:rsidRPr="00C63860">
        <w:t>d</w:t>
      </w:r>
      <w:r w:rsidRPr="00C63860">
        <w:t xml:space="preserve"> average DAOH at 90 days</w:t>
      </w:r>
      <w:r w:rsidR="00286851" w:rsidRPr="00C63860">
        <w:t>,</w:t>
      </w:r>
      <w:r w:rsidRPr="00C63860">
        <w:t xml:space="preserve"> and was cost-effective</w:t>
      </w:r>
      <w:r w:rsidR="00286851" w:rsidRPr="00C63860">
        <w:t xml:space="preserve"> for these two conditions and for patients with cholelithiasis</w:t>
      </w:r>
      <w:r w:rsidRPr="00C63860">
        <w:t xml:space="preserve">. For patients with acute diverticular disease </w:t>
      </w:r>
      <w:r w:rsidR="00EA0A39" w:rsidRPr="00C63860">
        <w:t xml:space="preserve">or intestinal obstruction </w:t>
      </w:r>
      <w:r w:rsidRPr="00C63860">
        <w:t xml:space="preserve">who had two or more comorbidities, </w:t>
      </w:r>
      <w:r w:rsidR="00EA0A39" w:rsidRPr="00C63860">
        <w:t xml:space="preserve">on average </w:t>
      </w:r>
      <w:r w:rsidRPr="00C63860">
        <w:t>ES was cost-effective</w:t>
      </w:r>
      <w:r w:rsidR="00286851" w:rsidRPr="00C63860">
        <w:t xml:space="preserve"> </w:t>
      </w:r>
      <w:r w:rsidR="00286851" w:rsidRPr="00C63860">
        <w:rPr>
          <w:highlight w:val="magenta"/>
        </w:rPr>
        <w:t>compared to</w:t>
      </w:r>
      <w:r w:rsidR="00286851" w:rsidRPr="00C63860">
        <w:t xml:space="preserve"> NES strategies</w:t>
      </w:r>
      <w:r w:rsidR="0039538F" w:rsidRPr="00C63860">
        <w:t>.</w:t>
      </w:r>
    </w:p>
    <w:p w14:paraId="54751895" w14:textId="0A0C1499" w:rsidR="00C63860" w:rsidRPr="00C63860" w:rsidRDefault="00470AE4" w:rsidP="00BC4F71">
      <w:pPr>
        <w:spacing w:before="240" w:after="240" w:line="276" w:lineRule="auto"/>
      </w:pPr>
      <w:r w:rsidRPr="00C63860">
        <w:t xml:space="preserve">For patients with severe frailty at baseline, the NES strategies led to an increase in mean DAOH for all conditions, a reduction in 90-day mortality (apart from for hernia), a reduction in LOS (all conditions) and were cost-effective versus the ES strategies. For patients who were </w:t>
      </w:r>
      <w:r w:rsidR="00C63860" w:rsidRPr="00C63860">
        <w:rPr>
          <w:color w:val="00B0F0"/>
        </w:rPr>
        <w:t>‘</w:t>
      </w:r>
      <w:r w:rsidR="006F6056" w:rsidRPr="00C63860">
        <w:t>fit</w:t>
      </w:r>
      <w:r w:rsidR="00C63860" w:rsidRPr="00C63860">
        <w:rPr>
          <w:color w:val="00B0F0"/>
        </w:rPr>
        <w:t>’</w:t>
      </w:r>
      <w:r w:rsidRPr="00C63860">
        <w:t xml:space="preserve"> at presentation, </w:t>
      </w:r>
      <w:r w:rsidR="00286851" w:rsidRPr="00C63860">
        <w:t xml:space="preserve">on average </w:t>
      </w:r>
      <w:r w:rsidRPr="00C63860">
        <w:t>ES strategies were relatively cost-effective</w:t>
      </w:r>
      <w:r w:rsidR="00286851" w:rsidRPr="00C63860">
        <w:t xml:space="preserve"> </w:t>
      </w:r>
      <w:r w:rsidR="00286851" w:rsidRPr="00C63860">
        <w:rPr>
          <w:highlight w:val="magenta"/>
        </w:rPr>
        <w:t>compared to</w:t>
      </w:r>
      <w:r w:rsidR="00286851" w:rsidRPr="00C63860">
        <w:t xml:space="preserve"> NES strategies.</w:t>
      </w:r>
    </w:p>
    <w:p w14:paraId="0907DC22" w14:textId="4F5D96F5" w:rsidR="00C63860" w:rsidRPr="00C63860" w:rsidRDefault="00470AE4" w:rsidP="00BC4F71">
      <w:pPr>
        <w:spacing w:before="240" w:after="240" w:line="276" w:lineRule="auto"/>
        <w:rPr>
          <w:b/>
          <w:bCs/>
          <w:sz w:val="28"/>
          <w:szCs w:val="28"/>
        </w:rPr>
      </w:pPr>
      <w:r w:rsidRPr="00C63860">
        <w:rPr>
          <w:b/>
          <w:bCs/>
          <w:sz w:val="28"/>
          <w:szCs w:val="28"/>
        </w:rPr>
        <w:t>5.2 Public and Patient Involvement</w:t>
      </w:r>
    </w:p>
    <w:p w14:paraId="1E0989EE" w14:textId="1A230A74" w:rsidR="00C63860" w:rsidRPr="00C63860" w:rsidRDefault="00470AE4" w:rsidP="00BC4F71">
      <w:pPr>
        <w:spacing w:before="240" w:after="240" w:line="276" w:lineRule="auto"/>
        <w:textAlignment w:val="baseline"/>
        <w:rPr>
          <w:rFonts w:eastAsiaTheme="majorEastAsia"/>
        </w:rPr>
      </w:pPr>
      <w:r w:rsidRPr="00C63860">
        <w:rPr>
          <w:rFonts w:eastAsiaTheme="majorEastAsia"/>
        </w:rPr>
        <w:t>The views of patients who had direct experience of admission to a hospital in an emergency informed the</w:t>
      </w:r>
      <w:r w:rsidR="00C63860" w:rsidRPr="00C63860">
        <w:rPr>
          <w:rFonts w:eastAsiaTheme="majorEastAsia"/>
        </w:rPr>
        <w:t xml:space="preserve"> </w:t>
      </w:r>
      <w:r w:rsidRPr="00C63860">
        <w:rPr>
          <w:rFonts w:eastAsiaTheme="majorEastAsia"/>
        </w:rPr>
        <w:t>design of the study, the presentation of the findings and</w:t>
      </w:r>
      <w:r w:rsidR="00C63860" w:rsidRPr="00C63860">
        <w:rPr>
          <w:rFonts w:eastAsiaTheme="majorEastAsia"/>
        </w:rPr>
        <w:t xml:space="preserve"> </w:t>
      </w:r>
      <w:r w:rsidRPr="00C63860">
        <w:rPr>
          <w:rFonts w:eastAsiaTheme="majorEastAsia"/>
        </w:rPr>
        <w:t>dissemination proposals.</w:t>
      </w:r>
      <w:r w:rsidR="00C63860" w:rsidRPr="00C63860">
        <w:rPr>
          <w:rFonts w:eastAsiaTheme="majorEastAsia"/>
        </w:rPr>
        <w:t xml:space="preserve"> </w:t>
      </w:r>
      <w:r w:rsidRPr="00C63860">
        <w:rPr>
          <w:rFonts w:eastAsiaTheme="majorEastAsia"/>
        </w:rPr>
        <w:t>A key element of this was</w:t>
      </w:r>
      <w:r w:rsidR="00C63860" w:rsidRPr="00C63860">
        <w:rPr>
          <w:rFonts w:eastAsiaTheme="majorEastAsia"/>
        </w:rPr>
        <w:t xml:space="preserve"> </w:t>
      </w:r>
      <w:r w:rsidRPr="00C63860">
        <w:rPr>
          <w:rFonts w:eastAsiaTheme="majorEastAsia"/>
        </w:rPr>
        <w:t xml:space="preserve">that, during the two </w:t>
      </w:r>
      <w:r w:rsidR="00C63860" w:rsidRPr="00C63860">
        <w:rPr>
          <w:rFonts w:eastAsiaTheme="majorEastAsia"/>
          <w:color w:val="00B0F0"/>
        </w:rPr>
        <w:t>‘</w:t>
      </w:r>
      <w:r w:rsidR="006F6056" w:rsidRPr="00C63860">
        <w:rPr>
          <w:rFonts w:eastAsiaTheme="majorEastAsia"/>
        </w:rPr>
        <w:t>design workshops</w:t>
      </w:r>
      <w:r w:rsidR="00C63860" w:rsidRPr="00C63860">
        <w:rPr>
          <w:rFonts w:eastAsiaTheme="majorEastAsia"/>
          <w:color w:val="00B0F0"/>
        </w:rPr>
        <w:t>’</w:t>
      </w:r>
      <w:r w:rsidRPr="00C63860">
        <w:rPr>
          <w:rFonts w:eastAsiaTheme="majorEastAsia"/>
        </w:rPr>
        <w:t xml:space="preserve">, </w:t>
      </w:r>
      <w:r w:rsidR="003806DF" w:rsidRPr="00C63860">
        <w:rPr>
          <w:rFonts w:eastAsiaTheme="majorEastAsia"/>
        </w:rPr>
        <w:t>the</w:t>
      </w:r>
      <w:r w:rsidRPr="00C63860">
        <w:rPr>
          <w:rFonts w:eastAsiaTheme="majorEastAsia"/>
        </w:rPr>
        <w:t xml:space="preserve"> 1</w:t>
      </w:r>
      <w:r w:rsidR="0039538F" w:rsidRPr="00C63860">
        <w:rPr>
          <w:rFonts w:eastAsiaTheme="majorEastAsia"/>
        </w:rPr>
        <w:t>4</w:t>
      </w:r>
      <w:r w:rsidRPr="00C63860">
        <w:rPr>
          <w:rFonts w:eastAsiaTheme="majorEastAsia"/>
        </w:rPr>
        <w:t xml:space="preserve"> panelists endorsed two of the outcome measures: mortality and DAOH.</w:t>
      </w:r>
      <w:r w:rsidR="00C63860" w:rsidRPr="00C63860">
        <w:rPr>
          <w:rFonts w:eastAsiaTheme="majorEastAsia"/>
        </w:rPr>
        <w:t xml:space="preserve"> </w:t>
      </w:r>
      <w:r w:rsidRPr="00C63860">
        <w:rPr>
          <w:rFonts w:eastAsiaTheme="majorEastAsia"/>
        </w:rPr>
        <w:t xml:space="preserve">As part of the two </w:t>
      </w:r>
      <w:r w:rsidR="00C63860" w:rsidRPr="00C63860">
        <w:rPr>
          <w:rFonts w:eastAsiaTheme="majorEastAsia"/>
          <w:color w:val="00B0F0"/>
        </w:rPr>
        <w:t>‘</w:t>
      </w:r>
      <w:r w:rsidR="006F6056" w:rsidRPr="00C63860">
        <w:rPr>
          <w:rFonts w:eastAsiaTheme="majorEastAsia"/>
        </w:rPr>
        <w:t>translation workshops</w:t>
      </w:r>
      <w:r w:rsidR="00C63860" w:rsidRPr="00C63860">
        <w:rPr>
          <w:rFonts w:eastAsiaTheme="majorEastAsia"/>
          <w:color w:val="00B0F0"/>
        </w:rPr>
        <w:t>’</w:t>
      </w:r>
      <w:r w:rsidRPr="00C63860">
        <w:rPr>
          <w:rFonts w:eastAsiaTheme="majorEastAsia"/>
        </w:rPr>
        <w:t xml:space="preserve"> </w:t>
      </w:r>
      <w:r w:rsidR="0039538F" w:rsidRPr="00C63860">
        <w:rPr>
          <w:rFonts w:eastAsiaTheme="majorEastAsia"/>
        </w:rPr>
        <w:t xml:space="preserve">12 </w:t>
      </w:r>
      <w:r w:rsidRPr="00C63860">
        <w:rPr>
          <w:rFonts w:eastAsiaTheme="majorEastAsia"/>
        </w:rPr>
        <w:t xml:space="preserve">PPI panelists </w:t>
      </w:r>
      <w:r w:rsidR="003806DF" w:rsidRPr="00C63860">
        <w:rPr>
          <w:rFonts w:eastAsiaTheme="majorEastAsia"/>
        </w:rPr>
        <w:t>carefully</w:t>
      </w:r>
      <w:r w:rsidRPr="00C63860">
        <w:rPr>
          <w:rFonts w:eastAsiaTheme="majorEastAsia"/>
        </w:rPr>
        <w:t xml:space="preserve"> consider</w:t>
      </w:r>
      <w:r w:rsidR="003806DF" w:rsidRPr="00C63860">
        <w:rPr>
          <w:rFonts w:eastAsiaTheme="majorEastAsia"/>
        </w:rPr>
        <w:t xml:space="preserve">ed </w:t>
      </w:r>
      <w:r w:rsidRPr="00C63860">
        <w:rPr>
          <w:rFonts w:eastAsiaTheme="majorEastAsia"/>
        </w:rPr>
        <w:t>the Plain English summary and the ways in which the research should be presented, particularly in relation to the key findings regarding frailty</w:t>
      </w:r>
      <w:r w:rsidR="00C63860" w:rsidRPr="00C63860">
        <w:rPr>
          <w:rFonts w:eastAsiaTheme="majorEastAsia"/>
        </w:rPr>
        <w:t xml:space="preserve"> </w:t>
      </w:r>
      <w:r w:rsidRPr="00C63860">
        <w:rPr>
          <w:rFonts w:eastAsiaTheme="majorEastAsia"/>
        </w:rPr>
        <w:t xml:space="preserve">(see </w:t>
      </w:r>
      <w:r w:rsidR="001C7D6D" w:rsidRPr="00C63860">
        <w:rPr>
          <w:rFonts w:eastAsiaTheme="majorEastAsia"/>
          <w:i/>
          <w:iCs/>
        </w:rPr>
        <w:t>Report</w:t>
      </w:r>
      <w:r w:rsidR="001C7D6D" w:rsidRPr="00C63860">
        <w:rPr>
          <w:rFonts w:eastAsiaTheme="majorEastAsia"/>
        </w:rPr>
        <w:t xml:space="preserve"> </w:t>
      </w:r>
      <w:r w:rsidRPr="00C63860">
        <w:rPr>
          <w:rFonts w:eastAsiaTheme="majorEastAsia"/>
          <w:i/>
        </w:rPr>
        <w:t xml:space="preserve">Supplementary Material </w:t>
      </w:r>
      <w:r w:rsidR="00C92932" w:rsidRPr="00C63860">
        <w:rPr>
          <w:rFonts w:eastAsiaTheme="majorEastAsia"/>
          <w:i/>
        </w:rPr>
        <w:t>3</w:t>
      </w:r>
      <w:r w:rsidRPr="00C63860">
        <w:rPr>
          <w:rFonts w:eastAsiaTheme="majorEastAsia"/>
        </w:rPr>
        <w:t>).</w:t>
      </w:r>
    </w:p>
    <w:p w14:paraId="03513EE9" w14:textId="039E48C3" w:rsidR="00C63860" w:rsidRPr="00C63860" w:rsidRDefault="00470AE4" w:rsidP="00BC4F71">
      <w:pPr>
        <w:spacing w:before="240" w:after="240" w:line="276" w:lineRule="auto"/>
        <w:textAlignment w:val="baseline"/>
        <w:rPr>
          <w:rFonts w:eastAsiaTheme="majorEastAsia"/>
        </w:rPr>
      </w:pPr>
      <w:r w:rsidRPr="00C63860">
        <w:rPr>
          <w:rFonts w:eastAsiaTheme="majorEastAsia"/>
        </w:rPr>
        <w:t>Our</w:t>
      </w:r>
      <w:r w:rsidR="00C63860" w:rsidRPr="00C63860">
        <w:rPr>
          <w:rFonts w:eastAsiaTheme="majorEastAsia"/>
        </w:rPr>
        <w:t xml:space="preserve"> </w:t>
      </w:r>
      <w:r w:rsidRPr="00C63860">
        <w:rPr>
          <w:rFonts w:eastAsiaTheme="majorEastAsia"/>
        </w:rPr>
        <w:t>approach to</w:t>
      </w:r>
      <w:r w:rsidR="00C63860" w:rsidRPr="00C63860">
        <w:rPr>
          <w:rFonts w:eastAsiaTheme="majorEastAsia"/>
        </w:rPr>
        <w:t xml:space="preserve"> </w:t>
      </w:r>
      <w:r w:rsidR="00C63860" w:rsidRPr="00C63860">
        <w:rPr>
          <w:rFonts w:eastAsiaTheme="majorEastAsia"/>
          <w:color w:val="00B0F0"/>
        </w:rPr>
        <w:t>“</w:t>
      </w:r>
      <w:r w:rsidRPr="00C63860">
        <w:rPr>
          <w:rFonts w:eastAsiaTheme="majorEastAsia"/>
        </w:rPr>
        <w:t>patient and public</w:t>
      </w:r>
      <w:r w:rsidR="00C63860" w:rsidRPr="00C63860">
        <w:rPr>
          <w:rFonts w:eastAsiaTheme="majorEastAsia"/>
          <w:color w:val="00B0F0"/>
        </w:rPr>
        <w:t>”</w:t>
      </w:r>
      <w:r w:rsidR="00C63860" w:rsidRPr="00C63860">
        <w:rPr>
          <w:rFonts w:eastAsiaTheme="majorEastAsia"/>
        </w:rPr>
        <w:t xml:space="preserve"> </w:t>
      </w:r>
      <w:r w:rsidRPr="00C63860">
        <w:rPr>
          <w:rFonts w:eastAsiaTheme="majorEastAsia"/>
        </w:rPr>
        <w:t>in the context of recruitment</w:t>
      </w:r>
      <w:r w:rsidR="00C63860" w:rsidRPr="00C63860">
        <w:rPr>
          <w:rFonts w:eastAsiaTheme="majorEastAsia"/>
        </w:rPr>
        <w:t xml:space="preserve"> </w:t>
      </w:r>
      <w:r w:rsidRPr="00C63860">
        <w:rPr>
          <w:rFonts w:eastAsiaTheme="majorEastAsia"/>
        </w:rPr>
        <w:t>was</w:t>
      </w:r>
      <w:r w:rsidR="00C63860" w:rsidRPr="00C63860">
        <w:rPr>
          <w:rFonts w:eastAsiaTheme="majorEastAsia"/>
        </w:rPr>
        <w:t xml:space="preserve"> </w:t>
      </w:r>
      <w:r w:rsidRPr="00C63860">
        <w:rPr>
          <w:rFonts w:eastAsiaTheme="majorEastAsia"/>
        </w:rPr>
        <w:t>to interpret</w:t>
      </w:r>
      <w:r w:rsidR="00C63860" w:rsidRPr="00C63860">
        <w:rPr>
          <w:rFonts w:eastAsiaTheme="majorEastAsia"/>
        </w:rPr>
        <w:t xml:space="preserve"> </w:t>
      </w:r>
      <w:r w:rsidRPr="00C63860">
        <w:rPr>
          <w:rFonts w:eastAsiaTheme="majorEastAsia"/>
        </w:rPr>
        <w:t>it</w:t>
      </w:r>
      <w:r w:rsidR="00C63860" w:rsidRPr="00C63860">
        <w:rPr>
          <w:rFonts w:eastAsiaTheme="majorEastAsia"/>
        </w:rPr>
        <w:t xml:space="preserve"> </w:t>
      </w:r>
      <w:r w:rsidRPr="00C63860">
        <w:rPr>
          <w:rFonts w:eastAsiaTheme="majorEastAsia"/>
        </w:rPr>
        <w:t>widely, and we invited</w:t>
      </w:r>
      <w:r w:rsidR="00C63860" w:rsidRPr="00C63860">
        <w:rPr>
          <w:rFonts w:eastAsiaTheme="majorEastAsia"/>
        </w:rPr>
        <w:t xml:space="preserve"> </w:t>
      </w:r>
      <w:r w:rsidRPr="00C63860">
        <w:rPr>
          <w:rFonts w:eastAsiaTheme="majorEastAsia"/>
        </w:rPr>
        <w:t>patients, family members</w:t>
      </w:r>
      <w:r w:rsidR="00C63860" w:rsidRPr="00C63860">
        <w:rPr>
          <w:rFonts w:eastAsiaTheme="majorEastAsia"/>
        </w:rPr>
        <w:t xml:space="preserve"> </w:t>
      </w:r>
      <w:r w:rsidRPr="00C63860">
        <w:rPr>
          <w:rFonts w:eastAsiaTheme="majorEastAsia"/>
        </w:rPr>
        <w:t>and</w:t>
      </w:r>
      <w:r w:rsidR="00C63860" w:rsidRPr="00C63860">
        <w:rPr>
          <w:rFonts w:eastAsiaTheme="majorEastAsia"/>
        </w:rPr>
        <w:t xml:space="preserve"> </w:t>
      </w:r>
      <w:r w:rsidRPr="00C63860">
        <w:rPr>
          <w:rFonts w:eastAsiaTheme="majorEastAsia"/>
        </w:rPr>
        <w:t>those interested in supporting research</w:t>
      </w:r>
      <w:r w:rsidR="00C63860" w:rsidRPr="00C63860">
        <w:rPr>
          <w:rFonts w:eastAsiaTheme="majorEastAsia"/>
        </w:rPr>
        <w:t xml:space="preserve"> </w:t>
      </w:r>
      <w:r w:rsidRPr="00C63860">
        <w:rPr>
          <w:rFonts w:eastAsiaTheme="majorEastAsia"/>
        </w:rPr>
        <w:t>to our PPI panels. This meant that we had a breadth of</w:t>
      </w:r>
      <w:r w:rsidR="00C63860" w:rsidRPr="00C63860">
        <w:rPr>
          <w:rFonts w:eastAsiaTheme="majorEastAsia"/>
        </w:rPr>
        <w:t xml:space="preserve"> </w:t>
      </w:r>
      <w:r w:rsidRPr="00C63860">
        <w:rPr>
          <w:rFonts w:eastAsiaTheme="majorEastAsia"/>
        </w:rPr>
        <w:t>perspectives</w:t>
      </w:r>
      <w:r w:rsidR="00C63860" w:rsidRPr="00C63860">
        <w:rPr>
          <w:rFonts w:eastAsiaTheme="majorEastAsia"/>
        </w:rPr>
        <w:t xml:space="preserve"> </w:t>
      </w:r>
      <w:r w:rsidR="00C63860" w:rsidRPr="00C63860">
        <w:rPr>
          <w:rFonts w:eastAsiaTheme="majorEastAsia"/>
          <w:color w:val="00B0F0"/>
        </w:rPr>
        <w:t>among</w:t>
      </w:r>
      <w:r w:rsidRPr="00C63860">
        <w:rPr>
          <w:rFonts w:eastAsiaTheme="majorEastAsia"/>
        </w:rPr>
        <w:t xml:space="preserve"> our</w:t>
      </w:r>
      <w:r w:rsidR="00C63860" w:rsidRPr="00C63860">
        <w:rPr>
          <w:rFonts w:eastAsiaTheme="majorEastAsia"/>
        </w:rPr>
        <w:t xml:space="preserve"> </w:t>
      </w:r>
      <w:r w:rsidRPr="00C63860">
        <w:rPr>
          <w:rFonts w:eastAsiaTheme="majorEastAsia"/>
        </w:rPr>
        <w:t>PPI panelists</w:t>
      </w:r>
      <w:r w:rsidR="00C63860" w:rsidRPr="00C63860">
        <w:rPr>
          <w:rFonts w:eastAsiaTheme="majorEastAsia"/>
        </w:rPr>
        <w:t xml:space="preserve"> </w:t>
      </w:r>
      <w:r w:rsidRPr="00C63860">
        <w:rPr>
          <w:rFonts w:eastAsiaTheme="majorEastAsia"/>
        </w:rPr>
        <w:t>and advisors, so</w:t>
      </w:r>
      <w:r w:rsidR="00C63860" w:rsidRPr="00C63860">
        <w:rPr>
          <w:rFonts w:eastAsiaTheme="majorEastAsia"/>
        </w:rPr>
        <w:t xml:space="preserve"> </w:t>
      </w:r>
      <w:r w:rsidRPr="00C63860">
        <w:rPr>
          <w:rFonts w:eastAsiaTheme="majorEastAsia"/>
        </w:rPr>
        <w:t>PPI voices were not simply individuals who had had particular positive or negative experiences of</w:t>
      </w:r>
      <w:r w:rsidR="00C63860" w:rsidRPr="00C63860">
        <w:rPr>
          <w:rFonts w:eastAsiaTheme="majorEastAsia"/>
        </w:rPr>
        <w:t xml:space="preserve"> </w:t>
      </w:r>
      <w:r w:rsidRPr="00C63860">
        <w:rPr>
          <w:rFonts w:eastAsiaTheme="majorEastAsia"/>
        </w:rPr>
        <w:t>either ES or NES.</w:t>
      </w:r>
    </w:p>
    <w:p w14:paraId="651982A8" w14:textId="1810D503" w:rsidR="00C63860" w:rsidRPr="00C63860" w:rsidRDefault="00470AE4" w:rsidP="00BC4F71">
      <w:pPr>
        <w:spacing w:before="240" w:after="240" w:line="276" w:lineRule="auto"/>
        <w:textAlignment w:val="baseline"/>
        <w:rPr>
          <w:rFonts w:eastAsiaTheme="majorEastAsia"/>
        </w:rPr>
      </w:pPr>
      <w:r w:rsidRPr="00C63860">
        <w:rPr>
          <w:rFonts w:eastAsiaTheme="majorEastAsia"/>
        </w:rPr>
        <w:t>COVI</w:t>
      </w:r>
      <w:r w:rsidR="00C63860" w:rsidRPr="00C63860">
        <w:rPr>
          <w:rFonts w:eastAsiaTheme="majorEastAsia"/>
          <w:color w:val="00B0F0"/>
        </w:rPr>
        <w:t>D-1</w:t>
      </w:r>
      <w:r w:rsidRPr="00C63860">
        <w:rPr>
          <w:rFonts w:eastAsiaTheme="majorEastAsia"/>
        </w:rPr>
        <w:t>9 necessitated flexibility in our approach to PPI, the main</w:t>
      </w:r>
      <w:r w:rsidR="00C63860" w:rsidRPr="00C63860">
        <w:rPr>
          <w:rFonts w:eastAsiaTheme="majorEastAsia"/>
        </w:rPr>
        <w:t xml:space="preserve"> </w:t>
      </w:r>
      <w:r w:rsidRPr="00C63860">
        <w:rPr>
          <w:rFonts w:eastAsiaTheme="majorEastAsia"/>
        </w:rPr>
        <w:t>change being that all panels were held virtually</w:t>
      </w:r>
      <w:r w:rsidR="00C63860" w:rsidRPr="00C63860">
        <w:rPr>
          <w:rFonts w:eastAsiaTheme="majorEastAsia"/>
        </w:rPr>
        <w:t xml:space="preserve"> </w:t>
      </w:r>
      <w:r w:rsidRPr="00C63860">
        <w:rPr>
          <w:rFonts w:eastAsiaTheme="majorEastAsia"/>
        </w:rPr>
        <w:t>over Zoom.</w:t>
      </w:r>
      <w:r w:rsidR="00C63860" w:rsidRPr="00C63860">
        <w:rPr>
          <w:rFonts w:eastAsiaTheme="majorEastAsia"/>
        </w:rPr>
        <w:t xml:space="preserve"> </w:t>
      </w:r>
      <w:r w:rsidRPr="00C63860">
        <w:rPr>
          <w:rFonts w:eastAsiaTheme="majorEastAsia"/>
        </w:rPr>
        <w:t>Briefing</w:t>
      </w:r>
      <w:r w:rsidR="00C63860" w:rsidRPr="00C63860">
        <w:rPr>
          <w:rFonts w:eastAsiaTheme="majorEastAsia"/>
        </w:rPr>
        <w:t xml:space="preserve"> </w:t>
      </w:r>
      <w:r w:rsidRPr="00C63860">
        <w:rPr>
          <w:rFonts w:eastAsiaTheme="majorEastAsia"/>
        </w:rPr>
        <w:t>materials were provided in advance, mostly accessed on the Sway platform.</w:t>
      </w:r>
      <w:r w:rsidRPr="00C63860">
        <w:rPr>
          <w:rFonts w:eastAsiaTheme="majorEastAsia"/>
          <w:noProof/>
          <w:vertAlign w:val="superscript"/>
        </w:rPr>
        <w:t>30</w:t>
      </w:r>
      <w:r w:rsidR="00C63860" w:rsidRPr="00C63860">
        <w:rPr>
          <w:rFonts w:eastAsiaTheme="majorEastAsia"/>
        </w:rPr>
        <w:t xml:space="preserve"> </w:t>
      </w:r>
      <w:r w:rsidRPr="00C63860">
        <w:rPr>
          <w:rFonts w:eastAsiaTheme="majorEastAsia"/>
        </w:rPr>
        <w:t>Many panellists commented favourably on this approach and praised the</w:t>
      </w:r>
      <w:r w:rsidR="00C63860" w:rsidRPr="00C63860">
        <w:rPr>
          <w:rFonts w:eastAsiaTheme="majorEastAsia"/>
        </w:rPr>
        <w:t xml:space="preserve"> </w:t>
      </w:r>
      <w:r w:rsidRPr="00C63860">
        <w:rPr>
          <w:rFonts w:eastAsiaTheme="majorEastAsia"/>
        </w:rPr>
        <w:t>briefing</w:t>
      </w:r>
      <w:r w:rsidR="00C63860" w:rsidRPr="00C63860">
        <w:rPr>
          <w:rFonts w:eastAsiaTheme="majorEastAsia"/>
        </w:rPr>
        <w:t xml:space="preserve"> </w:t>
      </w:r>
      <w:r w:rsidRPr="00C63860">
        <w:rPr>
          <w:rFonts w:eastAsiaTheme="majorEastAsia"/>
        </w:rPr>
        <w:t>materials.</w:t>
      </w:r>
    </w:p>
    <w:p w14:paraId="54FCAD7B" w14:textId="7196E3C0" w:rsidR="00C63860" w:rsidRPr="00C63860" w:rsidRDefault="00470AE4" w:rsidP="00455F64">
      <w:pPr>
        <w:spacing w:before="240" w:after="240" w:line="276" w:lineRule="auto"/>
        <w:textAlignment w:val="baseline"/>
        <w:rPr>
          <w:rFonts w:eastAsiaTheme="majorEastAsia"/>
        </w:rPr>
      </w:pPr>
      <w:r w:rsidRPr="00C63860">
        <w:rPr>
          <w:rFonts w:eastAsiaTheme="majorEastAsia"/>
        </w:rPr>
        <w:t>Panelists</w:t>
      </w:r>
      <w:r w:rsidR="00C63860" w:rsidRPr="00C63860">
        <w:rPr>
          <w:rFonts w:eastAsiaTheme="majorEastAsia"/>
        </w:rPr>
        <w:t xml:space="preserve"> </w:t>
      </w:r>
      <w:r w:rsidRPr="00C63860">
        <w:rPr>
          <w:rFonts w:eastAsiaTheme="majorEastAsia"/>
        </w:rPr>
        <w:t>also commented that the virtual format</w:t>
      </w:r>
      <w:r w:rsidR="00C63860" w:rsidRPr="00C63860">
        <w:rPr>
          <w:rFonts w:eastAsiaTheme="majorEastAsia"/>
        </w:rPr>
        <w:t xml:space="preserve"> </w:t>
      </w:r>
      <w:r w:rsidRPr="00C63860">
        <w:rPr>
          <w:rFonts w:eastAsiaTheme="majorEastAsia"/>
        </w:rPr>
        <w:t xml:space="preserve">improved accessibility, as many would have not been able to participate in an in-person meeting in London– whether </w:t>
      </w:r>
      <w:r w:rsidRPr="00C63860">
        <w:rPr>
          <w:rFonts w:eastAsiaTheme="majorEastAsia"/>
          <w:highlight w:val="magenta"/>
        </w:rPr>
        <w:t>due to</w:t>
      </w:r>
      <w:r w:rsidRPr="00C63860">
        <w:rPr>
          <w:rFonts w:eastAsiaTheme="majorEastAsia"/>
        </w:rPr>
        <w:t xml:space="preserve"> physical disabilities or caring commitments</w:t>
      </w:r>
      <w:r w:rsidR="00C63860" w:rsidRPr="00C63860">
        <w:rPr>
          <w:rFonts w:eastAsiaTheme="majorEastAsia"/>
        </w:rPr>
        <w:t xml:space="preserve"> </w:t>
      </w:r>
      <w:r w:rsidRPr="00C63860">
        <w:rPr>
          <w:rFonts w:eastAsiaTheme="majorEastAsia"/>
        </w:rPr>
        <w:t>precluding their ability to travel.</w:t>
      </w:r>
      <w:r w:rsidR="00C63860" w:rsidRPr="00C63860">
        <w:rPr>
          <w:rFonts w:eastAsiaTheme="majorEastAsia"/>
        </w:rPr>
        <w:t xml:space="preserve"> </w:t>
      </w:r>
      <w:r w:rsidRPr="00C63860">
        <w:rPr>
          <w:rFonts w:eastAsiaTheme="majorEastAsia"/>
        </w:rPr>
        <w:t>These benefits of the virtual format, coupled with close attention to ensure that any accessibility issues (such as sight impediments) were addressed, meant that we were able to attract a diverse range of individuals to the PPI panels.</w:t>
      </w:r>
      <w:r w:rsidR="00C63860" w:rsidRPr="00C63860">
        <w:rPr>
          <w:rFonts w:eastAsiaTheme="majorEastAsia"/>
        </w:rPr>
        <w:t xml:space="preserve"> </w:t>
      </w:r>
      <w:r w:rsidRPr="00C63860">
        <w:rPr>
          <w:rFonts w:eastAsiaTheme="majorEastAsia"/>
        </w:rPr>
        <w:t>This diversity</w:t>
      </w:r>
      <w:r w:rsidR="003806DF" w:rsidRPr="00C63860">
        <w:rPr>
          <w:rFonts w:eastAsiaTheme="majorEastAsia"/>
        </w:rPr>
        <w:t xml:space="preserve"> in age, gender and experience</w:t>
      </w:r>
      <w:r w:rsidRPr="00C63860">
        <w:rPr>
          <w:rFonts w:eastAsiaTheme="majorEastAsia"/>
        </w:rPr>
        <w:t xml:space="preserve"> also helped</w:t>
      </w:r>
      <w:r w:rsidR="00C63860" w:rsidRPr="00C63860">
        <w:rPr>
          <w:rFonts w:eastAsiaTheme="majorEastAsia"/>
        </w:rPr>
        <w:t xml:space="preserve"> </w:t>
      </w:r>
      <w:r w:rsidRPr="00C63860">
        <w:rPr>
          <w:rFonts w:eastAsiaTheme="majorEastAsia"/>
        </w:rPr>
        <w:t>reduce the potential</w:t>
      </w:r>
      <w:r w:rsidR="00C63860" w:rsidRPr="00C63860">
        <w:rPr>
          <w:rFonts w:eastAsiaTheme="majorEastAsia"/>
        </w:rPr>
        <w:t xml:space="preserve"> </w:t>
      </w:r>
      <w:r w:rsidRPr="00C63860">
        <w:rPr>
          <w:rFonts w:eastAsiaTheme="majorEastAsia"/>
        </w:rPr>
        <w:t xml:space="preserve">for </w:t>
      </w:r>
      <w:r w:rsidR="00C63860" w:rsidRPr="00C63860">
        <w:rPr>
          <w:rFonts w:eastAsiaTheme="majorEastAsia"/>
          <w:color w:val="00B0F0"/>
        </w:rPr>
        <w:t>‘</w:t>
      </w:r>
      <w:r w:rsidR="006F6056" w:rsidRPr="00C63860">
        <w:rPr>
          <w:rFonts w:eastAsiaTheme="majorEastAsia"/>
        </w:rPr>
        <w:t>group-think</w:t>
      </w:r>
      <w:r w:rsidR="00C63860" w:rsidRPr="00C63860">
        <w:rPr>
          <w:rFonts w:eastAsiaTheme="majorEastAsia"/>
          <w:color w:val="00B0F0"/>
        </w:rPr>
        <w:t>’</w:t>
      </w:r>
      <w:r w:rsidRPr="00C63860">
        <w:rPr>
          <w:rFonts w:eastAsiaTheme="majorEastAsia"/>
        </w:rPr>
        <w:t xml:space="preserve"> in our PPI panels</w:t>
      </w:r>
      <w:r w:rsidR="003806DF" w:rsidRPr="00C63860">
        <w:rPr>
          <w:rFonts w:eastAsiaTheme="majorEastAsia"/>
        </w:rPr>
        <w:t xml:space="preserve"> and</w:t>
      </w:r>
      <w:r w:rsidRPr="00C63860">
        <w:rPr>
          <w:rFonts w:eastAsiaTheme="majorEastAsia"/>
        </w:rPr>
        <w:t xml:space="preserve"> meant that panelists</w:t>
      </w:r>
      <w:r w:rsidR="00C63860" w:rsidRPr="00C63860">
        <w:rPr>
          <w:rFonts w:eastAsiaTheme="majorEastAsia"/>
        </w:rPr>
        <w:t xml:space="preserve"> </w:t>
      </w:r>
      <w:r w:rsidRPr="00C63860">
        <w:rPr>
          <w:rFonts w:eastAsiaTheme="majorEastAsia"/>
        </w:rPr>
        <w:t>freely</w:t>
      </w:r>
      <w:r w:rsidR="00C63860" w:rsidRPr="00C63860">
        <w:rPr>
          <w:rFonts w:eastAsiaTheme="majorEastAsia"/>
        </w:rPr>
        <w:t xml:space="preserve"> </w:t>
      </w:r>
      <w:r w:rsidRPr="00C63860">
        <w:rPr>
          <w:rFonts w:eastAsiaTheme="majorEastAsia"/>
        </w:rPr>
        <w:t>expressed different views and perspectives</w:t>
      </w:r>
      <w:r w:rsidR="003806DF" w:rsidRPr="00C63860">
        <w:rPr>
          <w:rFonts w:eastAsiaTheme="majorEastAsia"/>
        </w:rPr>
        <w:t xml:space="preserve"> in their groups</w:t>
      </w:r>
      <w:r w:rsidRPr="00C63860">
        <w:rPr>
          <w:rFonts w:eastAsiaTheme="majorEastAsia"/>
        </w:rPr>
        <w:t>.</w:t>
      </w:r>
    </w:p>
    <w:p w14:paraId="720611F6" w14:textId="77777777" w:rsidR="00C63860" w:rsidRPr="00C63860" w:rsidRDefault="00470AE4" w:rsidP="00455F64">
      <w:pPr>
        <w:spacing w:before="240" w:after="240" w:line="276" w:lineRule="auto"/>
        <w:textAlignment w:val="baseline"/>
        <w:rPr>
          <w:b/>
          <w:bCs/>
          <w:sz w:val="28"/>
          <w:szCs w:val="28"/>
        </w:rPr>
      </w:pPr>
      <w:r w:rsidRPr="00C63860">
        <w:rPr>
          <w:b/>
          <w:bCs/>
          <w:sz w:val="28"/>
          <w:szCs w:val="28"/>
        </w:rPr>
        <w:t>5.3 Findings in the context of related research</w:t>
      </w:r>
    </w:p>
    <w:p w14:paraId="141C0C41" w14:textId="77777777" w:rsidR="00C63860" w:rsidRPr="00C63860" w:rsidRDefault="00470AE4" w:rsidP="00BC4F71">
      <w:pPr>
        <w:spacing w:before="240" w:after="240" w:line="276" w:lineRule="auto"/>
      </w:pPr>
      <w:r w:rsidRPr="00C63860">
        <w:t>This study extends previous literature that has raised concern about variations in ES rates.</w:t>
      </w:r>
      <w:r w:rsidRPr="00C63860">
        <w:rPr>
          <w:noProof/>
          <w:vertAlign w:val="superscript"/>
        </w:rPr>
        <w:t>2, 5</w:t>
      </w:r>
      <w:r w:rsidRPr="00C63860">
        <w:t xml:space="preserve"> It identified unexplained variations in ES rates across NHS</w:t>
      </w:r>
      <w:r w:rsidR="0039538F" w:rsidRPr="00C63860">
        <w:t xml:space="preserve"> acute</w:t>
      </w:r>
      <w:r w:rsidRPr="00C63860">
        <w:t xml:space="preserve"> hospitals for each of the five conditions that remained after adjusting for differences in prognostic measures such as age, </w:t>
      </w:r>
      <w:r w:rsidR="003806DF" w:rsidRPr="00C63860">
        <w:t>sex</w:t>
      </w:r>
      <w:r w:rsidRPr="00C63860">
        <w:t>, number of comorbidities and frailty level.</w:t>
      </w:r>
      <w:r w:rsidRPr="00C63860">
        <w:rPr>
          <w:noProof/>
          <w:vertAlign w:val="superscript"/>
        </w:rPr>
        <w:t>36</w:t>
      </w:r>
      <w:r w:rsidR="00C63860" w:rsidRPr="00C63860">
        <w:t xml:space="preserve"> </w:t>
      </w:r>
      <w:r w:rsidRPr="00C63860">
        <w:t>This variation was observed within clinically relevant definitions of the target populations of interest. The ESORT study design was informed by the concept of the target trial,</w:t>
      </w:r>
      <w:r w:rsidRPr="00C63860">
        <w:rPr>
          <w:noProof/>
          <w:vertAlign w:val="superscript"/>
        </w:rPr>
        <w:t>31, 32</w:t>
      </w:r>
      <w:r w:rsidR="003806DF" w:rsidRPr="00C63860">
        <w:t xml:space="preserve"> and</w:t>
      </w:r>
      <w:r w:rsidRPr="00C63860">
        <w:t xml:space="preserve"> used the consensus of a clinical panel to define population eligibility criteria and the range and timing of surgical procedures that constituted ES</w:t>
      </w:r>
      <w:r w:rsidR="003806DF" w:rsidRPr="00C63860">
        <w:t>.</w:t>
      </w:r>
    </w:p>
    <w:p w14:paraId="3A577799" w14:textId="77777777" w:rsidR="00C63860" w:rsidRPr="00C63860" w:rsidRDefault="00470AE4" w:rsidP="00BC4F71">
      <w:pPr>
        <w:spacing w:before="240" w:after="240" w:line="276" w:lineRule="auto"/>
      </w:pPr>
      <w:r w:rsidRPr="00C63860">
        <w:t>The study exploited this variation in ES rates across hospitals, within an IV design,</w:t>
      </w:r>
      <w:r w:rsidRPr="00C63860">
        <w:rPr>
          <w:noProof/>
          <w:vertAlign w:val="superscript"/>
        </w:rPr>
        <w:t>18</w:t>
      </w:r>
      <w:r w:rsidRPr="00C63860">
        <w:t xml:space="preserve"> that contrasted patient outcomes from hospitals that differed in their TTO</w:t>
      </w:r>
      <w:r w:rsidRPr="00C63860">
        <w:rPr>
          <w:noProof/>
          <w:vertAlign w:val="superscript"/>
        </w:rPr>
        <w:t>20</w:t>
      </w:r>
      <w:r w:rsidRPr="00C63860">
        <w:t xml:space="preserve"> to report the relative effectiveness of ES versus NES strategies. The ESORT study therefore adds to the limited evidence on the relative effectiveness,</w:t>
      </w:r>
      <w:r w:rsidRPr="00C63860">
        <w:rPr>
          <w:noProof/>
          <w:vertAlign w:val="superscript"/>
        </w:rPr>
        <w:t>7, 8, 13, 14, 21, 23, 66, 67</w:t>
      </w:r>
      <w:r w:rsidRPr="00C63860">
        <w:t xml:space="preserve"> and cost-effectiveness of ES for common acute conditions presenting as emergency admissions. There are relatively few RCTs which have contrasted ES versus NES strategies in the emergency setting,</w:t>
      </w:r>
      <w:r w:rsidRPr="00C63860">
        <w:rPr>
          <w:noProof/>
          <w:vertAlign w:val="superscript"/>
        </w:rPr>
        <w:t>7, 8, 13, 23</w:t>
      </w:r>
      <w:r w:rsidRPr="00C63860">
        <w:t xml:space="preserve"> and none which have considered relative effectiveness and cost-effectiveness according to patient subgroup.</w:t>
      </w:r>
    </w:p>
    <w:p w14:paraId="6E2B5D90" w14:textId="77777777" w:rsidR="00C63860" w:rsidRPr="00C63860" w:rsidRDefault="00470AE4" w:rsidP="00BC4F71">
      <w:pPr>
        <w:spacing w:before="240" w:after="240" w:line="276" w:lineRule="auto"/>
      </w:pPr>
      <w:r w:rsidRPr="00C63860">
        <w:t>Previous RCTs of ES versus NES strategies for patients with acute appendicitis have reported mixed results. Some RCTs have reported better outcomes following ES,</w:t>
      </w:r>
      <w:r w:rsidRPr="00C63860">
        <w:rPr>
          <w:noProof/>
          <w:vertAlign w:val="superscript"/>
        </w:rPr>
        <w:t>8</w:t>
      </w:r>
      <w:r w:rsidRPr="00C63860">
        <w:t xml:space="preserve"> while others have reported NES strategies as being more effective.</w:t>
      </w:r>
      <w:r w:rsidRPr="00C63860">
        <w:rPr>
          <w:noProof/>
          <w:vertAlign w:val="superscript"/>
        </w:rPr>
        <w:t>7</w:t>
      </w:r>
      <w:r w:rsidRPr="00C63860">
        <w:t xml:space="preserve"> None of these RCTs included the broad range of patients who present with suspected acute appendicitis to NHS hospitals in England including patients with complications, and the CODA and APPAC trials considered open rather than laparoscopic </w:t>
      </w:r>
      <w:r w:rsidR="00554E7D" w:rsidRPr="00C63860">
        <w:t>appendicectomy</w:t>
      </w:r>
      <w:r w:rsidRPr="00C63860">
        <w:t>,</w:t>
      </w:r>
      <w:r w:rsidRPr="00C63860">
        <w:rPr>
          <w:noProof/>
          <w:vertAlign w:val="superscript"/>
        </w:rPr>
        <w:t>7, 23</w:t>
      </w:r>
      <w:r w:rsidRPr="00C63860">
        <w:t xml:space="preserve"> which is the common surgical technique for appendicectomy in the NHS. It is therefore challenging to interpret the results of these previous studies for NHS decision-making.</w:t>
      </w:r>
    </w:p>
    <w:p w14:paraId="7E15B171" w14:textId="2EF57FAC" w:rsidR="00C63860" w:rsidRPr="00C63860" w:rsidRDefault="00470AE4" w:rsidP="00BC4F71">
      <w:pPr>
        <w:spacing w:before="240" w:after="240" w:line="276" w:lineRule="auto"/>
      </w:pPr>
      <w:r w:rsidRPr="00C63860">
        <w:t>The COVID-Harem study was an observational study that considered antibiotics as a first-line alternative to appendicectomy, which for about two third of patients was by the laparoscopic route.</w:t>
      </w:r>
      <w:r w:rsidRPr="00C63860">
        <w:rPr>
          <w:noProof/>
          <w:vertAlign w:val="superscript"/>
        </w:rPr>
        <w:t>21</w:t>
      </w:r>
      <w:r w:rsidRPr="00C63860">
        <w:t xml:space="preserve"> The COVID-Harem study had similarly broad inclusion criteria to the ESORT study, and included patients following the initial COVI</w:t>
      </w:r>
      <w:r w:rsidR="00C63860" w:rsidRPr="00C63860">
        <w:rPr>
          <w:color w:val="00B0F0"/>
        </w:rPr>
        <w:t>D-1</w:t>
      </w:r>
      <w:r w:rsidRPr="00C63860">
        <w:t xml:space="preserve">9 lockdown in the UK on </w:t>
      </w:r>
      <w:r w:rsidR="00C63860" w:rsidRPr="00C63860">
        <w:rPr>
          <w:color w:val="00B0F0"/>
        </w:rPr>
        <w:t>23 March 2020.</w:t>
      </w:r>
      <w:r w:rsidRPr="00C63860">
        <w:t xml:space="preserve"> At the time the COVID-Harem study was recruiting patients, there were concerns about viral transmission of C</w:t>
      </w:r>
      <w:r w:rsidR="0039538F" w:rsidRPr="00C63860">
        <w:t>O</w:t>
      </w:r>
      <w:r w:rsidRPr="00C63860">
        <w:t>VI</w:t>
      </w:r>
      <w:r w:rsidR="00C63860" w:rsidRPr="00C63860">
        <w:rPr>
          <w:color w:val="00B0F0"/>
        </w:rPr>
        <w:t>D-1</w:t>
      </w:r>
      <w:r w:rsidRPr="00C63860">
        <w:t xml:space="preserve">9 via </w:t>
      </w:r>
      <w:r w:rsidR="00C63860" w:rsidRPr="00C63860">
        <w:rPr>
          <w:color w:val="00B0F0"/>
        </w:rPr>
        <w:t>aerosolisation</w:t>
      </w:r>
      <w:r w:rsidRPr="00C63860">
        <w:t xml:space="preserve"> during laparoscopy, which led professional societies to recommend management with antibiotics (NES strategy) rather than ES for patients with uncomplicated acute appendicitis.</w:t>
      </w:r>
      <w:r w:rsidRPr="00C63860">
        <w:rPr>
          <w:noProof/>
          <w:vertAlign w:val="superscript"/>
        </w:rPr>
        <w:t>100</w:t>
      </w:r>
      <w:r w:rsidRPr="00C63860">
        <w:t xml:space="preserve"> The COVID-Harem study found that the NES strategy led to fewer days in hospital, and lower average costs </w:t>
      </w:r>
      <w:r w:rsidRPr="00C63860">
        <w:rPr>
          <w:highlight w:val="magenta"/>
        </w:rPr>
        <w:t>compared to</w:t>
      </w:r>
      <w:r w:rsidRPr="00C63860">
        <w:t xml:space="preserve"> the ES strategy at 90 days.</w:t>
      </w:r>
    </w:p>
    <w:p w14:paraId="74C9E1F3" w14:textId="5639DFB9" w:rsidR="00C63860" w:rsidRPr="00C63860" w:rsidRDefault="00470AE4" w:rsidP="00BC4F71">
      <w:pPr>
        <w:spacing w:before="240" w:after="240" w:line="276" w:lineRule="auto"/>
      </w:pPr>
      <w:r w:rsidRPr="00C63860">
        <w:t xml:space="preserve">The differences between the findings of the ESORT and COVID-Harem studies may reflect the following. First, the COVID-Harem study used information from imaging to confirm diagnosis of acute appendicitis, whereas in the ESORT study that information was not available, and so the </w:t>
      </w:r>
      <w:r w:rsidR="006F6056" w:rsidRPr="00C63860">
        <w:rPr>
          <w:color w:val="00B0F0"/>
          <w:highlight w:val="green"/>
        </w:rPr>
        <w:t>‘</w:t>
      </w:r>
      <w:r w:rsidR="006F6056" w:rsidRPr="00C63860">
        <w:rPr>
          <w:highlight w:val="green"/>
        </w:rPr>
        <w:t>acute appendicitis cohort</w:t>
      </w:r>
      <w:r w:rsidR="006F6056" w:rsidRPr="00C63860">
        <w:rPr>
          <w:color w:val="00B0F0"/>
          <w:highlight w:val="green"/>
        </w:rPr>
        <w:t>’</w:t>
      </w:r>
      <w:r w:rsidRPr="00C63860">
        <w:t xml:space="preserve"> included patients with </w:t>
      </w:r>
      <w:r w:rsidR="00C63860" w:rsidRPr="00C63860">
        <w:rPr>
          <w:color w:val="00B0F0"/>
        </w:rPr>
        <w:t>‘</w:t>
      </w:r>
      <w:r w:rsidR="006F6056" w:rsidRPr="00C63860">
        <w:t>suspected</w:t>
      </w:r>
      <w:r w:rsidR="00C63860" w:rsidRPr="00C63860">
        <w:rPr>
          <w:color w:val="00B0F0"/>
        </w:rPr>
        <w:t>’</w:t>
      </w:r>
      <w:r w:rsidRPr="00C63860">
        <w:t xml:space="preserve"> rather than </w:t>
      </w:r>
      <w:r w:rsidR="00C63860" w:rsidRPr="00C63860">
        <w:rPr>
          <w:color w:val="00B0F0"/>
        </w:rPr>
        <w:t>‘</w:t>
      </w:r>
      <w:r w:rsidR="006F6056" w:rsidRPr="00C63860">
        <w:t>confirmed</w:t>
      </w:r>
      <w:r w:rsidR="00C63860" w:rsidRPr="00C63860">
        <w:rPr>
          <w:color w:val="00B0F0"/>
        </w:rPr>
        <w:t>’</w:t>
      </w:r>
      <w:r w:rsidRPr="00C63860">
        <w:t xml:space="preserve"> appendicitis. In the COVID-H</w:t>
      </w:r>
      <w:r w:rsidR="0039538F" w:rsidRPr="00C63860">
        <w:t>arem</w:t>
      </w:r>
      <w:r w:rsidRPr="00C63860">
        <w:t xml:space="preserve"> study only around 3% of patients had negative appendicectomies,</w:t>
      </w:r>
      <w:r w:rsidRPr="00C63860">
        <w:rPr>
          <w:noProof/>
          <w:vertAlign w:val="superscript"/>
        </w:rPr>
        <w:t>21</w:t>
      </w:r>
      <w:r w:rsidRPr="00C63860">
        <w:t xml:space="preserve"> which is lower than rates reported by the RIFT study for routine clinical </w:t>
      </w:r>
      <w:r w:rsidRPr="00C63860">
        <w:rPr>
          <w:highlight w:val="magenta"/>
        </w:rPr>
        <w:t>practice</w:t>
      </w:r>
      <w:r w:rsidRPr="00C63860">
        <w:t xml:space="preserve"> in the UK,</w:t>
      </w:r>
      <w:r w:rsidRPr="00C63860">
        <w:rPr>
          <w:noProof/>
          <w:vertAlign w:val="superscript"/>
        </w:rPr>
        <w:t>101</w:t>
      </w:r>
      <w:r w:rsidRPr="00C63860">
        <w:t xml:space="preserve"> prior to the onset of the COVI</w:t>
      </w:r>
      <w:r w:rsidR="00C63860" w:rsidRPr="00C63860">
        <w:rPr>
          <w:color w:val="00B0F0"/>
        </w:rPr>
        <w:t>D-1</w:t>
      </w:r>
      <w:r w:rsidRPr="00C63860">
        <w:t xml:space="preserve">9 pandemic. The negative appendicectomy rates of 28% for women and 12% for men reported in the RIFT study are more representative of routine </w:t>
      </w:r>
      <w:r w:rsidRPr="00C63860">
        <w:rPr>
          <w:highlight w:val="magenta"/>
        </w:rPr>
        <w:t>practice</w:t>
      </w:r>
      <w:r w:rsidRPr="00C63860">
        <w:t xml:space="preserve"> and likely to apply to the ESORT study, which included broad populations of patients with suspected acute appendicitis. The finding in the ESORT study that ES was less cost-effective than NES strategies for women than for men, may reflect the higher negative appendicectomy rate in routine </w:t>
      </w:r>
      <w:r w:rsidRPr="00C63860">
        <w:rPr>
          <w:highlight w:val="magenta"/>
        </w:rPr>
        <w:t>practice</w:t>
      </w:r>
      <w:r w:rsidRPr="00C63860">
        <w:t>. A second important difference between the ESORT and COVID-Harem studies is the duration of follow-up. The CEA for the ESORT study reported that the proportions of patients who had readmissions for the NES and ES strategy groups were 53% and 27%, with 16% and 2.3% having further operative procedures, over the one-year follow-up period. By contrast</w:t>
      </w:r>
      <w:r w:rsidR="003806DF" w:rsidRPr="00C63860">
        <w:t>,</w:t>
      </w:r>
      <w:r w:rsidRPr="00C63860">
        <w:t xml:space="preserve"> the proportion of patients in the COVID-Harem study who had readmissions following the NES strategy was 37%, and 20% following ES</w:t>
      </w:r>
      <w:r w:rsidR="0039538F" w:rsidRPr="00C63860">
        <w:t>, but over the shorter follow-up period of 90 days</w:t>
      </w:r>
      <w:r w:rsidRPr="00C63860">
        <w:t>. The COVID Harem study will report further results at 12 months.</w:t>
      </w:r>
      <w:r w:rsidR="00C63860" w:rsidRPr="00C63860">
        <w:t xml:space="preserve"> </w:t>
      </w:r>
      <w:r w:rsidRPr="00C63860">
        <w:t xml:space="preserve">The APPAC trial assessed five- and seven- year outcomes and resource use for antibiotics versus open </w:t>
      </w:r>
      <w:r w:rsidR="00554E7D" w:rsidRPr="00C63860">
        <w:t>appendicectomy</w:t>
      </w:r>
      <w:r w:rsidRPr="00C63860">
        <w:t xml:space="preserve"> for uncomplicated acute appendicitis.</w:t>
      </w:r>
      <w:r w:rsidR="00C63860" w:rsidRPr="00C63860">
        <w:t xml:space="preserve"> </w:t>
      </w:r>
      <w:r w:rsidRPr="00C63860">
        <w:t>It found that the median total days in hospital at five years, and HRQoL at seven years, were similar between the groups.</w:t>
      </w:r>
      <w:r w:rsidRPr="00C63860">
        <w:rPr>
          <w:noProof/>
          <w:vertAlign w:val="superscript"/>
        </w:rPr>
        <w:t>66, 67</w:t>
      </w:r>
    </w:p>
    <w:p w14:paraId="6F0B8464" w14:textId="77777777" w:rsidR="00C63860" w:rsidRPr="00C63860" w:rsidRDefault="00470AE4" w:rsidP="00BC4F71">
      <w:pPr>
        <w:spacing w:before="240" w:after="240" w:line="276" w:lineRule="auto"/>
      </w:pPr>
      <w:r w:rsidRPr="00C63860">
        <w:t>For patients with acute diverticular disease, RCTs have not contrasted ES versus NES strategies, but rather different forms of ES, such as lavage versus resection.</w:t>
      </w:r>
      <w:r w:rsidRPr="00C63860">
        <w:rPr>
          <w:noProof/>
          <w:vertAlign w:val="superscript"/>
        </w:rPr>
        <w:t>14, 15</w:t>
      </w:r>
      <w:r w:rsidRPr="00C63860">
        <w:t xml:space="preserve"> There are no previous observational studies of ES versus NES strategies for patients with acute diverticular disease, although the ongoing DAMASCUS study plans to contrast outcomes for patents following ES versus NES</w:t>
      </w:r>
      <w:r w:rsidR="0039538F" w:rsidRPr="00C63860">
        <w:t xml:space="preserve"> strategies</w:t>
      </w:r>
      <w:r w:rsidRPr="00C63860">
        <w:t>.</w:t>
      </w:r>
      <w:r w:rsidRPr="00C63860">
        <w:rPr>
          <w:noProof/>
          <w:vertAlign w:val="superscript"/>
        </w:rPr>
        <w:t>102</w:t>
      </w:r>
    </w:p>
    <w:p w14:paraId="450207E2" w14:textId="28F172BA" w:rsidR="00C63860" w:rsidRPr="00C63860" w:rsidRDefault="00470AE4" w:rsidP="00BC4F71">
      <w:pPr>
        <w:spacing w:before="240" w:after="240" w:line="276" w:lineRule="auto"/>
      </w:pPr>
      <w:r w:rsidRPr="00C63860">
        <w:t xml:space="preserve">For patients with acute cholecystitis, the most common subcondition (~35%) within the more general diagnosis of </w:t>
      </w:r>
      <w:r w:rsidR="00C63860" w:rsidRPr="00C63860">
        <w:rPr>
          <w:color w:val="00B0F0"/>
        </w:rPr>
        <w:t>‘</w:t>
      </w:r>
      <w:r w:rsidR="006F6056" w:rsidRPr="00C63860">
        <w:t>cholelithiasis</w:t>
      </w:r>
      <w:r w:rsidR="00C63860" w:rsidRPr="00C63860">
        <w:rPr>
          <w:color w:val="00B0F0"/>
        </w:rPr>
        <w:t>’</w:t>
      </w:r>
      <w:r w:rsidRPr="00C63860">
        <w:t xml:space="preserve"> used in the ESORT study cohort, meta-analyses of published RCTs have reported that ES leads to improved outcomes,</w:t>
      </w:r>
      <w:r w:rsidRPr="00C63860">
        <w:rPr>
          <w:noProof/>
          <w:vertAlign w:val="superscript"/>
        </w:rPr>
        <w:t>9, 39</w:t>
      </w:r>
      <w:r w:rsidRPr="00C63860">
        <w:t xml:space="preserve"> and is relatively cost-effective.</w:t>
      </w:r>
      <w:r w:rsidRPr="00C63860">
        <w:rPr>
          <w:noProof/>
          <w:vertAlign w:val="superscript"/>
        </w:rPr>
        <w:t>25, 93</w:t>
      </w:r>
      <w:r w:rsidRPr="00C63860">
        <w:t xml:space="preserve"> However these studies compared ES to later surgery,</w:t>
      </w:r>
      <w:r w:rsidRPr="00C63860">
        <w:rPr>
          <w:noProof/>
          <w:vertAlign w:val="superscript"/>
        </w:rPr>
        <w:t>9, 25, 39, 93</w:t>
      </w:r>
      <w:r w:rsidRPr="00C63860">
        <w:t xml:space="preserve"> and did not include </w:t>
      </w:r>
      <w:r w:rsidR="006F6056" w:rsidRPr="00C63860">
        <w:rPr>
          <w:color w:val="00B0F0"/>
          <w:highlight w:val="green"/>
        </w:rPr>
        <w:t>‘</w:t>
      </w:r>
      <w:r w:rsidR="006F6056" w:rsidRPr="00C63860">
        <w:rPr>
          <w:highlight w:val="green"/>
        </w:rPr>
        <w:t>no operative procedure</w:t>
      </w:r>
      <w:r w:rsidR="006F6056" w:rsidRPr="00C63860">
        <w:rPr>
          <w:color w:val="00B0F0"/>
          <w:highlight w:val="green"/>
        </w:rPr>
        <w:t>’</w:t>
      </w:r>
      <w:r w:rsidRPr="00C63860">
        <w:t xml:space="preserve"> which is within the definition of NES used in the ESORT study. Hence, the finding from the ESORT study</w:t>
      </w:r>
      <w:r w:rsidR="00A223B3" w:rsidRPr="00C63860">
        <w:t xml:space="preserve"> </w:t>
      </w:r>
      <w:r w:rsidRPr="00C63860">
        <w:t xml:space="preserve">that, for patients with </w:t>
      </w:r>
      <w:r w:rsidR="00C63860" w:rsidRPr="00C63860">
        <w:rPr>
          <w:color w:val="00B0F0"/>
        </w:rPr>
        <w:t>‘</w:t>
      </w:r>
      <w:r w:rsidR="006F6056" w:rsidRPr="00C63860">
        <w:t>acute cholelithiasis</w:t>
      </w:r>
      <w:r w:rsidR="00C63860" w:rsidRPr="00C63860">
        <w:rPr>
          <w:color w:val="00B0F0"/>
        </w:rPr>
        <w:t>’</w:t>
      </w:r>
      <w:r w:rsidRPr="00C63860">
        <w:t>, outcomes and costs were similar following ES versus NES</w:t>
      </w:r>
      <w:r w:rsidR="0039538F" w:rsidRPr="00C63860">
        <w:t>,</w:t>
      </w:r>
      <w:r w:rsidRPr="00C63860">
        <w:t xml:space="preserve"> is not directly comparable with previous studies.</w:t>
      </w:r>
    </w:p>
    <w:p w14:paraId="4F3B9E90" w14:textId="77777777" w:rsidR="00C63860" w:rsidRPr="00C63860" w:rsidRDefault="00470AE4" w:rsidP="00BC4F71">
      <w:pPr>
        <w:spacing w:before="240" w:after="240" w:line="276" w:lineRule="auto"/>
      </w:pPr>
      <w:r w:rsidRPr="00C63860">
        <w:t>For patients with abdominal wall hernia, the proportions of patients in the ESORT study receiving ES versus NES strategies were more similar (58.8%, ES versus 41.2%, NES strategy) than for the other four conditions. This similarity may indicate greater equipoise in the choice of ES versus NES</w:t>
      </w:r>
      <w:r w:rsidR="0039538F" w:rsidRPr="00C63860">
        <w:t xml:space="preserve"> strategies</w:t>
      </w:r>
      <w:r w:rsidRPr="00C63860">
        <w:t>. Also, for patients with abdominal wall hernia, any differences between the comparison groups in the prognosis of patients at baseline was small. In the elective setting</w:t>
      </w:r>
      <w:r w:rsidR="00A223B3" w:rsidRPr="00C63860">
        <w:t xml:space="preserve">, </w:t>
      </w:r>
      <w:r w:rsidRPr="00C63860">
        <w:t>RCTs have been undertaken for patients with hernia, but these have mainly considered the effectiveness and cost-effectiveness of laparoscopic surgery versus open repair,</w:t>
      </w:r>
      <w:r w:rsidRPr="00C63860">
        <w:rPr>
          <w:noProof/>
          <w:vertAlign w:val="superscript"/>
        </w:rPr>
        <w:t>86</w:t>
      </w:r>
      <w:r w:rsidRPr="00C63860">
        <w:t xml:space="preserve"> and only included patients with minimally symptomatic disease.</w:t>
      </w:r>
      <w:r w:rsidRPr="00C63860">
        <w:rPr>
          <w:noProof/>
          <w:vertAlign w:val="superscript"/>
        </w:rPr>
        <w:t>103, 104</w:t>
      </w:r>
      <w:r w:rsidRPr="00C63860">
        <w:t xml:space="preserve"> Previous observational studies have suggested that watchful waiting for patients with ventral hernias may be safe,</w:t>
      </w:r>
      <w:r w:rsidRPr="00C63860">
        <w:rPr>
          <w:noProof/>
          <w:vertAlign w:val="superscript"/>
        </w:rPr>
        <w:t>105</w:t>
      </w:r>
      <w:r w:rsidRPr="00C63860">
        <w:t xml:space="preserve"> and others that repair at diagnosis is cost-effective.</w:t>
      </w:r>
      <w:r w:rsidRPr="00C63860">
        <w:rPr>
          <w:noProof/>
          <w:vertAlign w:val="superscript"/>
        </w:rPr>
        <w:t>106</w:t>
      </w:r>
      <w:r w:rsidRPr="00C63860">
        <w:t xml:space="preserve"> These observational studies all face concerns about confounding by indication.</w:t>
      </w:r>
      <w:r w:rsidRPr="00C63860">
        <w:rPr>
          <w:noProof/>
          <w:vertAlign w:val="superscript"/>
        </w:rPr>
        <w:t>107</w:t>
      </w:r>
      <w:r w:rsidRPr="00C63860">
        <w:t xml:space="preserve"> The importance of </w:t>
      </w:r>
      <w:r w:rsidRPr="00C63860">
        <w:rPr>
          <w:highlight w:val="magenta"/>
        </w:rPr>
        <w:t>an R</w:t>
      </w:r>
      <w:r w:rsidRPr="00C63860">
        <w:t>CT to address the evidence gaps concerning ES versus NES strategies for patients with acute hernia, is also highlighted by an ongoing observational study that is assessing patient outcomes including complications following ES and NES strategies, and is anticipated to provide complementary evidence to the ESORT study (see further research section).</w:t>
      </w:r>
      <w:r w:rsidRPr="00C63860">
        <w:rPr>
          <w:noProof/>
          <w:vertAlign w:val="superscript"/>
        </w:rPr>
        <w:t>42</w:t>
      </w:r>
    </w:p>
    <w:p w14:paraId="5C9C7241" w14:textId="76C17FD8" w:rsidR="00C63860" w:rsidRPr="00C63860" w:rsidRDefault="00470AE4" w:rsidP="00BC4F71">
      <w:pPr>
        <w:spacing w:before="240" w:after="240" w:line="276" w:lineRule="auto"/>
      </w:pPr>
      <w:r w:rsidRPr="00C63860">
        <w:t xml:space="preserve">The ESORT study found that particularly </w:t>
      </w:r>
      <w:r w:rsidR="0039538F" w:rsidRPr="00C63860">
        <w:t xml:space="preserve">large </w:t>
      </w:r>
      <w:r w:rsidRPr="00C63860">
        <w:t xml:space="preserve">heterogeneity in the estimates of the relative effectiveness and cost-effectiveness </w:t>
      </w:r>
      <w:r w:rsidR="0039538F" w:rsidRPr="00C63860">
        <w:t xml:space="preserve">for patients with intestinal obstruction </w:t>
      </w:r>
      <w:r w:rsidRPr="00C63860">
        <w:t>according to patients</w:t>
      </w:r>
      <w:r w:rsidR="00C63860" w:rsidRPr="00C63860">
        <w:rPr>
          <w:color w:val="00B0F0"/>
        </w:rPr>
        <w:t>’</w:t>
      </w:r>
      <w:r w:rsidRPr="00C63860">
        <w:t xml:space="preserve"> baseline prognosis. This level of heterogeneity reflected differences in the underlying reasons for emergency admission within the two broad categories of obstruction</w:t>
      </w:r>
      <w:r w:rsidR="00A223B3" w:rsidRPr="00C63860">
        <w:t>:</w:t>
      </w:r>
      <w:r w:rsidRPr="00C63860">
        <w:t xml:space="preserve"> following intestinal adhesions from previous surgery (small bowel obstruction), and from cancer (large bowel obstruction). Published RCTs have suggested that, for patients with intestinal obstruction </w:t>
      </w:r>
      <w:r w:rsidRPr="00C63860">
        <w:rPr>
          <w:highlight w:val="magenta"/>
        </w:rPr>
        <w:t>due to</w:t>
      </w:r>
      <w:r w:rsidRPr="00C63860">
        <w:t xml:space="preserve"> left colon or rectal cancer, forms of NES such as endoscopic stenting could </w:t>
      </w:r>
      <w:r w:rsidRPr="00C63860">
        <w:rPr>
          <w:highlight w:val="magenta"/>
        </w:rPr>
        <w:t>lead</w:t>
      </w:r>
      <w:r w:rsidRPr="00C63860">
        <w:t xml:space="preserve"> to similar outcomes,</w:t>
      </w:r>
      <w:r w:rsidRPr="00C63860">
        <w:rPr>
          <w:noProof/>
          <w:vertAlign w:val="superscript"/>
        </w:rPr>
        <w:t>108</w:t>
      </w:r>
      <w:r w:rsidRPr="00C63860">
        <w:t xml:space="preserve"> and reduced costs,</w:t>
      </w:r>
      <w:r w:rsidRPr="00C63860">
        <w:rPr>
          <w:noProof/>
          <w:vertAlign w:val="superscript"/>
        </w:rPr>
        <w:t>85</w:t>
      </w:r>
      <w:r w:rsidRPr="00C63860">
        <w:t xml:space="preserve"> </w:t>
      </w:r>
      <w:r w:rsidRPr="00C63860">
        <w:rPr>
          <w:highlight w:val="magenta"/>
        </w:rPr>
        <w:t>compared to</w:t>
      </w:r>
      <w:r w:rsidRPr="00C63860">
        <w:t xml:space="preserve"> ES, but these findings are from RCTs that recruited small samples of patients with short periods of follow-up. For patients with small bowel obstruction, some studies have suggested that ES may be more effective and cost-effective than NES,</w:t>
      </w:r>
      <w:r w:rsidRPr="00C63860">
        <w:rPr>
          <w:noProof/>
          <w:vertAlign w:val="superscript"/>
        </w:rPr>
        <w:t>96</w:t>
      </w:r>
      <w:r w:rsidRPr="00C63860">
        <w:t xml:space="preserve"> while others </w:t>
      </w:r>
      <w:r w:rsidR="00A223B3" w:rsidRPr="00C63860">
        <w:t xml:space="preserve">report </w:t>
      </w:r>
      <w:r w:rsidRPr="00C63860">
        <w:t>that outcomes and costs were similar following ES versus watchful waiting.</w:t>
      </w:r>
      <w:r w:rsidRPr="00C63860">
        <w:rPr>
          <w:noProof/>
          <w:vertAlign w:val="superscript"/>
        </w:rPr>
        <w:t>109, 110</w:t>
      </w:r>
      <w:r w:rsidRPr="00C63860">
        <w:t xml:space="preserve"> While this evidence</w:t>
      </w:r>
      <w:r w:rsidR="00A223B3" w:rsidRPr="00C63860">
        <w:t>, like the ESORT study,</w:t>
      </w:r>
      <w:r w:rsidRPr="00C63860">
        <w:t xml:space="preserve"> </w:t>
      </w:r>
      <w:r w:rsidR="00A223B3" w:rsidRPr="00C63860">
        <w:t>wa</w:t>
      </w:r>
      <w:r w:rsidRPr="00C63860">
        <w:t xml:space="preserve">s based on administrative hospital </w:t>
      </w:r>
      <w:r w:rsidRPr="00C63860">
        <w:rPr>
          <w:highlight w:val="magenta"/>
        </w:rPr>
        <w:t>data</w:t>
      </w:r>
      <w:r w:rsidRPr="00C63860">
        <w:t>, the study design</w:t>
      </w:r>
      <w:r w:rsidR="00A223B3" w:rsidRPr="00C63860">
        <w:t>s</w:t>
      </w:r>
      <w:r w:rsidRPr="00C63860">
        <w:t xml:space="preserve"> did not address concerns about confounding by indication.</w:t>
      </w:r>
      <w:r w:rsidRPr="00C63860">
        <w:rPr>
          <w:noProof/>
          <w:vertAlign w:val="superscript"/>
        </w:rPr>
        <w:t>96, 109, 110</w:t>
      </w:r>
    </w:p>
    <w:p w14:paraId="00ED8E7C" w14:textId="2B3CF554" w:rsidR="00470AE4" w:rsidRPr="00C63860" w:rsidRDefault="00470AE4" w:rsidP="00BC4F71">
      <w:pPr>
        <w:spacing w:before="240" w:after="240" w:line="276" w:lineRule="auto"/>
        <w:rPr>
          <w:b/>
          <w:bCs/>
          <w:sz w:val="28"/>
          <w:szCs w:val="28"/>
        </w:rPr>
      </w:pPr>
      <w:r w:rsidRPr="00C63860">
        <w:rPr>
          <w:b/>
          <w:bCs/>
          <w:sz w:val="28"/>
          <w:szCs w:val="28"/>
        </w:rPr>
        <w:t>5.4 Subgroups</w:t>
      </w:r>
    </w:p>
    <w:p w14:paraId="60A05FD0" w14:textId="36B14975" w:rsidR="00C63860" w:rsidRPr="00C63860" w:rsidRDefault="00470AE4" w:rsidP="00BC4F71">
      <w:pPr>
        <w:spacing w:before="240" w:after="240" w:line="276" w:lineRule="auto"/>
      </w:pPr>
      <w:r w:rsidRPr="00C63860">
        <w:t>The ESORT study reported that for some conditions, the relative effectiveness and cost-effectiveness of ES versus NES strategies differed according to the patients</w:t>
      </w:r>
      <w:r w:rsidR="00C63860" w:rsidRPr="00C63860">
        <w:rPr>
          <w:color w:val="00B0F0"/>
        </w:rPr>
        <w:t>’</w:t>
      </w:r>
      <w:r w:rsidRPr="00C63860">
        <w:t xml:space="preserve"> chronological age, number of comorbidities assessed according to the Charlson comorbidity score, and frailty level assessed by </w:t>
      </w:r>
      <w:r w:rsidR="0039538F" w:rsidRPr="00C63860">
        <w:t xml:space="preserve">the </w:t>
      </w:r>
      <w:r w:rsidRPr="00C63860">
        <w:t xml:space="preserve">SCARF index. The study found that the relationship between age group and cost-effectiveness was somewhat different for diverticular disease </w:t>
      </w:r>
      <w:r w:rsidRPr="00C63860">
        <w:rPr>
          <w:highlight w:val="magenta"/>
        </w:rPr>
        <w:t>compared to</w:t>
      </w:r>
      <w:r w:rsidRPr="00C63860">
        <w:t xml:space="preserve"> the other four conditions. For patients with diverticular disease, ES was more cost-effective for patients aged </w:t>
      </w:r>
      <w:r w:rsidR="00D13437" w:rsidRPr="00C63860">
        <w:t>5</w:t>
      </w:r>
      <w:r w:rsidRPr="00C63860">
        <w:t>5</w:t>
      </w:r>
      <w:r w:rsidR="00C63860" w:rsidRPr="00C63860">
        <w:rPr>
          <w:color w:val="00B0F0"/>
        </w:rPr>
        <w:t>–8</w:t>
      </w:r>
      <w:r w:rsidRPr="00C63860">
        <w:t>0</w:t>
      </w:r>
      <w:r w:rsidR="00A223B3" w:rsidRPr="00C63860">
        <w:t xml:space="preserve"> and also, with greater uncertainty, f</w:t>
      </w:r>
      <w:r w:rsidRPr="00C63860">
        <w:t>or patients aged over 80</w:t>
      </w:r>
      <w:r w:rsidR="00A223B3" w:rsidRPr="00C63860">
        <w:t>. However, for younger patients (age 55 or less)</w:t>
      </w:r>
      <w:r w:rsidRPr="00C63860">
        <w:t xml:space="preserve"> with </w:t>
      </w:r>
      <w:r w:rsidR="00A223B3" w:rsidRPr="00C63860">
        <w:t>diverticular disease</w:t>
      </w:r>
      <w:r w:rsidRPr="00C63860">
        <w:t xml:space="preserve"> there was no strong evidence that either strategy was more cost-effective.</w:t>
      </w:r>
      <w:r w:rsidR="00C63860" w:rsidRPr="00C63860">
        <w:t xml:space="preserve"> </w:t>
      </w:r>
      <w:r w:rsidRPr="00C63860">
        <w:t xml:space="preserve">For the other four conditions, NES strategies were generally more effective and cost-effective for older patients, although the results did not support a particular age </w:t>
      </w:r>
      <w:r w:rsidR="00C63860" w:rsidRPr="00C63860">
        <w:rPr>
          <w:color w:val="00B0F0"/>
        </w:rPr>
        <w:t>‘</w:t>
      </w:r>
      <w:r w:rsidR="006F6056" w:rsidRPr="00C63860">
        <w:t>cut-off</w:t>
      </w:r>
      <w:r w:rsidR="00C63860" w:rsidRPr="00C63860">
        <w:rPr>
          <w:color w:val="00B0F0"/>
        </w:rPr>
        <w:t>’</w:t>
      </w:r>
      <w:r w:rsidRPr="00C63860">
        <w:t>. For example, for patients with acute appendicitis, the age at which there was reasonably strong evidence that NES strategies were relatively cost-effective was around 70 years old, whereas for patients with abdominal wall hernia, the analogous age at which NES strategies were relatively cost-effective was 85 or over.</w:t>
      </w:r>
    </w:p>
    <w:p w14:paraId="2A528D28" w14:textId="77777777" w:rsidR="00C63860" w:rsidRPr="00C63860" w:rsidRDefault="00470AE4" w:rsidP="0039538F">
      <w:pPr>
        <w:spacing w:before="240" w:after="240" w:line="276" w:lineRule="auto"/>
      </w:pPr>
      <w:r w:rsidRPr="00C63860">
        <w:t xml:space="preserve">The ESORT study found that </w:t>
      </w:r>
      <w:r w:rsidR="00D13437" w:rsidRPr="00C63860">
        <w:t>f</w:t>
      </w:r>
      <w:r w:rsidRPr="00C63860">
        <w:t xml:space="preserve">or patients with </w:t>
      </w:r>
      <w:r w:rsidR="00D13437" w:rsidRPr="00C63860">
        <w:t xml:space="preserve">appendicitis, </w:t>
      </w:r>
      <w:r w:rsidRPr="00C63860">
        <w:t xml:space="preserve">cholelithiasis, </w:t>
      </w:r>
      <w:r w:rsidR="00D13437" w:rsidRPr="00C63860">
        <w:t xml:space="preserve">and hernia without comorbidities, </w:t>
      </w:r>
      <w:r w:rsidRPr="00C63860">
        <w:t xml:space="preserve">ES was </w:t>
      </w:r>
      <w:r w:rsidR="00D13437" w:rsidRPr="00C63860">
        <w:t xml:space="preserve">the </w:t>
      </w:r>
      <w:r w:rsidRPr="00C63860">
        <w:t xml:space="preserve">more cost-effective </w:t>
      </w:r>
      <w:r w:rsidR="00D13437" w:rsidRPr="00C63860">
        <w:t xml:space="preserve">strategy, although the results were somewhat uncertain with 95% CI around the INB that included zero. </w:t>
      </w:r>
      <w:r w:rsidRPr="00C63860">
        <w:t xml:space="preserve">For patients with diverticular disease and intestinal obstruction, ES was more effective and cost-effective </w:t>
      </w:r>
      <w:r w:rsidR="0039538F" w:rsidRPr="00C63860">
        <w:t xml:space="preserve">on average </w:t>
      </w:r>
      <w:r w:rsidRPr="00C63860">
        <w:t>for patients with two or three comorbidities</w:t>
      </w:r>
      <w:r w:rsidR="0039538F" w:rsidRPr="00C63860">
        <w:t>, but again with 95% CIs around the mean INB that included zero.</w:t>
      </w:r>
    </w:p>
    <w:p w14:paraId="4D20732C" w14:textId="77D03B7A" w:rsidR="00470AE4" w:rsidRPr="00C63860" w:rsidRDefault="00F55E9B" w:rsidP="00BC4F71">
      <w:pPr>
        <w:spacing w:before="240" w:after="240" w:line="276" w:lineRule="auto"/>
      </w:pPr>
      <w:r w:rsidRPr="00C63860">
        <w:t xml:space="preserve">he most consistent subgroup effects across conditions were found for the level of frailty; ES strategies were generally favoured in patients classified as </w:t>
      </w:r>
      <w:r w:rsidR="00C63860" w:rsidRPr="00C63860">
        <w:rPr>
          <w:color w:val="00B0F0"/>
        </w:rPr>
        <w:t>‘</w:t>
      </w:r>
      <w:r w:rsidR="006F6056" w:rsidRPr="00C63860">
        <w:t>fit</w:t>
      </w:r>
      <w:r w:rsidR="00C63860" w:rsidRPr="00C63860">
        <w:rPr>
          <w:color w:val="00B0F0"/>
        </w:rPr>
        <w:t>’</w:t>
      </w:r>
      <w:r w:rsidRPr="00C63860">
        <w:t xml:space="preserve"> and NES strategies were generally favoured in patients classified as </w:t>
      </w:r>
      <w:r w:rsidR="00C63860" w:rsidRPr="00C63860">
        <w:rPr>
          <w:color w:val="00B0F0"/>
        </w:rPr>
        <w:t>‘</w:t>
      </w:r>
      <w:r w:rsidR="006F6056" w:rsidRPr="00C63860">
        <w:t>severely frail</w:t>
      </w:r>
      <w:r w:rsidR="00C63860" w:rsidRPr="00C63860">
        <w:rPr>
          <w:color w:val="00B0F0"/>
        </w:rPr>
        <w:t>’</w:t>
      </w:r>
      <w:r w:rsidRPr="00C63860">
        <w:t xml:space="preserve">. </w:t>
      </w:r>
      <w:r w:rsidR="00470AE4" w:rsidRPr="00C63860">
        <w:t>The ESORT study found that for patients who had severe levels of frailty at emergency hospital admission, the NES strateg</w:t>
      </w:r>
      <w:r w:rsidR="00D13437" w:rsidRPr="00C63860">
        <w:t>y</w:t>
      </w:r>
      <w:r w:rsidR="00470AE4" w:rsidRPr="00C63860">
        <w:t xml:space="preserve"> led to an increase in average of DAOH at 90 days and w</w:t>
      </w:r>
      <w:r w:rsidR="00D13437" w:rsidRPr="00C63860">
        <w:t>as</w:t>
      </w:r>
      <w:r w:rsidR="00470AE4" w:rsidRPr="00C63860">
        <w:t xml:space="preserve"> cost-effective </w:t>
      </w:r>
      <w:r w:rsidR="00470AE4" w:rsidRPr="00C63860">
        <w:rPr>
          <w:highlight w:val="magenta"/>
        </w:rPr>
        <w:t>compared to</w:t>
      </w:r>
      <w:r w:rsidR="00470AE4" w:rsidRPr="00C63860">
        <w:t xml:space="preserve"> ES strategies. The proportion of patients with severe frailty ranged from 0.5% (appendicitis) to 6.5% (intestinal obstruction). The study found that for patients with moderate levels of frailty NES strategies were also cost-effective for patients with appendicitis</w:t>
      </w:r>
      <w:r w:rsidRPr="00C63860">
        <w:t>,</w:t>
      </w:r>
      <w:r w:rsidR="00470AE4" w:rsidRPr="00C63860">
        <w:t xml:space="preserve"> abdominal wall hernia</w:t>
      </w:r>
      <w:r w:rsidRPr="00C63860">
        <w:t xml:space="preserve"> and intestinal obstruction</w:t>
      </w:r>
      <w:r w:rsidR="00470AE4" w:rsidRPr="00C63860">
        <w:t>. Conversely</w:t>
      </w:r>
      <w:r w:rsidRPr="00C63860">
        <w:t>,</w:t>
      </w:r>
      <w:r w:rsidR="00470AE4" w:rsidRPr="00C63860">
        <w:t xml:space="preserve"> for patients who were </w:t>
      </w:r>
      <w:r w:rsidRPr="00C63860">
        <w:t xml:space="preserve">categorised as </w:t>
      </w:r>
      <w:r w:rsidR="00C63860" w:rsidRPr="00C63860">
        <w:rPr>
          <w:color w:val="00B0F0"/>
        </w:rPr>
        <w:t>‘</w:t>
      </w:r>
      <w:r w:rsidR="006F6056" w:rsidRPr="00C63860">
        <w:t>fit</w:t>
      </w:r>
      <w:r w:rsidR="00C63860" w:rsidRPr="00C63860">
        <w:rPr>
          <w:color w:val="00B0F0"/>
        </w:rPr>
        <w:t>’</w:t>
      </w:r>
      <w:r w:rsidR="00470AE4" w:rsidRPr="00C63860">
        <w:t xml:space="preserve">, ES strategies were more </w:t>
      </w:r>
      <w:r w:rsidRPr="00C63860">
        <w:t xml:space="preserve">effective for cholelithiasis, hernia and intestinal obstruction, and more for all conditions (although with some uncertainty for appendicitis.) The proportion of patients classified as </w:t>
      </w:r>
      <w:r w:rsidR="00C63860" w:rsidRPr="00C63860">
        <w:rPr>
          <w:color w:val="00B0F0"/>
        </w:rPr>
        <w:t>‘</w:t>
      </w:r>
      <w:r w:rsidR="006F6056" w:rsidRPr="00C63860">
        <w:t>fit</w:t>
      </w:r>
      <w:r w:rsidR="00C63860" w:rsidRPr="00C63860">
        <w:rPr>
          <w:color w:val="00B0F0"/>
        </w:rPr>
        <w:t>’</w:t>
      </w:r>
      <w:r w:rsidRPr="00C63860">
        <w:t xml:space="preserve"> ranged from 45% with intestinal obstruction to 83% with appendicitis.</w:t>
      </w:r>
    </w:p>
    <w:p w14:paraId="1BB10969" w14:textId="38CA96E5" w:rsidR="00C63860" w:rsidRPr="00C63860" w:rsidRDefault="00470AE4" w:rsidP="00BC4F71">
      <w:pPr>
        <w:spacing w:before="240" w:after="240" w:line="276" w:lineRule="auto"/>
      </w:pPr>
      <w:r w:rsidRPr="00C63860">
        <w:t xml:space="preserve">The concept of frailty is distinct from biological age, or comorbidity, and has been described as a </w:t>
      </w:r>
      <w:r w:rsidR="006F6056" w:rsidRPr="00C63860">
        <w:rPr>
          <w:color w:val="00B0F0"/>
          <w:highlight w:val="green"/>
        </w:rPr>
        <w:t>‘</w:t>
      </w:r>
      <w:r w:rsidR="006F6056" w:rsidRPr="00C63860">
        <w:rPr>
          <w:highlight w:val="green"/>
        </w:rPr>
        <w:t>dynamic and heterogeneous manifestation of age-related decline in physiological reserve and increased vulnerability to stressors</w:t>
      </w:r>
      <w:r w:rsidR="006F6056" w:rsidRPr="00C63860">
        <w:rPr>
          <w:color w:val="00B0F0"/>
          <w:highlight w:val="green"/>
        </w:rPr>
        <w:t>’</w:t>
      </w:r>
      <w:r w:rsidRPr="00C63860">
        <w:t>.</w:t>
      </w:r>
      <w:r w:rsidRPr="00C63860">
        <w:rPr>
          <w:noProof/>
          <w:vertAlign w:val="superscript"/>
        </w:rPr>
        <w:t>35, 111,112</w:t>
      </w:r>
      <w:r w:rsidRPr="00C63860">
        <w:t xml:space="preserve"> The ESORT study assessed frailty with the SCARF index which uses IC</w:t>
      </w:r>
      <w:r w:rsidR="00C63860" w:rsidRPr="00C63860">
        <w:rPr>
          <w:color w:val="00B0F0"/>
        </w:rPr>
        <w:t>D-1</w:t>
      </w:r>
      <w:r w:rsidRPr="00C63860">
        <w:t>0 codes to define deficits according to functional impairment, geriatric syndromes, problems with nutrition, cognition and mood, and medical comorbidities, with severe frailty defined as the presence of six or more deficits.</w:t>
      </w:r>
      <w:r w:rsidRPr="00C63860">
        <w:rPr>
          <w:noProof/>
          <w:vertAlign w:val="superscript"/>
        </w:rPr>
        <w:t>35</w:t>
      </w:r>
      <w:r w:rsidRPr="00C63860">
        <w:t xml:space="preserve"> The SCARF index can provide a frailty assessment solely using routine </w:t>
      </w:r>
      <w:r w:rsidRPr="00C63860">
        <w:rPr>
          <w:highlight w:val="magenta"/>
        </w:rPr>
        <w:t>data</w:t>
      </w:r>
      <w:r w:rsidRPr="00C63860">
        <w:t xml:space="preserve"> sources such as HES. Previous research in a quite different context (breast cancer) found that frailty assessed by the SCARF index was independently associated with rates of surgery and outcomes, after adjustment for other baseline characteristics including age and number of comorbidities.</w:t>
      </w:r>
      <w:r w:rsidRPr="00C63860">
        <w:rPr>
          <w:noProof/>
          <w:vertAlign w:val="superscript"/>
        </w:rPr>
        <w:t>35</w:t>
      </w:r>
    </w:p>
    <w:p w14:paraId="5A385426" w14:textId="14754264" w:rsidR="00C63860" w:rsidRPr="00C63860" w:rsidRDefault="00470AE4" w:rsidP="00BC4F71">
      <w:pPr>
        <w:spacing w:before="240" w:after="240" w:line="276" w:lineRule="auto"/>
      </w:pPr>
      <w:r w:rsidRPr="00C63860">
        <w:t>The construct behind the SCARF index is similar to the Clinical Frailty Score,</w:t>
      </w:r>
      <w:r w:rsidRPr="00C63860">
        <w:rPr>
          <w:noProof/>
          <w:vertAlign w:val="superscript"/>
        </w:rPr>
        <w:t>113</w:t>
      </w:r>
      <w:r w:rsidRPr="00C63860">
        <w:t xml:space="preserve"> and the Electronic Frailty Index,</w:t>
      </w:r>
      <w:r w:rsidRPr="00C63860">
        <w:rPr>
          <w:noProof/>
          <w:vertAlign w:val="superscript"/>
        </w:rPr>
        <w:t>114</w:t>
      </w:r>
      <w:r w:rsidRPr="00C63860">
        <w:t xml:space="preserve"> which have previously been used to assess frailty prior to ES, and found to be independently associated with greater risks of postoperative mortality and morbidity in reports by NELA, and as part of the Emergency Laparotomy Study.</w:t>
      </w:r>
      <w:r w:rsidRPr="00C63860">
        <w:rPr>
          <w:noProof/>
          <w:vertAlign w:val="superscript"/>
        </w:rPr>
        <w:t>115</w:t>
      </w:r>
      <w:r w:rsidR="00C63860" w:rsidRPr="00C63860">
        <w:rPr>
          <w:noProof/>
          <w:color w:val="00B0F0"/>
          <w:vertAlign w:val="superscript"/>
        </w:rPr>
        <w:t>–1</w:t>
      </w:r>
      <w:r w:rsidRPr="00C63860">
        <w:rPr>
          <w:noProof/>
          <w:vertAlign w:val="superscript"/>
        </w:rPr>
        <w:t>17</w:t>
      </w:r>
      <w:r w:rsidR="00C63860" w:rsidRPr="00C63860">
        <w:t xml:space="preserve"> </w:t>
      </w:r>
      <w:r w:rsidRPr="00C63860">
        <w:t xml:space="preserve">The ESORT study extends these findings by including conditions that do not require emergency laparotomy, and by considering frailty level as a potential effect modifier, in assessing the relative effectiveness of ES versus NES strategies. The finding that the relative effectiveness and cost-effectiveness of ES is modified by frailty level, after adjusting age, and number of comorbidities, supports the inclusion of frailty assessments as part of routine preoperative assessments prior to either ES or NES strategies. The RCS report on the </w:t>
      </w:r>
      <w:r w:rsidR="006F6056" w:rsidRPr="00C63860">
        <w:rPr>
          <w:color w:val="00B0F0"/>
          <w:highlight w:val="green"/>
        </w:rPr>
        <w:t>‘</w:t>
      </w:r>
      <w:r w:rsidR="006F6056" w:rsidRPr="00C63860">
        <w:rPr>
          <w:highlight w:val="green"/>
        </w:rPr>
        <w:t>High-Risk General Surgical Patient</w:t>
      </w:r>
      <w:r w:rsidR="006F6056" w:rsidRPr="00C63860">
        <w:rPr>
          <w:color w:val="00B0F0"/>
          <w:highlight w:val="green"/>
        </w:rPr>
        <w:t>’</w:t>
      </w:r>
      <w:r w:rsidRPr="00C63860">
        <w:t>,</w:t>
      </w:r>
      <w:r w:rsidRPr="00C63860">
        <w:rPr>
          <w:noProof/>
          <w:vertAlign w:val="superscript"/>
        </w:rPr>
        <w:t>118</w:t>
      </w:r>
      <w:r w:rsidRPr="00C63860">
        <w:t xml:space="preserve"> states that all patients over the age of 65 should have frailty assessed, but this does not happen for all relevant emergency admissions.</w:t>
      </w:r>
      <w:r w:rsidRPr="00C63860">
        <w:rPr>
          <w:noProof/>
          <w:vertAlign w:val="superscript"/>
        </w:rPr>
        <w:t>115</w:t>
      </w:r>
      <w:r w:rsidR="00C63860" w:rsidRPr="00C63860">
        <w:rPr>
          <w:noProof/>
          <w:color w:val="00B0F0"/>
          <w:vertAlign w:val="superscript"/>
        </w:rPr>
        <w:t>–1</w:t>
      </w:r>
      <w:r w:rsidRPr="00C63860">
        <w:rPr>
          <w:noProof/>
          <w:vertAlign w:val="superscript"/>
        </w:rPr>
        <w:t>17</w:t>
      </w:r>
      <w:r w:rsidRPr="00C63860">
        <w:t xml:space="preserve"> The ESORT study therefore provides evidence to support recent guidelines that have emphasised the importance of frailty assessment as part of preoperative assessment.</w:t>
      </w:r>
      <w:r w:rsidRPr="00C63860">
        <w:rPr>
          <w:noProof/>
          <w:vertAlign w:val="superscript"/>
        </w:rPr>
        <w:t>119</w:t>
      </w:r>
    </w:p>
    <w:p w14:paraId="3102DE4B" w14:textId="6D41212A" w:rsidR="00470AE4" w:rsidRPr="00C63860" w:rsidRDefault="00470AE4" w:rsidP="00BC4F71">
      <w:pPr>
        <w:spacing w:before="240" w:after="240" w:line="276" w:lineRule="auto"/>
      </w:pPr>
      <w:r w:rsidRPr="00C63860">
        <w:t xml:space="preserve">The findings from the ESORT study </w:t>
      </w:r>
      <w:r w:rsidR="00F55E9B" w:rsidRPr="00C63860">
        <w:t xml:space="preserve">also </w:t>
      </w:r>
      <w:r w:rsidRPr="00C63860">
        <w:t>support previous recommendations that the choice of ES versus NES strategies should not be according to chronological age,</w:t>
      </w:r>
      <w:r w:rsidRPr="00C63860">
        <w:rPr>
          <w:noProof/>
          <w:vertAlign w:val="superscript"/>
        </w:rPr>
        <w:t>28, 29</w:t>
      </w:r>
      <w:r w:rsidRPr="00C63860">
        <w:t xml:space="preserve"> but should recognise the importance of other factors such as comorbidity and frailty, in advising patients and their carers of the relative benefits and risks of ES versus NES strategies. These NES strategies include later surgery which offer the opportunity to stabilise the patient</w:t>
      </w:r>
      <w:r w:rsidR="00C63860" w:rsidRPr="00C63860">
        <w:rPr>
          <w:color w:val="00B0F0"/>
        </w:rPr>
        <w:t>’</w:t>
      </w:r>
      <w:r w:rsidRPr="00C63860">
        <w:t xml:space="preserve">s condition, and the potential to improve outcomes and avoid subsequent readmissions (see </w:t>
      </w:r>
      <w:r w:rsidR="006F6056" w:rsidRPr="00C63860">
        <w:rPr>
          <w:color w:val="00B0F0"/>
          <w:highlight w:val="green"/>
        </w:rPr>
        <w:t>‘</w:t>
      </w:r>
      <w:r w:rsidR="006F6056" w:rsidRPr="00C63860">
        <w:rPr>
          <w:highlight w:val="green"/>
        </w:rPr>
        <w:t>implications for further research</w:t>
      </w:r>
      <w:r w:rsidR="006F6056" w:rsidRPr="00C63860">
        <w:rPr>
          <w:color w:val="00B0F0"/>
          <w:highlight w:val="green"/>
        </w:rPr>
        <w:t>’</w:t>
      </w:r>
      <w:r w:rsidRPr="00C63860">
        <w:t>).</w:t>
      </w:r>
    </w:p>
    <w:p w14:paraId="4DFACDFC" w14:textId="77777777" w:rsidR="00C63860" w:rsidRPr="00C63860" w:rsidRDefault="00470AE4" w:rsidP="00BC4F71">
      <w:pPr>
        <w:spacing w:before="240" w:after="240" w:line="276" w:lineRule="auto"/>
        <w:rPr>
          <w:b/>
          <w:bCs/>
          <w:sz w:val="28"/>
          <w:szCs w:val="28"/>
        </w:rPr>
      </w:pPr>
      <w:r w:rsidRPr="00C63860">
        <w:rPr>
          <w:b/>
          <w:bCs/>
          <w:sz w:val="28"/>
          <w:szCs w:val="28"/>
        </w:rPr>
        <w:t>5.5. Strengths</w:t>
      </w:r>
    </w:p>
    <w:p w14:paraId="59803E10" w14:textId="77777777" w:rsidR="00C63860" w:rsidRPr="00C63860" w:rsidRDefault="00470AE4" w:rsidP="00BC4F71">
      <w:pPr>
        <w:spacing w:before="240" w:after="240" w:line="276" w:lineRule="auto"/>
      </w:pPr>
      <w:r w:rsidRPr="00C63860">
        <w:t xml:space="preserve">The ESORT study addresses an important question about the provision of ES, by considering five different common acute conditions that often present as emergency hospital admissions. This study uses large, nationally representing </w:t>
      </w:r>
      <w:r w:rsidRPr="00C63860">
        <w:rPr>
          <w:highlight w:val="magenta"/>
        </w:rPr>
        <w:t>data</w:t>
      </w:r>
      <w:r w:rsidRPr="00C63860">
        <w:t xml:space="preserve"> comprising a total of 887,495 emergency hospital admissions to 175 hospitals over a ten-year period. Previous evaluations of the effectiveness or cost-effectiveness of ES versus NES strategies for patients with acute conditions have included a narrow range of patients, and small samples of patients or hospitals.</w:t>
      </w:r>
      <w:r w:rsidRPr="00C63860">
        <w:rPr>
          <w:noProof/>
          <w:vertAlign w:val="superscript"/>
        </w:rPr>
        <w:t>7, 8, 13, 21, 23, 66</w:t>
      </w:r>
      <w:r w:rsidRPr="00C63860">
        <w:t xml:space="preserve"> By using routine </w:t>
      </w:r>
      <w:r w:rsidRPr="00C63860">
        <w:rPr>
          <w:highlight w:val="magenta"/>
        </w:rPr>
        <w:t>data</w:t>
      </w:r>
      <w:r w:rsidRPr="00C63860">
        <w:t xml:space="preserve"> from all NHS acute hospitals, the ESORT study was able to include large, representative populations of patients, including subgroups such as those with severe levels of frailty, older patients or those with long-term conditions, who have been excluded from previous studies.</w:t>
      </w:r>
      <w:r w:rsidRPr="00C63860">
        <w:rPr>
          <w:noProof/>
          <w:vertAlign w:val="superscript"/>
        </w:rPr>
        <w:t>36</w:t>
      </w:r>
      <w:r w:rsidRPr="00C63860">
        <w:t xml:space="preserve"> The study reported estimates of relative effectiveness and cost-effectiveness for pre-specified subgroups, with sufficient precision to provide useful estimates for informing clinical </w:t>
      </w:r>
      <w:r w:rsidRPr="00C63860">
        <w:rPr>
          <w:highlight w:val="magenta"/>
        </w:rPr>
        <w:t>practice</w:t>
      </w:r>
      <w:r w:rsidRPr="00C63860">
        <w:t>.</w:t>
      </w:r>
    </w:p>
    <w:p w14:paraId="692CE194" w14:textId="225B6FEE" w:rsidR="00C63860" w:rsidRPr="00C63860" w:rsidRDefault="00470AE4" w:rsidP="00BC4F71">
      <w:pPr>
        <w:spacing w:before="240" w:after="240" w:line="276" w:lineRule="auto"/>
      </w:pPr>
      <w:r w:rsidRPr="00C63860">
        <w:t xml:space="preserve">The study exemplifies how an advanced IV approach can be applied to </w:t>
      </w:r>
      <w:r w:rsidR="0039538F" w:rsidRPr="00C63860">
        <w:t>routine</w:t>
      </w:r>
      <w:r w:rsidRPr="00C63860">
        <w:t xml:space="preserve"> </w:t>
      </w:r>
      <w:r w:rsidRPr="00C63860">
        <w:rPr>
          <w:highlight w:val="magenta"/>
        </w:rPr>
        <w:t>data</w:t>
      </w:r>
      <w:r w:rsidRPr="00C63860">
        <w:t>. Here, conventional risk adjustment approaches are problematic, as they rely on the assumption that all the potential confounders have been observed. This assumption is implausible in this context, as the choice of ES versus NES strategies reflects the patient</w:t>
      </w:r>
      <w:r w:rsidR="00C63860" w:rsidRPr="00C63860">
        <w:rPr>
          <w:color w:val="00B0F0"/>
        </w:rPr>
        <w:t>’</w:t>
      </w:r>
      <w:r w:rsidRPr="00C63860">
        <w:t xml:space="preserve">s prognosis according to measures not available within the HES </w:t>
      </w:r>
      <w:r w:rsidRPr="00C63860">
        <w:rPr>
          <w:highlight w:val="magenta"/>
        </w:rPr>
        <w:t>data</w:t>
      </w:r>
      <w:r w:rsidRPr="00C63860">
        <w:t>, such as the patient</w:t>
      </w:r>
      <w:r w:rsidR="00C63860" w:rsidRPr="00C63860">
        <w:rPr>
          <w:color w:val="00B0F0"/>
        </w:rPr>
        <w:t>’</w:t>
      </w:r>
      <w:r w:rsidRPr="00C63860">
        <w:t>s disease state. Hence, estimates from conventional risk adjustment approaches</w:t>
      </w:r>
      <w:r w:rsidR="009F5BFA" w:rsidRPr="00C63860">
        <w:t xml:space="preserve"> using standard regression analysis</w:t>
      </w:r>
      <w:r w:rsidRPr="00C63860">
        <w:t>, such as those considered in the sensitivity analyses, will be prone to bias. In particular, for patients with acute diverticular disease</w:t>
      </w:r>
      <w:r w:rsidR="00D13437" w:rsidRPr="00C63860">
        <w:t xml:space="preserve"> and intestinal obstruction</w:t>
      </w:r>
      <w:r w:rsidRPr="00C63860">
        <w:t>, we found that patients who had ES rather than NES strategies were of more severe case-mix, according to both measured characteristics (e.g. age, frailty, number of comorbidities) and</w:t>
      </w:r>
      <w:r w:rsidR="00C63860" w:rsidRPr="00C63860">
        <w:rPr>
          <w:color w:val="00B0F0"/>
        </w:rPr>
        <w:t xml:space="preserve"> – </w:t>
      </w:r>
      <w:r w:rsidRPr="00C63860">
        <w:t>it is likely</w:t>
      </w:r>
      <w:r w:rsidR="00C63860" w:rsidRPr="00C63860">
        <w:rPr>
          <w:color w:val="00B0F0"/>
        </w:rPr>
        <w:t xml:space="preserve"> – </w:t>
      </w:r>
      <w:r w:rsidRPr="00C63860">
        <w:t>unmeasured factors (e.g</w:t>
      </w:r>
      <w:r w:rsidR="00F55E9B" w:rsidRPr="00C63860">
        <w:t>.,</w:t>
      </w:r>
      <w:r w:rsidRPr="00C63860">
        <w:t xml:space="preserve"> size of abscess). Hence, the finding from the regression analysis, that ES led to increases in mortality for patients with diverticular disease</w:t>
      </w:r>
      <w:r w:rsidR="00F55E9B" w:rsidRPr="00C63860">
        <w:t>,</w:t>
      </w:r>
      <w:r w:rsidRPr="00C63860">
        <w:t xml:space="preserve"> is likely to reflect confounding by indication. By contrast, the IV approach which avoids assuming that all measured confounders have been observed, found that overall, clinical outcomes and costs were similar for the ES and NES strategies, and that the estimated INBs were close to zero, with substantial uncertainty surrounding the estimates. While the IV approach also made assumptions, we found, given the large sample size and the high levels of variation in ES rates across hospitals, that the IV was sufficiently strong, and balanced the observed covariates between the comparison groups. This research therefore </w:t>
      </w:r>
      <w:r w:rsidR="0039538F" w:rsidRPr="00C63860">
        <w:t>extends</w:t>
      </w:r>
      <w:r w:rsidRPr="00C63860">
        <w:t xml:space="preserve"> previous methodological research that has reported that a preference-based IV can be developed from </w:t>
      </w:r>
      <w:r w:rsidR="0039538F" w:rsidRPr="00C63860">
        <w:t>routine</w:t>
      </w:r>
      <w:r w:rsidRPr="00C63860">
        <w:t xml:space="preserve"> </w:t>
      </w:r>
      <w:r w:rsidRPr="00C63860">
        <w:rPr>
          <w:highlight w:val="magenta"/>
        </w:rPr>
        <w:t>data</w:t>
      </w:r>
      <w:r w:rsidRPr="00C63860">
        <w:t xml:space="preserve"> and pass stringent assessments of IV validity.</w:t>
      </w:r>
      <w:r w:rsidRPr="00C63860">
        <w:rPr>
          <w:noProof/>
          <w:vertAlign w:val="superscript"/>
        </w:rPr>
        <w:t>20</w:t>
      </w:r>
      <w:r w:rsidRPr="00C63860">
        <w:t xml:space="preserve"> Hence, while such IV approaches are unusual within the economic evaluation or health services literature, this study suggests they may have wider applicability in evaluations that use routine </w:t>
      </w:r>
      <w:r w:rsidRPr="00C63860">
        <w:rPr>
          <w:highlight w:val="magenta"/>
        </w:rPr>
        <w:t>data</w:t>
      </w:r>
      <w:r w:rsidRPr="00C63860">
        <w:t>, which are prone to the major problem of confounding by indication.</w:t>
      </w:r>
      <w:r w:rsidRPr="00C63860">
        <w:rPr>
          <w:noProof/>
          <w:vertAlign w:val="superscript"/>
        </w:rPr>
        <w:t>120</w:t>
      </w:r>
    </w:p>
    <w:p w14:paraId="42605C07" w14:textId="77777777" w:rsidR="00C63860" w:rsidRPr="00C63860" w:rsidRDefault="00470AE4" w:rsidP="00BC4F71">
      <w:pPr>
        <w:spacing w:before="240" w:after="240" w:line="276" w:lineRule="auto"/>
        <w:rPr>
          <w:b/>
          <w:bCs/>
          <w:sz w:val="28"/>
          <w:szCs w:val="28"/>
        </w:rPr>
      </w:pPr>
      <w:r w:rsidRPr="00C63860">
        <w:rPr>
          <w:b/>
          <w:bCs/>
          <w:sz w:val="28"/>
          <w:szCs w:val="28"/>
        </w:rPr>
        <w:t>5.6 Limitations</w:t>
      </w:r>
    </w:p>
    <w:p w14:paraId="659842FF" w14:textId="3DC86C96" w:rsidR="00C63860" w:rsidRPr="00C63860" w:rsidRDefault="00470AE4" w:rsidP="00BC4F71">
      <w:pPr>
        <w:spacing w:before="240" w:after="240" w:line="276" w:lineRule="auto"/>
      </w:pPr>
      <w:r w:rsidRPr="00C63860">
        <w:t>The study</w:t>
      </w:r>
      <w:r w:rsidR="00C63860" w:rsidRPr="00C63860">
        <w:rPr>
          <w:color w:val="00B0F0"/>
        </w:rPr>
        <w:t>’</w:t>
      </w:r>
      <w:r w:rsidRPr="00C63860">
        <w:t xml:space="preserve">s inclusion criteria and definition of baseline, subgroup and resource-use variables were reliant on the coding of diagnosis and procedures available from the HES </w:t>
      </w:r>
      <w:r w:rsidRPr="00C63860">
        <w:rPr>
          <w:highlight w:val="magenta"/>
        </w:rPr>
        <w:t>data</w:t>
      </w:r>
      <w:r w:rsidRPr="00C63860">
        <w:t xml:space="preserve">. One concern this raises is that for those patients without diagnostic or imaging information available, the diagnostic categorisation was imprecise; for example, the </w:t>
      </w:r>
      <w:r w:rsidR="006F6056" w:rsidRPr="00C63860">
        <w:rPr>
          <w:color w:val="00B0F0"/>
          <w:highlight w:val="green"/>
        </w:rPr>
        <w:t>‘</w:t>
      </w:r>
      <w:r w:rsidR="006F6056" w:rsidRPr="00C63860">
        <w:rPr>
          <w:highlight w:val="green"/>
        </w:rPr>
        <w:t>acute appendicitis cohort</w:t>
      </w:r>
      <w:r w:rsidR="006F6056" w:rsidRPr="00C63860">
        <w:rPr>
          <w:color w:val="00B0F0"/>
          <w:highlight w:val="green"/>
        </w:rPr>
        <w:t>’</w:t>
      </w:r>
      <w:r w:rsidRPr="00C63860">
        <w:t xml:space="preserve"> would have included patients with </w:t>
      </w:r>
      <w:r w:rsidR="00C63860" w:rsidRPr="00C63860">
        <w:rPr>
          <w:color w:val="00B0F0"/>
        </w:rPr>
        <w:t>‘</w:t>
      </w:r>
      <w:r w:rsidR="006F6056" w:rsidRPr="00C63860">
        <w:t>suspected appendicitis</w:t>
      </w:r>
      <w:r w:rsidR="00C63860" w:rsidRPr="00C63860">
        <w:rPr>
          <w:color w:val="00B0F0"/>
        </w:rPr>
        <w:t>’</w:t>
      </w:r>
      <w:r w:rsidRPr="00C63860">
        <w:t xml:space="preserve"> who did not have appendicitis. The ESORT study, as with any observational study that attempts to estimate relative effectiveness and cost-effectiveness was required to make assumptions. The ESORT study design took an IV approach which avoided making the unrealistic assumption that all the potential confounding variables were observed. Instead</w:t>
      </w:r>
      <w:r w:rsidR="00D13437" w:rsidRPr="00C63860">
        <w:t>,</w:t>
      </w:r>
      <w:r w:rsidRPr="00C63860">
        <w:t xml:space="preserve"> the IV approach assumed that the hospitals</w:t>
      </w:r>
      <w:r w:rsidR="00C63860" w:rsidRPr="00C63860">
        <w:rPr>
          <w:color w:val="00B0F0"/>
        </w:rPr>
        <w:t>’</w:t>
      </w:r>
      <w:r w:rsidRPr="00C63860">
        <w:t xml:space="preserve"> TTO did not have a direct effect on the outcome. While this assumption could not be verified from </w:t>
      </w:r>
      <w:r w:rsidR="0081253D" w:rsidRPr="00C63860">
        <w:t xml:space="preserve">the </w:t>
      </w:r>
      <w:r w:rsidRPr="00C63860">
        <w:rPr>
          <w:highlight w:val="magenta"/>
        </w:rPr>
        <w:t>data</w:t>
      </w:r>
      <w:r w:rsidRPr="00C63860">
        <w:t>, the study provided evidence to support the underlying assumption</w:t>
      </w:r>
      <w:r w:rsidR="006E379C" w:rsidRPr="00C63860">
        <w:t>s</w:t>
      </w:r>
      <w:r w:rsidRPr="00C63860">
        <w:t>, and found that the study conclusions were robust when alternative standpoints were taken, for example</w:t>
      </w:r>
      <w:r w:rsidR="00F55E9B" w:rsidRPr="00C63860">
        <w:t>,</w:t>
      </w:r>
      <w:r w:rsidRPr="00C63860">
        <w:t xml:space="preserve"> to the </w:t>
      </w:r>
      <w:r w:rsidR="00F55E9B" w:rsidRPr="00C63860">
        <w:t xml:space="preserve">different </w:t>
      </w:r>
      <w:r w:rsidRPr="00C63860">
        <w:t xml:space="preserve">variables used </w:t>
      </w:r>
      <w:r w:rsidR="00F55E9B" w:rsidRPr="00C63860">
        <w:t>as</w:t>
      </w:r>
      <w:r w:rsidRPr="00C63860">
        <w:t xml:space="preserve"> prox</w:t>
      </w:r>
      <w:r w:rsidR="00F55E9B" w:rsidRPr="00C63860">
        <w:t>ies</w:t>
      </w:r>
      <w:r w:rsidRPr="00C63860">
        <w:t xml:space="preserve"> </w:t>
      </w:r>
      <w:r w:rsidR="00F55E9B" w:rsidRPr="00C63860">
        <w:t xml:space="preserve">for </w:t>
      </w:r>
      <w:r w:rsidRPr="00C63860">
        <w:t>the quality of acute care within the hospital.</w:t>
      </w:r>
    </w:p>
    <w:p w14:paraId="7CF8747D" w14:textId="77777777" w:rsidR="00C63860" w:rsidRPr="00C63860" w:rsidRDefault="00DE0430" w:rsidP="00BC4F71">
      <w:pPr>
        <w:spacing w:before="240" w:after="240" w:line="276" w:lineRule="auto"/>
      </w:pPr>
      <w:r w:rsidRPr="00C63860">
        <w:t xml:space="preserve">The ESORT study </w:t>
      </w:r>
      <w:r w:rsidR="00007775" w:rsidRPr="00C63860">
        <w:t xml:space="preserve">measure inpatient costs from the perspective of the NHS acute hospital, and so costs of other aspects of health and personal social services were excluded. </w:t>
      </w:r>
      <w:r w:rsidR="00C817F6" w:rsidRPr="00C63860">
        <w:t xml:space="preserve">The choice of costing perspective was driven by the availability of </w:t>
      </w:r>
      <w:r w:rsidR="003E0AD0" w:rsidRPr="00C63860">
        <w:t xml:space="preserve">the resource use </w:t>
      </w:r>
      <w:r w:rsidR="003E0AD0" w:rsidRPr="00C63860">
        <w:rPr>
          <w:highlight w:val="magenta"/>
        </w:rPr>
        <w:t>data</w:t>
      </w:r>
      <w:r w:rsidR="003E0AD0" w:rsidRPr="00C63860">
        <w:t xml:space="preserve"> that were available from </w:t>
      </w:r>
      <w:r w:rsidR="00A17126" w:rsidRPr="00C63860">
        <w:t xml:space="preserve">the </w:t>
      </w:r>
      <w:r w:rsidR="003E0AD0" w:rsidRPr="00C63860">
        <w:t>HES</w:t>
      </w:r>
      <w:r w:rsidR="00A17126" w:rsidRPr="00C63860">
        <w:t xml:space="preserve"> </w:t>
      </w:r>
      <w:r w:rsidR="00A17126" w:rsidRPr="00C63860">
        <w:rPr>
          <w:highlight w:val="magenta"/>
        </w:rPr>
        <w:t>data</w:t>
      </w:r>
      <w:r w:rsidR="00A17126" w:rsidRPr="00C63860">
        <w:t xml:space="preserve"> requested, which were limited to inpatient admissions to NHS trust hospitals. </w:t>
      </w:r>
      <w:r w:rsidR="008D26A6" w:rsidRPr="00C63860">
        <w:t xml:space="preserve">The exclusion of broader </w:t>
      </w:r>
      <w:r w:rsidR="00F00CCD" w:rsidRPr="00C63860">
        <w:t xml:space="preserve">costs for example of </w:t>
      </w:r>
      <w:r w:rsidR="008D26A6" w:rsidRPr="00C63860">
        <w:t xml:space="preserve">NHS-funded care </w:t>
      </w:r>
      <w:r w:rsidR="00F5732B" w:rsidRPr="00C63860">
        <w:t>out with</w:t>
      </w:r>
      <w:r w:rsidR="008D26A6" w:rsidRPr="00C63860">
        <w:t xml:space="preserve"> the acute hospital, could have led to the under estimation of the incremental costs of the NES strategy for </w:t>
      </w:r>
      <w:r w:rsidR="00647EDA" w:rsidRPr="00C63860">
        <w:t>some</w:t>
      </w:r>
      <w:r w:rsidR="008D26A6" w:rsidRPr="00C63860">
        <w:t xml:space="preserve"> subgroups, such as patients with severe levels of frailty</w:t>
      </w:r>
      <w:r w:rsidR="003B22E3" w:rsidRPr="00C63860">
        <w:t>. These subgroups</w:t>
      </w:r>
      <w:r w:rsidR="00647EDA" w:rsidRPr="00C63860">
        <w:t xml:space="preserve"> </w:t>
      </w:r>
      <w:r w:rsidR="003B22E3" w:rsidRPr="00C63860">
        <w:t xml:space="preserve">may have incurred these costs </w:t>
      </w:r>
      <w:r w:rsidR="00647EDA" w:rsidRPr="00C63860">
        <w:t>following discharge from the acute hospital.</w:t>
      </w:r>
    </w:p>
    <w:p w14:paraId="42BFEBD2" w14:textId="77777777" w:rsidR="00C63860" w:rsidRPr="00C63860" w:rsidRDefault="00470AE4" w:rsidP="00BC4F71">
      <w:pPr>
        <w:spacing w:before="240" w:after="240" w:line="276" w:lineRule="auto"/>
      </w:pPr>
      <w:r w:rsidRPr="00C63860">
        <w:t xml:space="preserve">The ESORT study was able to provide recommendations according to patient subgroup definitions available in routine </w:t>
      </w:r>
      <w:r w:rsidRPr="00C63860">
        <w:rPr>
          <w:highlight w:val="magenta"/>
        </w:rPr>
        <w:t>data</w:t>
      </w:r>
      <w:r w:rsidRPr="00C63860">
        <w:t>. The study did not have information pertaining to disease stage, physiology or underlying health condition, that are generally available to the clinical team, patient and carers when deciding whether ES or NES strategies are more appropriate for the individual patient. Also, the analysis of the ESORT study does not consider relative effectiveness and cost-effectiveness according to combinations of subgroup variables.</w:t>
      </w:r>
    </w:p>
    <w:p w14:paraId="118BB304" w14:textId="77777777" w:rsidR="00C63860" w:rsidRPr="00C63860" w:rsidRDefault="00470AE4" w:rsidP="00BC4F71">
      <w:pPr>
        <w:spacing w:before="240" w:after="240" w:line="276" w:lineRule="auto"/>
      </w:pPr>
      <w:r w:rsidRPr="00C63860">
        <w:t>Finally, while the ESORT study was able to define ES according to OPCS procedure codes and clinically</w:t>
      </w:r>
      <w:r w:rsidR="006E379C" w:rsidRPr="00C63860">
        <w:t>-</w:t>
      </w:r>
      <w:r w:rsidRPr="00C63860">
        <w:t xml:space="preserve">relevant time windows, information was </w:t>
      </w:r>
      <w:r w:rsidR="00D13437" w:rsidRPr="00C63860">
        <w:t xml:space="preserve">not fully </w:t>
      </w:r>
      <w:r w:rsidRPr="00C63860">
        <w:t>available on specific NES strategies,</w:t>
      </w:r>
      <w:r w:rsidR="00D13437" w:rsidRPr="00C63860">
        <w:t xml:space="preserve"> for example whether or not the patient had antibiotics</w:t>
      </w:r>
      <w:r w:rsidR="0039538F" w:rsidRPr="00C63860">
        <w:rPr>
          <w:highlight w:val="magenta"/>
        </w:rPr>
        <w:t>.</w:t>
      </w:r>
      <w:r w:rsidRPr="00C63860">
        <w:rPr>
          <w:highlight w:val="magenta"/>
        </w:rPr>
        <w:t xml:space="preserve"> Further</w:t>
      </w:r>
      <w:r w:rsidRPr="00C63860">
        <w:t xml:space="preserve"> research would be useful to define protocols for NES strategies, especially for those conditions such as abdominal wall hernia, for which previous RCTs have not been undertaken (see implications for further research).</w:t>
      </w:r>
    </w:p>
    <w:p w14:paraId="7CAF53AE" w14:textId="78D8002D" w:rsidR="00470AE4" w:rsidRPr="00C63860" w:rsidRDefault="00470AE4" w:rsidP="00BC4F71">
      <w:pPr>
        <w:spacing w:before="240" w:after="240" w:line="276" w:lineRule="auto"/>
        <w:rPr>
          <w:b/>
          <w:bCs/>
          <w:sz w:val="28"/>
          <w:szCs w:val="28"/>
        </w:rPr>
      </w:pPr>
      <w:r w:rsidRPr="00C63860">
        <w:rPr>
          <w:b/>
          <w:bCs/>
          <w:sz w:val="28"/>
          <w:szCs w:val="28"/>
        </w:rPr>
        <w:t>5.7 Conclusions and implications for provision of ES and NES strategies</w:t>
      </w:r>
    </w:p>
    <w:p w14:paraId="7997D269" w14:textId="77777777" w:rsidR="00C63860" w:rsidRPr="00C63860" w:rsidRDefault="00470AE4" w:rsidP="00BC4F71">
      <w:pPr>
        <w:numPr>
          <w:ilvl w:val="0"/>
          <w:numId w:val="40"/>
        </w:numPr>
        <w:spacing w:before="240" w:after="240" w:line="276" w:lineRule="auto"/>
        <w:contextualSpacing/>
      </w:pPr>
      <w:r w:rsidRPr="00C63860">
        <w:rPr>
          <w:rFonts w:cstheme="minorHAnsi"/>
        </w:rPr>
        <w:t>The ESORT study finds that overall, for patients presenting as emergency hospital admissions with common acute conditions, ES and NES strategies led to similar average DAOH at 90 days, and neither strategy was more cost-effective. The initial additional costs of ES procedures were generally offset by higher readmission and later operative costs following the NES strategies, over a one-year period.</w:t>
      </w:r>
    </w:p>
    <w:p w14:paraId="74D5B452" w14:textId="5894B750" w:rsidR="00C63860" w:rsidRPr="00C63860" w:rsidRDefault="00470AE4" w:rsidP="00BC4F71">
      <w:pPr>
        <w:numPr>
          <w:ilvl w:val="0"/>
          <w:numId w:val="39"/>
        </w:numPr>
        <w:spacing w:before="240" w:after="240" w:line="276" w:lineRule="auto"/>
        <w:ind w:left="714" w:hanging="357"/>
        <w:contextualSpacing/>
      </w:pPr>
      <w:r w:rsidRPr="00C63860">
        <w:t>The study found differences in the relative effectiveness and cost-effectiveness of ES versus NES strategies according to patients</w:t>
      </w:r>
      <w:r w:rsidR="00C63860" w:rsidRPr="00C63860">
        <w:rPr>
          <w:color w:val="00B0F0"/>
        </w:rPr>
        <w:t>’</w:t>
      </w:r>
      <w:r w:rsidRPr="00C63860">
        <w:t xml:space="preserve"> chronological age, number of comorbidities, and frailty levels (see </w:t>
      </w:r>
      <w:r w:rsidR="00C63860" w:rsidRPr="00C63860">
        <w:rPr>
          <w:i/>
          <w:color w:val="FF0000"/>
        </w:rPr>
        <w:t>Table 20</w:t>
      </w:r>
      <w:r w:rsidRPr="00C63860">
        <w:t>).</w:t>
      </w:r>
    </w:p>
    <w:p w14:paraId="7F8DF61F" w14:textId="3ABE4C9C" w:rsidR="00C63860" w:rsidRPr="00C63860" w:rsidRDefault="00470AE4" w:rsidP="00BC4F71">
      <w:pPr>
        <w:numPr>
          <w:ilvl w:val="0"/>
          <w:numId w:val="39"/>
        </w:numPr>
        <w:spacing w:before="240" w:after="240" w:line="276" w:lineRule="auto"/>
        <w:ind w:left="714" w:hanging="357"/>
        <w:contextualSpacing/>
      </w:pPr>
      <w:r w:rsidRPr="00C63860">
        <w:t xml:space="preserve">For patients with appendicitis, cholelithiasis, hernia and intestinal obstruction, NES strategies were generally more effective and cost-effective for older patients, although the results did not support a general age </w:t>
      </w:r>
      <w:r w:rsidR="00C63860" w:rsidRPr="00C63860">
        <w:rPr>
          <w:color w:val="00B0F0"/>
        </w:rPr>
        <w:t>‘</w:t>
      </w:r>
      <w:r w:rsidR="006F6056" w:rsidRPr="00C63860">
        <w:t>cut-off</w:t>
      </w:r>
      <w:r w:rsidR="00C63860" w:rsidRPr="00C63860">
        <w:rPr>
          <w:color w:val="00B0F0"/>
        </w:rPr>
        <w:t>’</w:t>
      </w:r>
      <w:r w:rsidRPr="00C63860">
        <w:t>.</w:t>
      </w:r>
    </w:p>
    <w:p w14:paraId="0CF76B1E" w14:textId="77777777" w:rsidR="00C63860" w:rsidRPr="00C63860" w:rsidRDefault="00470AE4" w:rsidP="00BC4F71">
      <w:pPr>
        <w:numPr>
          <w:ilvl w:val="0"/>
          <w:numId w:val="39"/>
        </w:numPr>
        <w:spacing w:before="240" w:after="240" w:line="276" w:lineRule="auto"/>
        <w:ind w:left="714" w:hanging="357"/>
        <w:contextualSpacing/>
      </w:pPr>
      <w:r w:rsidRPr="00C63860">
        <w:t>The ESORT study also found that relative cost-effectiveness differed according to the number of comorbidities. NES strategies were more cost-effective</w:t>
      </w:r>
      <w:r w:rsidR="0039538F" w:rsidRPr="00C63860">
        <w:t xml:space="preserve"> on average</w:t>
      </w:r>
      <w:r w:rsidRPr="00C63860">
        <w:t xml:space="preserve"> for</w:t>
      </w:r>
      <w:r w:rsidR="0039538F" w:rsidRPr="00C63860">
        <w:t xml:space="preserve"> those</w:t>
      </w:r>
      <w:r w:rsidRPr="00C63860">
        <w:t xml:space="preserve"> patients with acute appendicitis, cholelithiasis or abdominal wall hernia, who had two or more comorbidities. For patients with </w:t>
      </w:r>
      <w:r w:rsidR="000511A2" w:rsidRPr="00C63860">
        <w:t xml:space="preserve">acute appendicitis, </w:t>
      </w:r>
      <w:r w:rsidRPr="00C63860">
        <w:t xml:space="preserve">cholelithiasis </w:t>
      </w:r>
      <w:r w:rsidR="000511A2" w:rsidRPr="00C63860">
        <w:t xml:space="preserve">or hernia, ES was more cost-effective </w:t>
      </w:r>
      <w:r w:rsidR="0039538F" w:rsidRPr="00C63860">
        <w:t xml:space="preserve">on average </w:t>
      </w:r>
      <w:r w:rsidR="000511A2" w:rsidRPr="00C63860">
        <w:t xml:space="preserve">for </w:t>
      </w:r>
      <w:r w:rsidR="0039538F" w:rsidRPr="00C63860">
        <w:t xml:space="preserve">those </w:t>
      </w:r>
      <w:r w:rsidR="000511A2" w:rsidRPr="00C63860">
        <w:t xml:space="preserve">patients </w:t>
      </w:r>
      <w:r w:rsidRPr="00C63860">
        <w:t>without comorbidities. For patients with acute diverticular disease and intestinal obstruction ES was more effective and cost-effective for patients with two or more comorbidities.</w:t>
      </w:r>
    </w:p>
    <w:p w14:paraId="5D2BDE06" w14:textId="4889C0D7" w:rsidR="00470AE4" w:rsidRPr="00C63860" w:rsidRDefault="00470AE4" w:rsidP="00BC4F71">
      <w:pPr>
        <w:numPr>
          <w:ilvl w:val="0"/>
          <w:numId w:val="39"/>
        </w:numPr>
        <w:spacing w:before="240" w:after="240" w:line="276" w:lineRule="auto"/>
        <w:ind w:left="714" w:hanging="357"/>
        <w:contextualSpacing/>
        <w:rPr>
          <w:b/>
          <w:bCs/>
        </w:rPr>
      </w:pPr>
      <w:r w:rsidRPr="00C63860">
        <w:t xml:space="preserve">For patients </w:t>
      </w:r>
      <w:r w:rsidRPr="00C63860">
        <w:rPr>
          <w:rFonts w:cstheme="minorHAnsi"/>
        </w:rPr>
        <w:t>with severe frailty at emergency admission, NES strategies led to better outcomes at 90 days and one-year and w</w:t>
      </w:r>
      <w:r w:rsidR="003078DA" w:rsidRPr="00C63860">
        <w:rPr>
          <w:rFonts w:cstheme="minorHAnsi"/>
        </w:rPr>
        <w:t>ere</w:t>
      </w:r>
      <w:r w:rsidRPr="00C63860">
        <w:rPr>
          <w:rFonts w:cstheme="minorHAnsi"/>
        </w:rPr>
        <w:t xml:space="preserve"> relatively cost-effective for all five conditions. </w:t>
      </w:r>
      <w:r w:rsidRPr="00C63860">
        <w:t xml:space="preserve">ES strategies were </w:t>
      </w:r>
      <w:r w:rsidR="003078DA" w:rsidRPr="00C63860">
        <w:t xml:space="preserve">generally </w:t>
      </w:r>
      <w:r w:rsidRPr="00C63860">
        <w:t xml:space="preserve">more cost-effective </w:t>
      </w:r>
      <w:r w:rsidR="00286851" w:rsidRPr="00C63860">
        <w:t xml:space="preserve">on average </w:t>
      </w:r>
      <w:r w:rsidRPr="00C63860">
        <w:t xml:space="preserve">for patients who were </w:t>
      </w:r>
      <w:r w:rsidR="00C63860" w:rsidRPr="00C63860">
        <w:rPr>
          <w:color w:val="00B0F0"/>
        </w:rPr>
        <w:t>‘</w:t>
      </w:r>
      <w:r w:rsidR="006F6056" w:rsidRPr="00C63860">
        <w:t>fit</w:t>
      </w:r>
      <w:r w:rsidR="00C63860" w:rsidRPr="00C63860">
        <w:rPr>
          <w:color w:val="00B0F0"/>
        </w:rPr>
        <w:t>’</w:t>
      </w:r>
      <w:r w:rsidRPr="00C63860">
        <w:t xml:space="preserve"> at presentation.</w:t>
      </w:r>
    </w:p>
    <w:p w14:paraId="2C30743A" w14:textId="77777777" w:rsidR="00C63860" w:rsidRPr="00C63860" w:rsidRDefault="00470AE4" w:rsidP="00BC4F71">
      <w:pPr>
        <w:numPr>
          <w:ilvl w:val="0"/>
          <w:numId w:val="39"/>
        </w:numPr>
        <w:spacing w:before="240" w:after="240" w:line="276" w:lineRule="auto"/>
        <w:ind w:left="714" w:hanging="357"/>
        <w:contextualSpacing/>
      </w:pPr>
      <w:r w:rsidRPr="00C63860">
        <w:t>The ESORT results emphasise the importance to clinical, health service decision-makers and patients of considering NES as well as ES strategies for patients presenting common acute conditions. Overall, neither ES nor NES strategies are more cost-effective. For some patient subgroups NES is more cost-effective, such as those with severe frailty, some acute conditions with two or more comorbidities, and some older age groups. For other patient subgroups, ES was estimated to improve outcomes and be cost-effective, including those who were fit at presentation.</w:t>
      </w:r>
    </w:p>
    <w:p w14:paraId="28114667" w14:textId="0AD51918" w:rsidR="00470AE4" w:rsidRPr="00C63860" w:rsidRDefault="00470AE4" w:rsidP="00BC4F71">
      <w:pPr>
        <w:numPr>
          <w:ilvl w:val="0"/>
          <w:numId w:val="39"/>
        </w:numPr>
        <w:spacing w:before="240" w:after="240" w:line="276" w:lineRule="auto"/>
        <w:ind w:left="714" w:hanging="357"/>
        <w:contextualSpacing/>
        <w:rPr>
          <w:b/>
          <w:bCs/>
        </w:rPr>
      </w:pPr>
      <w:r w:rsidRPr="00C63860">
        <w:t xml:space="preserve">The evidence from the ESORT study on the relative effectiveness and cost-effectiveness of ES versus NES strategies can </w:t>
      </w:r>
      <w:r w:rsidRPr="00C63860">
        <w:rPr>
          <w:highlight w:val="magenta"/>
        </w:rPr>
        <w:t>complement</w:t>
      </w:r>
      <w:r w:rsidRPr="00C63860">
        <w:t xml:space="preserve"> that from ongoing cohort studies, and inform future updates to NICE guidelines for emergency and acute care, including those for cholelithiasis and diverticular disease.</w:t>
      </w:r>
      <w:r w:rsidRPr="00C63860">
        <w:rPr>
          <w:noProof/>
          <w:vertAlign w:val="superscript"/>
        </w:rPr>
        <w:t>38, 48</w:t>
      </w:r>
    </w:p>
    <w:p w14:paraId="17E44254" w14:textId="77777777" w:rsidR="000511A2" w:rsidRPr="00C63860" w:rsidRDefault="00470AE4" w:rsidP="000511A2">
      <w:pPr>
        <w:numPr>
          <w:ilvl w:val="0"/>
          <w:numId w:val="39"/>
        </w:numPr>
        <w:spacing w:before="240" w:after="240" w:line="276" w:lineRule="auto"/>
        <w:ind w:left="714" w:hanging="357"/>
        <w:contextualSpacing/>
        <w:rPr>
          <w:b/>
          <w:bCs/>
        </w:rPr>
      </w:pPr>
      <w:r w:rsidRPr="00C63860">
        <w:t>The ESORT study supports ongoing RCS initiatives to encourage frailty assessment at presentation as part of comprehensive geriatric assessments which can help in deciding the best care pathway for patients with acute conditions presenting as emergency admissions.</w:t>
      </w:r>
    </w:p>
    <w:p w14:paraId="5E156F4A" w14:textId="77777777" w:rsidR="00C63860" w:rsidRPr="00C63860" w:rsidRDefault="00470AE4" w:rsidP="000511A2">
      <w:pPr>
        <w:numPr>
          <w:ilvl w:val="0"/>
          <w:numId w:val="39"/>
        </w:numPr>
        <w:spacing w:before="240" w:after="240" w:line="276" w:lineRule="auto"/>
        <w:ind w:left="714" w:hanging="357"/>
        <w:contextualSpacing/>
        <w:rPr>
          <w:b/>
          <w:bCs/>
        </w:rPr>
      </w:pPr>
      <w:r w:rsidRPr="00C63860">
        <w:t>The ESORT study also provides additional information, alongside that from previous and ongoing research, to inform patients and carers about the potential benefits and risks of NES as well as ES strategies, and that these may differ according to factors beyond chronological age, including frailty level and number of comorbidities.</w:t>
      </w:r>
    </w:p>
    <w:p w14:paraId="27BDD75D" w14:textId="375F4CE3" w:rsidR="00C63860" w:rsidRPr="00C63860" w:rsidRDefault="00470AE4" w:rsidP="00BC4F71">
      <w:pPr>
        <w:spacing w:before="240" w:after="240" w:line="276" w:lineRule="auto"/>
        <w:rPr>
          <w:b/>
          <w:bCs/>
          <w:sz w:val="28"/>
          <w:szCs w:val="28"/>
        </w:rPr>
      </w:pPr>
      <w:r w:rsidRPr="00C63860">
        <w:rPr>
          <w:b/>
          <w:bCs/>
          <w:sz w:val="28"/>
          <w:szCs w:val="28"/>
        </w:rPr>
        <w:t>5.8 Implications for further research</w:t>
      </w:r>
    </w:p>
    <w:p w14:paraId="3BA7C77C" w14:textId="192E83D4" w:rsidR="00470AE4" w:rsidRPr="00C63860" w:rsidRDefault="00470AE4" w:rsidP="00BC4F71">
      <w:pPr>
        <w:numPr>
          <w:ilvl w:val="0"/>
          <w:numId w:val="39"/>
        </w:numPr>
        <w:spacing w:before="240" w:after="240" w:line="276" w:lineRule="auto"/>
        <w:ind w:left="714" w:hanging="357"/>
        <w:contextualSpacing/>
      </w:pPr>
      <w:r w:rsidRPr="00C63860">
        <w:t xml:space="preserve">The ESORT study highlights the importance of the appropriate choice of ES versus NES strategy for patients with comorbidities, which includes patients with multiple long-term conditions. For these patients, it is especially challenging to assess the balance of benefits, risks and costs between prompt intervention with ES, and </w:t>
      </w:r>
      <w:r w:rsidR="00C63860" w:rsidRPr="00C63860">
        <w:rPr>
          <w:color w:val="00B0F0"/>
        </w:rPr>
        <w:t>‘</w:t>
      </w:r>
      <w:r w:rsidR="006F6056" w:rsidRPr="00C63860">
        <w:t>optimisation</w:t>
      </w:r>
      <w:r w:rsidR="00C63860" w:rsidRPr="00C63860">
        <w:rPr>
          <w:color w:val="00B0F0"/>
        </w:rPr>
        <w:t>’</w:t>
      </w:r>
      <w:r w:rsidRPr="00C63860">
        <w:t xml:space="preserve"> which could include reversing aspects of frailty as part of NES strategies including later surgery.</w:t>
      </w:r>
      <w:r w:rsidRPr="00C63860">
        <w:rPr>
          <w:vertAlign w:val="superscript"/>
        </w:rPr>
        <w:t>121</w:t>
      </w:r>
      <w:r w:rsidRPr="00C63860">
        <w:t xml:space="preserve"> While HES </w:t>
      </w:r>
      <w:r w:rsidRPr="00C63860">
        <w:rPr>
          <w:highlight w:val="magenta"/>
        </w:rPr>
        <w:t>data</w:t>
      </w:r>
      <w:r w:rsidRPr="00C63860">
        <w:t xml:space="preserve"> have been used previously to identify multimorbidity </w:t>
      </w:r>
      <w:r w:rsidR="00C63860" w:rsidRPr="00C63860">
        <w:rPr>
          <w:color w:val="00B0F0"/>
        </w:rPr>
        <w:t>‘</w:t>
      </w:r>
      <w:r w:rsidR="006F6056" w:rsidRPr="00C63860">
        <w:t>clusters</w:t>
      </w:r>
      <w:r w:rsidR="00C63860" w:rsidRPr="00C63860">
        <w:rPr>
          <w:color w:val="00B0F0"/>
        </w:rPr>
        <w:t>’</w:t>
      </w:r>
      <w:r w:rsidRPr="00C63860">
        <w:t xml:space="preserve"> in all elective and emergency hospital admissions,</w:t>
      </w:r>
      <w:r w:rsidRPr="00C63860">
        <w:rPr>
          <w:vertAlign w:val="superscript"/>
        </w:rPr>
        <w:t>122</w:t>
      </w:r>
      <w:r w:rsidRPr="00C63860">
        <w:t xml:space="preserve"> clusters have not been identified for emergency admissions for acute conditions. This is an important gap in evidence, as patients with long-term conditions that tend to be </w:t>
      </w:r>
      <w:r w:rsidR="006F6056" w:rsidRPr="00C63860">
        <w:rPr>
          <w:color w:val="00B0F0"/>
          <w:highlight w:val="green"/>
        </w:rPr>
        <w:t>‘</w:t>
      </w:r>
      <w:r w:rsidR="006F6056" w:rsidRPr="00C63860">
        <w:rPr>
          <w:highlight w:val="green"/>
        </w:rPr>
        <w:t>quicker to optimise</w:t>
      </w:r>
      <w:r w:rsidR="006F6056" w:rsidRPr="00C63860">
        <w:rPr>
          <w:color w:val="00B0F0"/>
          <w:highlight w:val="green"/>
        </w:rPr>
        <w:t>’</w:t>
      </w:r>
      <w:r w:rsidRPr="00C63860">
        <w:t xml:space="preserve"> (e.g. atrial fibrillation) may benefit more from ES than </w:t>
      </w:r>
      <w:r w:rsidR="007B1127" w:rsidRPr="00C63860">
        <w:t xml:space="preserve">NES </w:t>
      </w:r>
      <w:r w:rsidRPr="00C63860">
        <w:t xml:space="preserve">strategies. By contrast, patients with underlying conditions that are </w:t>
      </w:r>
      <w:r w:rsidR="006F6056" w:rsidRPr="00C63860">
        <w:rPr>
          <w:color w:val="00B0F0"/>
          <w:highlight w:val="green"/>
        </w:rPr>
        <w:t>‘</w:t>
      </w:r>
      <w:r w:rsidR="006F6056" w:rsidRPr="00C63860">
        <w:rPr>
          <w:highlight w:val="green"/>
        </w:rPr>
        <w:t>slower to optimise</w:t>
      </w:r>
      <w:r w:rsidR="006F6056" w:rsidRPr="00C63860">
        <w:rPr>
          <w:color w:val="00B0F0"/>
          <w:highlight w:val="green"/>
        </w:rPr>
        <w:t>’</w:t>
      </w:r>
      <w:r w:rsidRPr="00C63860">
        <w:t xml:space="preserve"> (e.g. kidney disease), or </w:t>
      </w:r>
      <w:r w:rsidR="006F6056" w:rsidRPr="00C63860">
        <w:rPr>
          <w:color w:val="00B0F0"/>
          <w:highlight w:val="green"/>
        </w:rPr>
        <w:t>‘</w:t>
      </w:r>
      <w:r w:rsidR="006F6056" w:rsidRPr="00C63860">
        <w:rPr>
          <w:highlight w:val="green"/>
        </w:rPr>
        <w:t>unlikely to optimise</w:t>
      </w:r>
      <w:r w:rsidR="006F6056" w:rsidRPr="00C63860">
        <w:rPr>
          <w:color w:val="00B0F0"/>
          <w:highlight w:val="green"/>
        </w:rPr>
        <w:t>’</w:t>
      </w:r>
      <w:r w:rsidRPr="00C63860">
        <w:t>, (e.g. late stage dementia) may benefit more from planned surgery or medical management, as this can allow the patient</w:t>
      </w:r>
      <w:r w:rsidR="00C63860" w:rsidRPr="00C63860">
        <w:rPr>
          <w:color w:val="00B0F0"/>
        </w:rPr>
        <w:t>’</w:t>
      </w:r>
      <w:r w:rsidRPr="00C63860">
        <w:t>s underlying condition to be stabilised</w:t>
      </w:r>
      <w:r w:rsidRPr="00C63860">
        <w:rPr>
          <w:highlight w:val="magenta"/>
        </w:rPr>
        <w:t>. Further</w:t>
      </w:r>
      <w:r w:rsidRPr="00C63860">
        <w:t xml:space="preserve"> research to identify clusters of patients with acute conditions who present for ES or NES could therefore be useful to inform how best to </w:t>
      </w:r>
      <w:r w:rsidR="00C63860" w:rsidRPr="00C63860">
        <w:rPr>
          <w:color w:val="00B0F0"/>
        </w:rPr>
        <w:t>‘</w:t>
      </w:r>
      <w:r w:rsidR="006F6056" w:rsidRPr="00C63860">
        <w:t>personalise</w:t>
      </w:r>
      <w:r w:rsidR="00C63860" w:rsidRPr="00C63860">
        <w:rPr>
          <w:color w:val="00B0F0"/>
        </w:rPr>
        <w:t>’</w:t>
      </w:r>
      <w:r w:rsidRPr="00C63860">
        <w:t xml:space="preserve"> the choice of strategy. This proposed research aligns with NIHR strategy which emphasises that research on multiple long-term conditions (multimorbidity) is of high priority.</w:t>
      </w:r>
      <w:r w:rsidRPr="00C63860">
        <w:rPr>
          <w:vertAlign w:val="superscript"/>
        </w:rPr>
        <w:t>123</w:t>
      </w:r>
    </w:p>
    <w:p w14:paraId="2DC4763F" w14:textId="77777777" w:rsidR="00C63860" w:rsidRPr="00C63860" w:rsidRDefault="00470AE4" w:rsidP="00BC4F71">
      <w:pPr>
        <w:numPr>
          <w:ilvl w:val="0"/>
          <w:numId w:val="39"/>
        </w:numPr>
        <w:spacing w:before="240" w:after="240" w:line="276" w:lineRule="auto"/>
        <w:ind w:left="714" w:hanging="357"/>
        <w:contextualSpacing/>
        <w:rPr>
          <w:vertAlign w:val="superscript"/>
        </w:rPr>
      </w:pPr>
      <w:r w:rsidRPr="00C63860">
        <w:t xml:space="preserve">These findings suggest that RCTs for ES versus NES strategies for patients with acute gastrointestinal conditions now warrants consideration. In particular, </w:t>
      </w:r>
      <w:bookmarkStart w:id="101" w:name="_Hlk81822485"/>
      <w:r w:rsidRPr="00C63860">
        <w:t>for patients with abdominal wall hernia, the ESORT study found similar rates of ES vs NES strategies, and that ES led to a small increase in average QALYs at a small additional cost. There is no previous RCT evidence for patients presenting with acute hernia in the emergency setting, and care pathways are not clearly defined. The ESORT study findings may therefore help motivate a future RCT contrasting ES with NES strategies for patients with abdominal wall hernia. This RCT could investigate the relative outcomes, costs and cost-effectiveness of ES versus NES strategies, with eligibility criteria informed by the subgroup results of the ESORT study.</w:t>
      </w:r>
      <w:r w:rsidR="00C63860" w:rsidRPr="00C63860">
        <w:t xml:space="preserve"> </w:t>
      </w:r>
      <w:r w:rsidRPr="00C63860">
        <w:t>The RCT could also draw on related research, which examines complications for patients following acute symptomatic hernia.</w:t>
      </w:r>
      <w:bookmarkEnd w:id="101"/>
      <w:r w:rsidRPr="00C63860">
        <w:rPr>
          <w:vertAlign w:val="superscript"/>
        </w:rPr>
        <w:t>42</w:t>
      </w:r>
    </w:p>
    <w:p w14:paraId="4115CD5C" w14:textId="77777777" w:rsidR="00C63860" w:rsidRPr="00C63860" w:rsidRDefault="00470AE4" w:rsidP="006E540D">
      <w:pPr>
        <w:numPr>
          <w:ilvl w:val="0"/>
          <w:numId w:val="39"/>
        </w:numPr>
        <w:spacing w:before="240" w:after="240" w:line="276" w:lineRule="auto"/>
        <w:ind w:left="714" w:hanging="357"/>
        <w:contextualSpacing/>
      </w:pPr>
      <w:r w:rsidRPr="00C63860">
        <w:t>Further research is required on patient reported outcomes following ES versus NES strategies. For conditions such as acute diverticulitis, previous studies have only measured HRQoL for small samples of patients,</w:t>
      </w:r>
      <w:r w:rsidRPr="00C63860">
        <w:rPr>
          <w:vertAlign w:val="superscript"/>
        </w:rPr>
        <w:t>15</w:t>
      </w:r>
      <w:r w:rsidRPr="00C63860">
        <w:t xml:space="preserve"> and this has not been used in comparing ES versus NES strategies.</w:t>
      </w:r>
    </w:p>
    <w:p w14:paraId="0D9EFB84" w14:textId="11DD8B4F" w:rsidR="00C63860" w:rsidRPr="00C63860" w:rsidRDefault="00470AE4" w:rsidP="00BC4F71">
      <w:pPr>
        <w:numPr>
          <w:ilvl w:val="0"/>
          <w:numId w:val="39"/>
        </w:numPr>
        <w:spacing w:before="240" w:after="240" w:line="276" w:lineRule="auto"/>
        <w:ind w:left="714" w:hanging="357"/>
        <w:contextualSpacing/>
      </w:pPr>
      <w:r w:rsidRPr="00C63860">
        <w:t>Following the COVI</w:t>
      </w:r>
      <w:r w:rsidR="00C63860" w:rsidRPr="00C63860">
        <w:rPr>
          <w:color w:val="00B0F0"/>
        </w:rPr>
        <w:t>D-1</w:t>
      </w:r>
      <w:r w:rsidRPr="00C63860">
        <w:t xml:space="preserve">9 pandemic, in England NHS waiting lists </w:t>
      </w:r>
      <w:r w:rsidR="00F55E9B" w:rsidRPr="00C63860">
        <w:t xml:space="preserve">in England </w:t>
      </w:r>
      <w:r w:rsidRPr="00C63860">
        <w:t>are projected to reach 13 million by 2025,</w:t>
      </w:r>
      <w:r w:rsidRPr="00C63860">
        <w:rPr>
          <w:vertAlign w:val="superscript"/>
        </w:rPr>
        <w:t xml:space="preserve">4 </w:t>
      </w:r>
      <w:r w:rsidRPr="00C63860">
        <w:t>with implications for hospitals</w:t>
      </w:r>
      <w:r w:rsidR="00C63860" w:rsidRPr="00C63860">
        <w:rPr>
          <w:color w:val="00B0F0"/>
        </w:rPr>
        <w:t>’</w:t>
      </w:r>
      <w:r w:rsidRPr="00C63860">
        <w:t xml:space="preserve"> capacity for elective and </w:t>
      </w:r>
      <w:r w:rsidR="000A04B9" w:rsidRPr="00C63860">
        <w:t>ES</w:t>
      </w:r>
      <w:r w:rsidRPr="00C63860">
        <w:t xml:space="preserve">. The ESORT approach of combining large-scale routine </w:t>
      </w:r>
      <w:r w:rsidRPr="00C63860">
        <w:rPr>
          <w:highlight w:val="magenta"/>
        </w:rPr>
        <w:t>data</w:t>
      </w:r>
      <w:r w:rsidR="00F55E9B" w:rsidRPr="00C63860">
        <w:t xml:space="preserve"> </w:t>
      </w:r>
      <w:r w:rsidRPr="00C63860">
        <w:t>with advanced analytical approaches to address confounding and heterogeneity could be extended to other acute conditions. This research design can provide timely evidence to help ensure the most cost-effective strategy (ES or NES) is provided according to the patients</w:t>
      </w:r>
      <w:r w:rsidR="00C63860" w:rsidRPr="00C63860">
        <w:rPr>
          <w:color w:val="00B0F0"/>
        </w:rPr>
        <w:t>’</w:t>
      </w:r>
      <w:r w:rsidRPr="00C63860">
        <w:t xml:space="preserve"> prognosis, and help reduce pressure on scarce resources from unnecessary ES, or subsequent hospital readmissions.</w:t>
      </w:r>
    </w:p>
    <w:p w14:paraId="245E5515" w14:textId="70DDF222" w:rsidR="00470AE4" w:rsidRPr="00C63860" w:rsidRDefault="00470AE4" w:rsidP="000511A2">
      <w:pPr>
        <w:spacing w:before="240" w:after="240" w:line="276" w:lineRule="auto"/>
        <w:rPr>
          <w:rFonts w:asciiTheme="minorHAnsi" w:hAnsiTheme="minorHAnsi" w:cstheme="minorHAnsi"/>
          <w:b/>
          <w:bCs/>
          <w:sz w:val="36"/>
          <w:szCs w:val="36"/>
        </w:rPr>
      </w:pPr>
      <w:r w:rsidRPr="00C63860">
        <w:rPr>
          <w:rFonts w:asciiTheme="minorHAnsi" w:hAnsiTheme="minorHAnsi" w:cstheme="minorHAnsi"/>
          <w:b/>
          <w:bCs/>
          <w:sz w:val="36"/>
          <w:szCs w:val="36"/>
        </w:rPr>
        <w:t>Acknowledgements</w:t>
      </w:r>
    </w:p>
    <w:p w14:paraId="68D4843A" w14:textId="789BEC5F" w:rsidR="00470AE4" w:rsidRPr="00C63860" w:rsidRDefault="00470AE4" w:rsidP="00455F64">
      <w:pPr>
        <w:spacing w:before="240" w:after="240" w:line="276" w:lineRule="auto"/>
        <w:rPr>
          <w:rFonts w:cstheme="minorHAnsi"/>
          <w:sz w:val="24"/>
          <w:szCs w:val="24"/>
        </w:rPr>
      </w:pPr>
      <w:r w:rsidRPr="00C63860">
        <w:rPr>
          <w:rFonts w:cstheme="minorHAnsi"/>
          <w:sz w:val="24"/>
          <w:szCs w:val="24"/>
        </w:rPr>
        <w:t xml:space="preserve">The authors would like to thank our </w:t>
      </w:r>
      <w:r w:rsidRPr="00C63860">
        <w:rPr>
          <w:rFonts w:cstheme="minorHAnsi"/>
          <w:b/>
          <w:bCs/>
          <w:sz w:val="24"/>
          <w:szCs w:val="24"/>
        </w:rPr>
        <w:t>funder, NIHR</w:t>
      </w:r>
      <w:r w:rsidRPr="00C63860">
        <w:rPr>
          <w:rFonts w:cstheme="minorHAnsi"/>
          <w:sz w:val="24"/>
          <w:szCs w:val="24"/>
        </w:rPr>
        <w:t xml:space="preserve">, for their support of this study (reference </w:t>
      </w:r>
      <w:r w:rsidRPr="00C63860">
        <w:rPr>
          <w:color w:val="0563C1" w:themeColor="hyperlink"/>
          <w:u w:val="single"/>
        </w:rPr>
        <w:t>NIHR128490</w:t>
      </w:r>
      <w:r w:rsidRPr="00C63860">
        <w:t>.</w:t>
      </w:r>
    </w:p>
    <w:p w14:paraId="588037C4" w14:textId="77777777" w:rsidR="00470AE4" w:rsidRPr="00C63860" w:rsidRDefault="00470AE4" w:rsidP="00455F64">
      <w:pPr>
        <w:spacing w:before="240" w:after="240" w:line="276" w:lineRule="auto"/>
      </w:pPr>
      <w:r w:rsidRPr="00C63860">
        <w:t>We also wish to thank:</w:t>
      </w:r>
    </w:p>
    <w:p w14:paraId="49E84CD8" w14:textId="74346783" w:rsidR="00470AE4" w:rsidRPr="00C63860" w:rsidRDefault="00470AE4" w:rsidP="00455F64">
      <w:pPr>
        <w:numPr>
          <w:ilvl w:val="0"/>
          <w:numId w:val="6"/>
        </w:numPr>
        <w:spacing w:before="240" w:after="240" w:line="276" w:lineRule="auto"/>
        <w:contextualSpacing/>
      </w:pPr>
      <w:r w:rsidRPr="00C63860">
        <w:t xml:space="preserve">the </w:t>
      </w:r>
      <w:r w:rsidRPr="00C63860">
        <w:rPr>
          <w:b/>
          <w:bCs/>
        </w:rPr>
        <w:t>clinicians</w:t>
      </w:r>
      <w:r w:rsidRPr="00C63860">
        <w:t xml:space="preserve"> who made time, during the early months of the COVI</w:t>
      </w:r>
      <w:r w:rsidR="00C63860" w:rsidRPr="00C63860">
        <w:rPr>
          <w:color w:val="00B0F0"/>
        </w:rPr>
        <w:t>D-1</w:t>
      </w:r>
      <w:r w:rsidRPr="00C63860">
        <w:t>9 pandemic, to attend the Clinical Panels. They are: Matthew Bedford, Natalie Blencowe, Andrew de Beaux, Martyn Evans, Deepak Hariharan, Deena Harji, Matt Lee, Sonia Lockwood, Frank McDermott, Susan Moug, Dale Vimalachandran and Ravinder Vohra</w:t>
      </w:r>
      <w:r w:rsidRPr="00C63860">
        <w:rPr>
          <w:highlight w:val="magenta"/>
        </w:rPr>
        <w:t>. Further</w:t>
      </w:r>
      <w:r w:rsidRPr="00C63860">
        <w:t xml:space="preserve"> details are available in the Clinical Panel report: </w:t>
      </w:r>
      <w:r w:rsidRPr="00C63860">
        <w:rPr>
          <w:color w:val="0563C1" w:themeColor="hyperlink"/>
          <w:u w:val="single"/>
        </w:rPr>
        <w:t>https://www.lshtm.ac.uk/media/39151</w:t>
      </w:r>
    </w:p>
    <w:p w14:paraId="6FD8D0DC" w14:textId="77777777" w:rsidR="00470AE4" w:rsidRPr="00C63860" w:rsidRDefault="00470AE4" w:rsidP="00455F64">
      <w:pPr>
        <w:numPr>
          <w:ilvl w:val="0"/>
          <w:numId w:val="6"/>
        </w:numPr>
        <w:spacing w:before="240" w:after="240" w:line="276" w:lineRule="auto"/>
        <w:contextualSpacing/>
        <w:rPr>
          <w:sz w:val="24"/>
          <w:szCs w:val="24"/>
        </w:rPr>
      </w:pPr>
      <w:r w:rsidRPr="00C63860">
        <w:rPr>
          <w:sz w:val="24"/>
          <w:szCs w:val="24"/>
        </w:rPr>
        <w:t xml:space="preserve">the </w:t>
      </w:r>
      <w:r w:rsidRPr="00C63860">
        <w:rPr>
          <w:b/>
          <w:bCs/>
          <w:sz w:val="24"/>
          <w:szCs w:val="24"/>
        </w:rPr>
        <w:t xml:space="preserve">PPI members </w:t>
      </w:r>
      <w:r w:rsidRPr="00C63860">
        <w:rPr>
          <w:sz w:val="24"/>
          <w:szCs w:val="24"/>
        </w:rPr>
        <w:t xml:space="preserve">who shared their experiences of ES in order to better plan this research and ensure it could be well communicated to the wider public, as well as the </w:t>
      </w:r>
      <w:r w:rsidRPr="00C63860">
        <w:rPr>
          <w:b/>
          <w:bCs/>
          <w:sz w:val="24"/>
          <w:szCs w:val="24"/>
        </w:rPr>
        <w:t>ARC RAP</w:t>
      </w:r>
    </w:p>
    <w:p w14:paraId="5D1B8AEE" w14:textId="0905BBDD" w:rsidR="00470AE4" w:rsidRPr="00C63860" w:rsidRDefault="00470AE4" w:rsidP="00455F64">
      <w:pPr>
        <w:numPr>
          <w:ilvl w:val="0"/>
          <w:numId w:val="6"/>
        </w:numPr>
        <w:spacing w:before="240" w:after="240" w:line="276" w:lineRule="auto"/>
        <w:contextualSpacing/>
      </w:pPr>
      <w:r w:rsidRPr="00C63860">
        <w:t xml:space="preserve">the </w:t>
      </w:r>
      <w:r w:rsidRPr="00C63860">
        <w:rPr>
          <w:b/>
          <w:bCs/>
        </w:rPr>
        <w:t>Advisory Group members</w:t>
      </w:r>
      <w:r w:rsidRPr="00C63860">
        <w:t xml:space="preserve">: Iain Anderson (Chair); Nick </w:t>
      </w:r>
      <w:r w:rsidRPr="00C63860">
        <w:rPr>
          <w:highlight w:val="magenta"/>
        </w:rPr>
        <w:t>Black</w:t>
      </w:r>
      <w:r w:rsidRPr="00C63860">
        <w:t>; Paul Charlton (PPI member) Nils Gutacker; Catherine Hewitt; Susan Moug; Ravi Vohra.</w:t>
      </w:r>
    </w:p>
    <w:p w14:paraId="03C05C31" w14:textId="77777777" w:rsidR="00C63860" w:rsidRPr="00C63860" w:rsidRDefault="00652C00" w:rsidP="00455F64">
      <w:pPr>
        <w:numPr>
          <w:ilvl w:val="0"/>
          <w:numId w:val="6"/>
        </w:numPr>
        <w:spacing w:before="240" w:after="240" w:line="276" w:lineRule="auto"/>
        <w:contextualSpacing/>
      </w:pPr>
      <w:r w:rsidRPr="00C63860">
        <w:t xml:space="preserve">Clementine Taft for editorial assistance in the production of the revised </w:t>
      </w:r>
      <w:r w:rsidR="00235B5B" w:rsidRPr="00C63860">
        <w:t>final report.</w:t>
      </w:r>
    </w:p>
    <w:p w14:paraId="04ADAFE5" w14:textId="775B4704" w:rsidR="00470AE4" w:rsidRPr="00C63860" w:rsidRDefault="00470AE4" w:rsidP="00455F64">
      <w:pPr>
        <w:spacing w:before="240" w:after="240" w:line="276" w:lineRule="auto"/>
        <w:rPr>
          <w:rFonts w:asciiTheme="minorHAnsi" w:hAnsiTheme="minorHAnsi" w:cstheme="minorHAnsi"/>
          <w:b/>
          <w:bCs/>
          <w:sz w:val="28"/>
          <w:szCs w:val="28"/>
        </w:rPr>
      </w:pPr>
      <w:r w:rsidRPr="00C63860">
        <w:rPr>
          <w:rFonts w:asciiTheme="minorHAnsi" w:hAnsiTheme="minorHAnsi" w:cstheme="minorHAnsi"/>
          <w:b/>
          <w:bCs/>
          <w:sz w:val="28"/>
          <w:szCs w:val="28"/>
        </w:rPr>
        <w:t>Contributions of authors</w:t>
      </w:r>
    </w:p>
    <w:p w14:paraId="6D9AEA55" w14:textId="05789882" w:rsidR="00470AE4" w:rsidRPr="00C63860" w:rsidRDefault="00470AE4" w:rsidP="00455F64">
      <w:pPr>
        <w:spacing w:before="240" w:after="240" w:line="276" w:lineRule="auto"/>
      </w:pPr>
      <w:r w:rsidRPr="00C63860">
        <w:rPr>
          <w:rFonts w:asciiTheme="minorHAnsi" w:hAnsiTheme="minorHAnsi" w:cstheme="minorHAnsi"/>
          <w:color w:val="000000" w:themeColor="text1"/>
        </w:rPr>
        <w:t xml:space="preserve">Richard Grieve (Professor, Health Economics) </w:t>
      </w:r>
      <w:r w:rsidRPr="00C63860">
        <w:t xml:space="preserve">designed the ESORT study; directed the acquisition and analysis of </w:t>
      </w:r>
      <w:r w:rsidRPr="00C63860">
        <w:rPr>
          <w:highlight w:val="magenta"/>
        </w:rPr>
        <w:t>data</w:t>
      </w:r>
      <w:r w:rsidRPr="00C63860">
        <w:t xml:space="preserve"> and interpretation of the results; and drafted the report manuscript.</w:t>
      </w:r>
    </w:p>
    <w:p w14:paraId="4162CDC6" w14:textId="77777777" w:rsidR="00C63860" w:rsidRPr="00C63860" w:rsidRDefault="00470AE4" w:rsidP="00455F64">
      <w:pPr>
        <w:spacing w:before="240" w:after="240" w:line="276" w:lineRule="auto"/>
        <w:rPr>
          <w:rFonts w:asciiTheme="minorHAnsi" w:hAnsiTheme="minorHAnsi" w:cstheme="minorHAnsi"/>
          <w:color w:val="000000" w:themeColor="text1"/>
        </w:rPr>
      </w:pPr>
      <w:r w:rsidRPr="00C63860">
        <w:rPr>
          <w:rFonts w:asciiTheme="minorHAnsi" w:hAnsiTheme="minorHAnsi" w:cstheme="minorHAnsi"/>
          <w:color w:val="000000" w:themeColor="text1"/>
        </w:rPr>
        <w:t xml:space="preserve">Andrew Hutchings (Assistant Professor, Health Services Research) </w:t>
      </w:r>
      <w:r w:rsidR="00334603" w:rsidRPr="00C63860">
        <w:rPr>
          <w:rFonts w:asciiTheme="minorHAnsi" w:hAnsiTheme="minorHAnsi" w:cstheme="minorHAnsi"/>
          <w:color w:val="000000" w:themeColor="text1"/>
        </w:rPr>
        <w:t xml:space="preserve">contributed to the study design; </w:t>
      </w:r>
      <w:r w:rsidR="00386BEA" w:rsidRPr="00C63860">
        <w:rPr>
          <w:rFonts w:asciiTheme="minorHAnsi" w:hAnsiTheme="minorHAnsi" w:cstheme="minorHAnsi"/>
          <w:color w:val="000000" w:themeColor="text1"/>
        </w:rPr>
        <w:t xml:space="preserve">undertook </w:t>
      </w:r>
      <w:r w:rsidRPr="00C63860">
        <w:rPr>
          <w:rFonts w:asciiTheme="minorHAnsi" w:hAnsiTheme="minorHAnsi" w:cstheme="minorHAnsi"/>
          <w:color w:val="000000" w:themeColor="text1"/>
        </w:rPr>
        <w:t>the analys</w:t>
      </w:r>
      <w:r w:rsidR="008029C2" w:rsidRPr="00C63860">
        <w:rPr>
          <w:rFonts w:asciiTheme="minorHAnsi" w:hAnsiTheme="minorHAnsi" w:cstheme="minorHAnsi"/>
          <w:color w:val="000000" w:themeColor="text1"/>
        </w:rPr>
        <w:t>i</w:t>
      </w:r>
      <w:r w:rsidRPr="00C63860">
        <w:rPr>
          <w:rFonts w:asciiTheme="minorHAnsi" w:hAnsiTheme="minorHAnsi" w:cstheme="minorHAnsi"/>
          <w:color w:val="000000" w:themeColor="text1"/>
        </w:rPr>
        <w:t xml:space="preserve">s and interpreted the results; </w:t>
      </w:r>
      <w:r w:rsidR="00824255" w:rsidRPr="00C63860">
        <w:rPr>
          <w:rFonts w:asciiTheme="minorHAnsi" w:hAnsiTheme="minorHAnsi" w:cstheme="minorHAnsi"/>
          <w:color w:val="000000" w:themeColor="text1"/>
        </w:rPr>
        <w:t xml:space="preserve">helped draft the </w:t>
      </w:r>
      <w:r w:rsidRPr="00C63860">
        <w:t>report manuscript.</w:t>
      </w:r>
    </w:p>
    <w:p w14:paraId="069102DC" w14:textId="77777777" w:rsidR="00C63860" w:rsidRPr="00C63860" w:rsidRDefault="00470AE4" w:rsidP="00455F64">
      <w:pPr>
        <w:spacing w:before="240" w:after="240" w:line="276" w:lineRule="auto"/>
        <w:rPr>
          <w:rFonts w:asciiTheme="minorHAnsi" w:hAnsiTheme="minorHAnsi" w:cstheme="minorHAnsi"/>
          <w:color w:val="000000" w:themeColor="text1"/>
        </w:rPr>
      </w:pPr>
      <w:r w:rsidRPr="00C63860">
        <w:rPr>
          <w:rFonts w:asciiTheme="minorHAnsi" w:hAnsiTheme="minorHAnsi" w:cstheme="minorHAnsi"/>
          <w:color w:val="000000" w:themeColor="text1"/>
        </w:rPr>
        <w:t>Silvia Moler</w:t>
      </w:r>
      <w:r w:rsidR="00A00C0D" w:rsidRPr="00C63860">
        <w:rPr>
          <w:rFonts w:asciiTheme="minorHAnsi" w:hAnsiTheme="minorHAnsi" w:cstheme="minorHAnsi"/>
          <w:color w:val="000000" w:themeColor="text1"/>
        </w:rPr>
        <w:t>-</w:t>
      </w:r>
      <w:r w:rsidRPr="00C63860">
        <w:rPr>
          <w:rFonts w:asciiTheme="minorHAnsi" w:hAnsiTheme="minorHAnsi" w:cstheme="minorHAnsi"/>
          <w:color w:val="000000" w:themeColor="text1"/>
        </w:rPr>
        <w:t xml:space="preserve">Zapata (PhD student, Health Services Research) </w:t>
      </w:r>
      <w:r w:rsidR="00386BEA" w:rsidRPr="00C63860">
        <w:rPr>
          <w:rFonts w:asciiTheme="minorHAnsi" w:hAnsiTheme="minorHAnsi" w:cstheme="minorHAnsi"/>
          <w:color w:val="000000" w:themeColor="text1"/>
        </w:rPr>
        <w:t xml:space="preserve">undertook </w:t>
      </w:r>
      <w:r w:rsidRPr="00C63860">
        <w:rPr>
          <w:rFonts w:asciiTheme="minorHAnsi" w:hAnsiTheme="minorHAnsi" w:cstheme="minorHAnsi"/>
          <w:color w:val="000000" w:themeColor="text1"/>
        </w:rPr>
        <w:t xml:space="preserve">the analysis and </w:t>
      </w:r>
      <w:r w:rsidR="003C606C" w:rsidRPr="00C63860">
        <w:rPr>
          <w:rFonts w:asciiTheme="minorHAnsi" w:hAnsiTheme="minorHAnsi" w:cstheme="minorHAnsi"/>
          <w:color w:val="000000" w:themeColor="text1"/>
        </w:rPr>
        <w:t>interpreted the results</w:t>
      </w:r>
      <w:r w:rsidRPr="00C63860">
        <w:rPr>
          <w:rFonts w:asciiTheme="minorHAnsi" w:hAnsiTheme="minorHAnsi" w:cstheme="minorHAnsi"/>
          <w:color w:val="000000" w:themeColor="text1"/>
        </w:rPr>
        <w:t>;</w:t>
      </w:r>
      <w:r w:rsidR="003C606C" w:rsidRPr="00C63860">
        <w:rPr>
          <w:rFonts w:asciiTheme="minorHAnsi" w:hAnsiTheme="minorHAnsi" w:cstheme="minorHAnsi"/>
          <w:color w:val="000000" w:themeColor="text1"/>
        </w:rPr>
        <w:t xml:space="preserve"> </w:t>
      </w:r>
      <w:r w:rsidR="00824255" w:rsidRPr="00C63860">
        <w:rPr>
          <w:rFonts w:asciiTheme="minorHAnsi" w:hAnsiTheme="minorHAnsi" w:cstheme="minorHAnsi"/>
          <w:color w:val="000000" w:themeColor="text1"/>
        </w:rPr>
        <w:t xml:space="preserve">helped draft the </w:t>
      </w:r>
      <w:r w:rsidR="00824255" w:rsidRPr="00C63860">
        <w:t>report manuscript.</w:t>
      </w:r>
    </w:p>
    <w:p w14:paraId="76D706CF" w14:textId="5B853D9D" w:rsidR="00C63860" w:rsidRPr="00C63860" w:rsidRDefault="00470AE4" w:rsidP="00455F64">
      <w:pPr>
        <w:spacing w:before="240" w:after="240" w:line="276" w:lineRule="auto"/>
        <w:rPr>
          <w:rFonts w:asciiTheme="minorHAnsi" w:hAnsiTheme="minorHAnsi" w:cstheme="minorHAnsi"/>
          <w:color w:val="000000" w:themeColor="text1"/>
        </w:rPr>
      </w:pPr>
      <w:r w:rsidRPr="00C63860">
        <w:rPr>
          <w:rFonts w:asciiTheme="minorHAnsi" w:hAnsiTheme="minorHAnsi" w:cstheme="minorHAnsi"/>
          <w:color w:val="000000" w:themeColor="text1"/>
        </w:rPr>
        <w:t>Stephen O</w:t>
      </w:r>
      <w:r w:rsidR="00C63860" w:rsidRPr="00C63860">
        <w:rPr>
          <w:rFonts w:asciiTheme="minorHAnsi" w:hAnsiTheme="minorHAnsi" w:cstheme="minorHAnsi"/>
          <w:color w:val="00B0F0"/>
        </w:rPr>
        <w:t>’</w:t>
      </w:r>
      <w:r w:rsidRPr="00C63860">
        <w:rPr>
          <w:rFonts w:asciiTheme="minorHAnsi" w:hAnsiTheme="minorHAnsi" w:cstheme="minorHAnsi"/>
          <w:color w:val="000000" w:themeColor="text1"/>
        </w:rPr>
        <w:t xml:space="preserve">Neill (Associate Professor, Health Economics) </w:t>
      </w:r>
      <w:r w:rsidR="002D50CD" w:rsidRPr="00C63860">
        <w:rPr>
          <w:rFonts w:asciiTheme="minorHAnsi" w:hAnsiTheme="minorHAnsi" w:cstheme="minorHAnsi"/>
          <w:color w:val="000000" w:themeColor="text1"/>
        </w:rPr>
        <w:t xml:space="preserve">contributed to the study design; undertook the analysis and interpreted the results; </w:t>
      </w:r>
      <w:r w:rsidR="00BA0B6F" w:rsidRPr="00C63860">
        <w:rPr>
          <w:rFonts w:asciiTheme="minorHAnsi" w:hAnsiTheme="minorHAnsi" w:cstheme="minorHAnsi"/>
          <w:color w:val="000000" w:themeColor="text1"/>
        </w:rPr>
        <w:t xml:space="preserve">helped draft the </w:t>
      </w:r>
      <w:r w:rsidR="00BA0B6F" w:rsidRPr="00C63860">
        <w:t>report manuscript.</w:t>
      </w:r>
    </w:p>
    <w:p w14:paraId="0A8FCE60" w14:textId="77777777" w:rsidR="00C63860" w:rsidRPr="00C63860" w:rsidRDefault="00470AE4" w:rsidP="00455F64">
      <w:pPr>
        <w:spacing w:before="240" w:after="240" w:line="276" w:lineRule="auto"/>
        <w:rPr>
          <w:rFonts w:asciiTheme="minorHAnsi" w:hAnsiTheme="minorHAnsi" w:cstheme="minorHAnsi"/>
          <w:color w:val="000000" w:themeColor="text1"/>
        </w:rPr>
      </w:pPr>
      <w:r w:rsidRPr="00C63860">
        <w:rPr>
          <w:rFonts w:asciiTheme="minorHAnsi" w:hAnsiTheme="minorHAnsi" w:cstheme="minorHAnsi"/>
          <w:color w:val="000000" w:themeColor="text1"/>
        </w:rPr>
        <w:t>David Lugo</w:t>
      </w:r>
      <w:r w:rsidR="00A00C0D" w:rsidRPr="00C63860">
        <w:rPr>
          <w:rFonts w:asciiTheme="minorHAnsi" w:hAnsiTheme="minorHAnsi" w:cstheme="minorHAnsi"/>
          <w:color w:val="000000" w:themeColor="text1"/>
        </w:rPr>
        <w:t>-</w:t>
      </w:r>
      <w:r w:rsidRPr="00C63860">
        <w:rPr>
          <w:rFonts w:asciiTheme="minorHAnsi" w:hAnsiTheme="minorHAnsi" w:cstheme="minorHAnsi"/>
          <w:color w:val="000000" w:themeColor="text1"/>
        </w:rPr>
        <w:t>Palacios (</w:t>
      </w:r>
      <w:r w:rsidR="000511A2" w:rsidRPr="00C63860">
        <w:rPr>
          <w:rFonts w:asciiTheme="minorHAnsi" w:hAnsiTheme="minorHAnsi" w:cstheme="minorHAnsi"/>
          <w:color w:val="000000" w:themeColor="text1"/>
        </w:rPr>
        <w:t>A</w:t>
      </w:r>
      <w:r w:rsidRPr="00C63860">
        <w:rPr>
          <w:rFonts w:asciiTheme="minorHAnsi" w:hAnsiTheme="minorHAnsi" w:cstheme="minorHAnsi"/>
          <w:color w:val="000000" w:themeColor="text1"/>
        </w:rPr>
        <w:t xml:space="preserve">ssistant </w:t>
      </w:r>
      <w:r w:rsidR="000511A2" w:rsidRPr="00C63860">
        <w:rPr>
          <w:rFonts w:asciiTheme="minorHAnsi" w:hAnsiTheme="minorHAnsi" w:cstheme="minorHAnsi"/>
          <w:color w:val="000000" w:themeColor="text1"/>
        </w:rPr>
        <w:t>P</w:t>
      </w:r>
      <w:r w:rsidRPr="00C63860">
        <w:rPr>
          <w:rFonts w:asciiTheme="minorHAnsi" w:hAnsiTheme="minorHAnsi" w:cstheme="minorHAnsi"/>
          <w:color w:val="000000" w:themeColor="text1"/>
        </w:rPr>
        <w:t xml:space="preserve">rofessor, </w:t>
      </w:r>
      <w:r w:rsidR="000511A2" w:rsidRPr="00C63860">
        <w:rPr>
          <w:rFonts w:asciiTheme="minorHAnsi" w:hAnsiTheme="minorHAnsi" w:cstheme="minorHAnsi"/>
          <w:color w:val="000000" w:themeColor="text1"/>
        </w:rPr>
        <w:t>H</w:t>
      </w:r>
      <w:r w:rsidRPr="00C63860">
        <w:rPr>
          <w:rFonts w:asciiTheme="minorHAnsi" w:hAnsiTheme="minorHAnsi" w:cstheme="minorHAnsi"/>
          <w:color w:val="000000" w:themeColor="text1"/>
        </w:rPr>
        <w:t xml:space="preserve">ealth </w:t>
      </w:r>
      <w:r w:rsidR="000511A2" w:rsidRPr="00C63860">
        <w:rPr>
          <w:rFonts w:asciiTheme="minorHAnsi" w:hAnsiTheme="minorHAnsi" w:cstheme="minorHAnsi"/>
          <w:color w:val="000000" w:themeColor="text1"/>
        </w:rPr>
        <w:t>Ec</w:t>
      </w:r>
      <w:r w:rsidRPr="00C63860">
        <w:rPr>
          <w:rFonts w:asciiTheme="minorHAnsi" w:hAnsiTheme="minorHAnsi" w:cstheme="minorHAnsi"/>
          <w:color w:val="000000" w:themeColor="text1"/>
        </w:rPr>
        <w:t xml:space="preserve">onomics) </w:t>
      </w:r>
      <w:r w:rsidR="008F6A13" w:rsidRPr="00C63860">
        <w:rPr>
          <w:rFonts w:asciiTheme="minorHAnsi" w:hAnsiTheme="minorHAnsi" w:cstheme="minorHAnsi"/>
          <w:color w:val="000000" w:themeColor="text1"/>
        </w:rPr>
        <w:t xml:space="preserve">contributed to the study design; undertook the analysis and interpreted the results; </w:t>
      </w:r>
      <w:r w:rsidR="00BA0B6F" w:rsidRPr="00C63860">
        <w:rPr>
          <w:rFonts w:asciiTheme="minorHAnsi" w:hAnsiTheme="minorHAnsi" w:cstheme="minorHAnsi"/>
          <w:color w:val="000000" w:themeColor="text1"/>
        </w:rPr>
        <w:t xml:space="preserve">helped draft the </w:t>
      </w:r>
      <w:r w:rsidR="00BA0B6F" w:rsidRPr="00C63860">
        <w:t>report manuscript.</w:t>
      </w:r>
    </w:p>
    <w:p w14:paraId="09161958" w14:textId="322D2FCE" w:rsidR="00470AE4" w:rsidRPr="00C63860" w:rsidRDefault="00470AE4" w:rsidP="00455F64">
      <w:pPr>
        <w:spacing w:before="240" w:after="240" w:line="276" w:lineRule="auto"/>
      </w:pPr>
      <w:r w:rsidRPr="00C63860">
        <w:rPr>
          <w:rFonts w:asciiTheme="minorHAnsi" w:hAnsiTheme="minorHAnsi" w:cstheme="minorHAnsi"/>
          <w:color w:val="000000" w:themeColor="text1"/>
        </w:rPr>
        <w:t>Richard Silverwood (</w:t>
      </w:r>
      <w:r w:rsidR="000511A2" w:rsidRPr="00C63860">
        <w:rPr>
          <w:rFonts w:asciiTheme="minorHAnsi" w:hAnsiTheme="minorHAnsi" w:cstheme="minorHAnsi"/>
          <w:color w:val="000000" w:themeColor="text1"/>
        </w:rPr>
        <w:t>A</w:t>
      </w:r>
      <w:r w:rsidRPr="00C63860">
        <w:rPr>
          <w:rFonts w:asciiTheme="minorHAnsi" w:hAnsiTheme="minorHAnsi" w:cstheme="minorHAnsi"/>
          <w:color w:val="000000" w:themeColor="text1"/>
        </w:rPr>
        <w:t xml:space="preserve">ssociate </w:t>
      </w:r>
      <w:r w:rsidR="000511A2" w:rsidRPr="00C63860">
        <w:rPr>
          <w:rFonts w:asciiTheme="minorHAnsi" w:hAnsiTheme="minorHAnsi" w:cstheme="minorHAnsi"/>
          <w:color w:val="000000" w:themeColor="text1"/>
        </w:rPr>
        <w:t>P</w:t>
      </w:r>
      <w:r w:rsidRPr="00C63860">
        <w:rPr>
          <w:rFonts w:asciiTheme="minorHAnsi" w:hAnsiTheme="minorHAnsi" w:cstheme="minorHAnsi"/>
          <w:color w:val="000000" w:themeColor="text1"/>
        </w:rPr>
        <w:t xml:space="preserve">rofessor, </w:t>
      </w:r>
      <w:r w:rsidR="000511A2" w:rsidRPr="00C63860">
        <w:rPr>
          <w:rFonts w:asciiTheme="minorHAnsi" w:hAnsiTheme="minorHAnsi" w:cstheme="minorHAnsi"/>
          <w:color w:val="000000" w:themeColor="text1"/>
        </w:rPr>
        <w:t>S</w:t>
      </w:r>
      <w:r w:rsidRPr="00C63860">
        <w:rPr>
          <w:rFonts w:asciiTheme="minorHAnsi" w:hAnsiTheme="minorHAnsi" w:cstheme="minorHAnsi"/>
          <w:color w:val="000000" w:themeColor="text1"/>
        </w:rPr>
        <w:t xml:space="preserve">tatistics) </w:t>
      </w:r>
      <w:r w:rsidR="00EC42A0" w:rsidRPr="00C63860">
        <w:rPr>
          <w:rFonts w:asciiTheme="minorHAnsi" w:hAnsiTheme="minorHAnsi" w:cstheme="minorHAnsi"/>
          <w:color w:val="000000" w:themeColor="text1"/>
        </w:rPr>
        <w:t>contributed to the study design</w:t>
      </w:r>
      <w:r w:rsidRPr="00C63860">
        <w:t xml:space="preserve">; </w:t>
      </w:r>
      <w:r w:rsidR="00592243" w:rsidRPr="00C63860">
        <w:t xml:space="preserve">interpreted </w:t>
      </w:r>
      <w:r w:rsidRPr="00C63860">
        <w:t xml:space="preserve">the results; </w:t>
      </w:r>
      <w:r w:rsidR="00D135A0" w:rsidRPr="00C63860">
        <w:rPr>
          <w:rFonts w:asciiTheme="minorHAnsi" w:hAnsiTheme="minorHAnsi" w:cstheme="minorHAnsi"/>
          <w:color w:val="000000" w:themeColor="text1"/>
        </w:rPr>
        <w:t xml:space="preserve">helped draft the </w:t>
      </w:r>
      <w:r w:rsidR="00D135A0" w:rsidRPr="00C63860">
        <w:t>report manuscript</w:t>
      </w:r>
      <w:r w:rsidRPr="00C63860">
        <w:t>.</w:t>
      </w:r>
    </w:p>
    <w:p w14:paraId="231414C6" w14:textId="77777777" w:rsidR="00C63860" w:rsidRPr="00C63860" w:rsidRDefault="00470AE4" w:rsidP="00455F64">
      <w:pPr>
        <w:spacing w:before="240" w:after="240" w:line="276" w:lineRule="auto"/>
        <w:rPr>
          <w:rFonts w:asciiTheme="minorHAnsi" w:hAnsiTheme="minorHAnsi" w:cstheme="minorHAnsi"/>
          <w:color w:val="000000" w:themeColor="text1"/>
        </w:rPr>
      </w:pPr>
      <w:r w:rsidRPr="00C63860">
        <w:rPr>
          <w:rFonts w:asciiTheme="minorHAnsi" w:hAnsiTheme="minorHAnsi" w:cstheme="minorHAnsi"/>
          <w:color w:val="000000" w:themeColor="text1"/>
        </w:rPr>
        <w:t>David Cromwell (</w:t>
      </w:r>
      <w:r w:rsidR="000511A2" w:rsidRPr="00C63860">
        <w:rPr>
          <w:rFonts w:asciiTheme="minorHAnsi" w:hAnsiTheme="minorHAnsi" w:cstheme="minorHAnsi"/>
          <w:color w:val="000000" w:themeColor="text1"/>
        </w:rPr>
        <w:t>P</w:t>
      </w:r>
      <w:r w:rsidRPr="00C63860">
        <w:rPr>
          <w:rFonts w:asciiTheme="minorHAnsi" w:hAnsiTheme="minorHAnsi" w:cstheme="minorHAnsi"/>
          <w:color w:val="000000" w:themeColor="text1"/>
        </w:rPr>
        <w:t xml:space="preserve">rofessor, </w:t>
      </w:r>
      <w:r w:rsidR="000511A2" w:rsidRPr="00C63860">
        <w:rPr>
          <w:rFonts w:asciiTheme="minorHAnsi" w:hAnsiTheme="minorHAnsi" w:cstheme="minorHAnsi"/>
          <w:color w:val="000000" w:themeColor="text1"/>
        </w:rPr>
        <w:t>H</w:t>
      </w:r>
      <w:r w:rsidRPr="00C63860">
        <w:rPr>
          <w:rFonts w:asciiTheme="minorHAnsi" w:hAnsiTheme="minorHAnsi" w:cstheme="minorHAnsi"/>
          <w:color w:val="000000" w:themeColor="text1"/>
        </w:rPr>
        <w:t xml:space="preserve">ealth </w:t>
      </w:r>
      <w:r w:rsidR="000511A2" w:rsidRPr="00C63860">
        <w:rPr>
          <w:rFonts w:asciiTheme="minorHAnsi" w:hAnsiTheme="minorHAnsi" w:cstheme="minorHAnsi"/>
          <w:color w:val="000000" w:themeColor="text1"/>
        </w:rPr>
        <w:t>S</w:t>
      </w:r>
      <w:r w:rsidRPr="00C63860">
        <w:rPr>
          <w:rFonts w:asciiTheme="minorHAnsi" w:hAnsiTheme="minorHAnsi" w:cstheme="minorHAnsi"/>
          <w:color w:val="000000" w:themeColor="text1"/>
        </w:rPr>
        <w:t xml:space="preserve">ervices </w:t>
      </w:r>
      <w:r w:rsidR="000511A2" w:rsidRPr="00C63860">
        <w:rPr>
          <w:rFonts w:asciiTheme="minorHAnsi" w:hAnsiTheme="minorHAnsi" w:cstheme="minorHAnsi"/>
          <w:color w:val="000000" w:themeColor="text1"/>
        </w:rPr>
        <w:t>R</w:t>
      </w:r>
      <w:r w:rsidRPr="00C63860">
        <w:rPr>
          <w:rFonts w:asciiTheme="minorHAnsi" w:hAnsiTheme="minorHAnsi" w:cstheme="minorHAnsi"/>
          <w:color w:val="000000" w:themeColor="text1"/>
        </w:rPr>
        <w:t xml:space="preserve">esearch) </w:t>
      </w:r>
      <w:r w:rsidR="00A34D53" w:rsidRPr="00C63860">
        <w:rPr>
          <w:rFonts w:asciiTheme="minorHAnsi" w:hAnsiTheme="minorHAnsi" w:cstheme="minorHAnsi"/>
          <w:color w:val="000000" w:themeColor="text1"/>
        </w:rPr>
        <w:t>contributed to the study design</w:t>
      </w:r>
      <w:r w:rsidR="00A34D53" w:rsidRPr="00C63860">
        <w:t xml:space="preserve">; interpreted the results; </w:t>
      </w:r>
      <w:r w:rsidR="00BA0B6F" w:rsidRPr="00C63860">
        <w:rPr>
          <w:rFonts w:asciiTheme="minorHAnsi" w:hAnsiTheme="minorHAnsi" w:cstheme="minorHAnsi"/>
          <w:color w:val="000000" w:themeColor="text1"/>
        </w:rPr>
        <w:t xml:space="preserve">helped draft the </w:t>
      </w:r>
      <w:r w:rsidR="00BA0B6F" w:rsidRPr="00C63860">
        <w:t>report manuscript.</w:t>
      </w:r>
    </w:p>
    <w:p w14:paraId="0D6A7B39" w14:textId="1A2E6958" w:rsidR="00C63860" w:rsidRPr="00C63860" w:rsidRDefault="00470AE4" w:rsidP="00455F64">
      <w:pPr>
        <w:spacing w:before="240" w:after="240" w:line="276" w:lineRule="auto"/>
        <w:rPr>
          <w:rFonts w:asciiTheme="minorHAnsi" w:hAnsiTheme="minorHAnsi" w:cstheme="minorHAnsi"/>
          <w:color w:val="000000" w:themeColor="text1"/>
        </w:rPr>
      </w:pPr>
      <w:r w:rsidRPr="00C63860">
        <w:rPr>
          <w:rFonts w:asciiTheme="minorHAnsi" w:hAnsiTheme="minorHAnsi" w:cstheme="minorHAnsi"/>
          <w:color w:val="000000" w:themeColor="text1"/>
        </w:rPr>
        <w:t>Tommaso Kircheis (</w:t>
      </w:r>
      <w:r w:rsidR="00F55E9B" w:rsidRPr="00C63860">
        <w:rPr>
          <w:rFonts w:asciiTheme="minorHAnsi" w:hAnsiTheme="minorHAnsi" w:cstheme="minorHAnsi"/>
          <w:color w:val="000000" w:themeColor="text1"/>
        </w:rPr>
        <w:t>master</w:t>
      </w:r>
      <w:r w:rsidR="00C63860" w:rsidRPr="00C63860">
        <w:rPr>
          <w:rFonts w:asciiTheme="minorHAnsi" w:hAnsiTheme="minorHAnsi" w:cstheme="minorHAnsi"/>
          <w:color w:val="00B0F0"/>
        </w:rPr>
        <w:t>’</w:t>
      </w:r>
      <w:r w:rsidR="00F55E9B" w:rsidRPr="00C63860">
        <w:rPr>
          <w:rFonts w:asciiTheme="minorHAnsi" w:hAnsiTheme="minorHAnsi" w:cstheme="minorHAnsi"/>
          <w:color w:val="000000" w:themeColor="text1"/>
        </w:rPr>
        <w:t>s</w:t>
      </w:r>
      <w:r w:rsidRPr="00C63860">
        <w:rPr>
          <w:rFonts w:asciiTheme="minorHAnsi" w:hAnsiTheme="minorHAnsi" w:cstheme="minorHAnsi"/>
          <w:color w:val="000000" w:themeColor="text1"/>
        </w:rPr>
        <w:t xml:space="preserve"> degree student, Public Health) </w:t>
      </w:r>
      <w:r w:rsidR="00687888" w:rsidRPr="00C63860">
        <w:rPr>
          <w:rFonts w:asciiTheme="minorHAnsi" w:hAnsiTheme="minorHAnsi" w:cstheme="minorHAnsi"/>
          <w:color w:val="000000" w:themeColor="text1"/>
        </w:rPr>
        <w:t xml:space="preserve">assisted in </w:t>
      </w:r>
      <w:r w:rsidR="00687888" w:rsidRPr="00C63860">
        <w:t>interpreting the results</w:t>
      </w:r>
      <w:r w:rsidR="00BA0B6F" w:rsidRPr="00C63860">
        <w:t xml:space="preserve">; </w:t>
      </w:r>
      <w:r w:rsidR="00BA0B6F" w:rsidRPr="00C63860">
        <w:rPr>
          <w:rFonts w:asciiTheme="minorHAnsi" w:hAnsiTheme="minorHAnsi" w:cstheme="minorHAnsi"/>
          <w:color w:val="000000" w:themeColor="text1"/>
        </w:rPr>
        <w:t xml:space="preserve">helped draft the </w:t>
      </w:r>
      <w:r w:rsidR="00BA0B6F" w:rsidRPr="00C63860">
        <w:t>report manuscript.</w:t>
      </w:r>
    </w:p>
    <w:p w14:paraId="052681B4" w14:textId="77777777" w:rsidR="00C63860" w:rsidRPr="00C63860" w:rsidRDefault="00470AE4" w:rsidP="00455F64">
      <w:pPr>
        <w:spacing w:before="240" w:after="240" w:line="276" w:lineRule="auto"/>
        <w:rPr>
          <w:rFonts w:asciiTheme="minorHAnsi" w:hAnsiTheme="minorHAnsi" w:cstheme="minorHAnsi"/>
          <w:color w:val="000000" w:themeColor="text1"/>
        </w:rPr>
      </w:pPr>
      <w:r w:rsidRPr="00C63860">
        <w:rPr>
          <w:rFonts w:asciiTheme="minorHAnsi" w:hAnsiTheme="minorHAnsi" w:cstheme="minorHAnsi"/>
          <w:color w:val="000000" w:themeColor="text1"/>
        </w:rPr>
        <w:t>Elizabeth Silver (Senior Research Manager) coordinated the ESORT study</w:t>
      </w:r>
      <w:r w:rsidR="008F1AA1" w:rsidRPr="00C63860">
        <w:rPr>
          <w:rFonts w:asciiTheme="minorHAnsi" w:hAnsiTheme="minorHAnsi" w:cstheme="minorHAnsi"/>
          <w:color w:val="000000" w:themeColor="text1"/>
        </w:rPr>
        <w:t>;</w:t>
      </w:r>
      <w:r w:rsidRPr="00C63860">
        <w:rPr>
          <w:rFonts w:asciiTheme="minorHAnsi" w:hAnsiTheme="minorHAnsi" w:cstheme="minorHAnsi"/>
          <w:color w:val="000000" w:themeColor="text1"/>
        </w:rPr>
        <w:t xml:space="preserve"> organised the PPI and Clinical Panels</w:t>
      </w:r>
      <w:r w:rsidR="008F1AA1" w:rsidRPr="00C63860">
        <w:rPr>
          <w:rFonts w:asciiTheme="minorHAnsi" w:hAnsiTheme="minorHAnsi" w:cstheme="minorHAnsi"/>
          <w:color w:val="000000" w:themeColor="text1"/>
        </w:rPr>
        <w:t>;</w:t>
      </w:r>
      <w:r w:rsidRPr="00C63860">
        <w:rPr>
          <w:rFonts w:asciiTheme="minorHAnsi" w:hAnsiTheme="minorHAnsi" w:cstheme="minorHAnsi"/>
          <w:color w:val="000000" w:themeColor="text1"/>
        </w:rPr>
        <w:t xml:space="preserve"> designed the study website</w:t>
      </w:r>
      <w:r w:rsidR="00BF4EAB" w:rsidRPr="00C63860">
        <w:rPr>
          <w:rFonts w:asciiTheme="minorHAnsi" w:hAnsiTheme="minorHAnsi" w:cstheme="minorHAnsi"/>
          <w:color w:val="000000" w:themeColor="text1"/>
        </w:rPr>
        <w:t xml:space="preserve">; </w:t>
      </w:r>
      <w:r w:rsidR="0033544C" w:rsidRPr="00C63860">
        <w:rPr>
          <w:rFonts w:asciiTheme="minorHAnsi" w:hAnsiTheme="minorHAnsi" w:cstheme="minorHAnsi"/>
          <w:color w:val="000000" w:themeColor="text1"/>
        </w:rPr>
        <w:t xml:space="preserve">assisted in </w:t>
      </w:r>
      <w:r w:rsidR="0033544C" w:rsidRPr="00C63860">
        <w:t>interpreting the results</w:t>
      </w:r>
      <w:r w:rsidR="004B3D8B" w:rsidRPr="00C63860">
        <w:t xml:space="preserve">; </w:t>
      </w:r>
      <w:r w:rsidR="004B3D8B" w:rsidRPr="00C63860">
        <w:rPr>
          <w:rFonts w:asciiTheme="minorHAnsi" w:hAnsiTheme="minorHAnsi" w:cstheme="minorHAnsi"/>
          <w:color w:val="000000" w:themeColor="text1"/>
        </w:rPr>
        <w:t xml:space="preserve">helped draft the </w:t>
      </w:r>
      <w:r w:rsidR="004B3D8B" w:rsidRPr="00C63860">
        <w:t>report manuscript.</w:t>
      </w:r>
    </w:p>
    <w:p w14:paraId="40FD3B23" w14:textId="4905F8CC" w:rsidR="0033544C" w:rsidRPr="00C63860" w:rsidRDefault="00470AE4" w:rsidP="00455F64">
      <w:pPr>
        <w:spacing w:before="240" w:after="240" w:line="276" w:lineRule="auto"/>
      </w:pPr>
      <w:r w:rsidRPr="00C63860">
        <w:rPr>
          <w:rFonts w:asciiTheme="minorHAnsi" w:hAnsiTheme="minorHAnsi" w:cstheme="minorHAnsi"/>
          <w:color w:val="000000" w:themeColor="text1"/>
        </w:rPr>
        <w:t>Claire Snowdon (</w:t>
      </w:r>
      <w:r w:rsidR="000511A2" w:rsidRPr="00C63860">
        <w:rPr>
          <w:rFonts w:asciiTheme="minorHAnsi" w:hAnsiTheme="minorHAnsi" w:cstheme="minorHAnsi"/>
          <w:color w:val="000000" w:themeColor="text1"/>
        </w:rPr>
        <w:t>A</w:t>
      </w:r>
      <w:r w:rsidRPr="00C63860">
        <w:rPr>
          <w:rFonts w:asciiTheme="minorHAnsi" w:hAnsiTheme="minorHAnsi" w:cstheme="minorHAnsi"/>
          <w:color w:val="000000" w:themeColor="text1"/>
        </w:rPr>
        <w:t xml:space="preserve">ssistant </w:t>
      </w:r>
      <w:r w:rsidR="000511A2" w:rsidRPr="00C63860">
        <w:rPr>
          <w:rFonts w:asciiTheme="minorHAnsi" w:hAnsiTheme="minorHAnsi" w:cstheme="minorHAnsi"/>
          <w:color w:val="000000" w:themeColor="text1"/>
        </w:rPr>
        <w:t>P</w:t>
      </w:r>
      <w:r w:rsidRPr="00C63860">
        <w:rPr>
          <w:rFonts w:asciiTheme="minorHAnsi" w:hAnsiTheme="minorHAnsi" w:cstheme="minorHAnsi"/>
          <w:color w:val="000000" w:themeColor="text1"/>
        </w:rPr>
        <w:t xml:space="preserve">rofessor, </w:t>
      </w:r>
      <w:r w:rsidR="000511A2" w:rsidRPr="00C63860">
        <w:rPr>
          <w:rFonts w:asciiTheme="minorHAnsi" w:hAnsiTheme="minorHAnsi" w:cstheme="minorHAnsi"/>
          <w:color w:val="000000" w:themeColor="text1"/>
        </w:rPr>
        <w:t>Qualitative Research</w:t>
      </w:r>
      <w:r w:rsidRPr="00C63860">
        <w:rPr>
          <w:rFonts w:asciiTheme="minorHAnsi" w:hAnsiTheme="minorHAnsi" w:cstheme="minorHAnsi"/>
          <w:color w:val="000000" w:themeColor="text1"/>
        </w:rPr>
        <w:t xml:space="preserve">) </w:t>
      </w:r>
      <w:r w:rsidR="00B8211D" w:rsidRPr="00C63860">
        <w:rPr>
          <w:rFonts w:asciiTheme="minorHAnsi" w:hAnsiTheme="minorHAnsi" w:cstheme="minorHAnsi"/>
          <w:color w:val="000000" w:themeColor="text1"/>
        </w:rPr>
        <w:t>co-</w:t>
      </w:r>
      <w:r w:rsidRPr="00C63860">
        <w:rPr>
          <w:rFonts w:asciiTheme="minorHAnsi" w:hAnsiTheme="minorHAnsi" w:cstheme="minorHAnsi"/>
          <w:color w:val="000000" w:themeColor="text1"/>
        </w:rPr>
        <w:t>led the PPI work</w:t>
      </w:r>
      <w:r w:rsidR="00BD556B" w:rsidRPr="00C63860">
        <w:rPr>
          <w:rFonts w:asciiTheme="minorHAnsi" w:hAnsiTheme="minorHAnsi" w:cstheme="minorHAnsi"/>
          <w:color w:val="000000" w:themeColor="text1"/>
        </w:rPr>
        <w:t xml:space="preserve">; </w:t>
      </w:r>
      <w:r w:rsidR="00BD556B" w:rsidRPr="00C63860">
        <w:t>interpreted the results;</w:t>
      </w:r>
      <w:r w:rsidRPr="00C63860">
        <w:rPr>
          <w:rFonts w:asciiTheme="minorHAnsi" w:hAnsiTheme="minorHAnsi" w:cstheme="minorHAnsi"/>
          <w:color w:val="000000" w:themeColor="text1"/>
        </w:rPr>
        <w:t xml:space="preserve"> </w:t>
      </w:r>
      <w:r w:rsidR="0033544C" w:rsidRPr="00C63860">
        <w:rPr>
          <w:rFonts w:asciiTheme="minorHAnsi" w:hAnsiTheme="minorHAnsi" w:cstheme="minorHAnsi"/>
          <w:color w:val="000000" w:themeColor="text1"/>
        </w:rPr>
        <w:t xml:space="preserve">assisted in </w:t>
      </w:r>
      <w:r w:rsidR="0033544C" w:rsidRPr="00C63860">
        <w:t>interpreting the results</w:t>
      </w:r>
      <w:r w:rsidR="00471269" w:rsidRPr="00C63860">
        <w:t xml:space="preserve">; helped draft the PPI elements of </w:t>
      </w:r>
      <w:r w:rsidR="0033544C" w:rsidRPr="00C63860">
        <w:t>the report manuscript.</w:t>
      </w:r>
    </w:p>
    <w:p w14:paraId="1C71F157" w14:textId="7C0287ED" w:rsidR="00471269" w:rsidRPr="00C63860" w:rsidRDefault="00470AE4" w:rsidP="00455F64">
      <w:pPr>
        <w:spacing w:before="240" w:after="240" w:line="276" w:lineRule="auto"/>
      </w:pPr>
      <w:r w:rsidRPr="00C63860">
        <w:rPr>
          <w:rFonts w:asciiTheme="minorHAnsi" w:hAnsiTheme="minorHAnsi" w:cstheme="minorHAnsi"/>
          <w:color w:val="000000" w:themeColor="text1"/>
        </w:rPr>
        <w:t>Paul Charlton (NIHR Patient Ambassador)</w:t>
      </w:r>
      <w:r w:rsidRPr="00C63860">
        <w:t xml:space="preserve"> </w:t>
      </w:r>
      <w:r w:rsidR="00B8211D" w:rsidRPr="00C63860">
        <w:t xml:space="preserve">co-led </w:t>
      </w:r>
      <w:r w:rsidRPr="00C63860">
        <w:rPr>
          <w:rFonts w:asciiTheme="minorHAnsi" w:hAnsiTheme="minorHAnsi" w:cstheme="minorHAnsi"/>
          <w:color w:val="000000" w:themeColor="text1"/>
        </w:rPr>
        <w:t xml:space="preserve">the PPI work; led the production of accessible </w:t>
      </w:r>
      <w:r w:rsidR="00C63860" w:rsidRPr="00C63860">
        <w:rPr>
          <w:rFonts w:asciiTheme="minorHAnsi" w:hAnsiTheme="minorHAnsi" w:cstheme="minorHAnsi"/>
          <w:color w:val="00B0F0"/>
        </w:rPr>
        <w:t>‘</w:t>
      </w:r>
      <w:r w:rsidR="006F6056" w:rsidRPr="00C63860">
        <w:rPr>
          <w:rFonts w:asciiTheme="minorHAnsi" w:hAnsiTheme="minorHAnsi" w:cstheme="minorHAnsi"/>
          <w:color w:val="000000" w:themeColor="text1"/>
        </w:rPr>
        <w:t>easy-read</w:t>
      </w:r>
      <w:r w:rsidR="00C63860" w:rsidRPr="00C63860">
        <w:rPr>
          <w:rFonts w:asciiTheme="minorHAnsi" w:hAnsiTheme="minorHAnsi" w:cstheme="minorHAnsi"/>
          <w:color w:val="00B0F0"/>
        </w:rPr>
        <w:t>’</w:t>
      </w:r>
      <w:r w:rsidRPr="00C63860">
        <w:rPr>
          <w:rFonts w:asciiTheme="minorHAnsi" w:hAnsiTheme="minorHAnsi" w:cstheme="minorHAnsi"/>
          <w:color w:val="000000" w:themeColor="text1"/>
        </w:rPr>
        <w:t xml:space="preserve"> guidance</w:t>
      </w:r>
      <w:r w:rsidR="00B52EFE" w:rsidRPr="00C63860">
        <w:rPr>
          <w:rFonts w:asciiTheme="minorHAnsi" w:hAnsiTheme="minorHAnsi" w:cstheme="minorHAnsi"/>
          <w:color w:val="000000" w:themeColor="text1"/>
        </w:rPr>
        <w:t xml:space="preserve">; </w:t>
      </w:r>
      <w:r w:rsidR="0033544C" w:rsidRPr="00C63860">
        <w:rPr>
          <w:rFonts w:asciiTheme="minorHAnsi" w:hAnsiTheme="minorHAnsi" w:cstheme="minorHAnsi"/>
          <w:color w:val="000000" w:themeColor="text1"/>
        </w:rPr>
        <w:t xml:space="preserve">assisted in </w:t>
      </w:r>
      <w:r w:rsidR="0033544C" w:rsidRPr="00C63860">
        <w:t>interpreting the results</w:t>
      </w:r>
      <w:r w:rsidR="00471269" w:rsidRPr="00C63860">
        <w:t>; helped draft the PPI elements of the report manuscript.</w:t>
      </w:r>
    </w:p>
    <w:p w14:paraId="4AD07E96" w14:textId="5ABF6EE8" w:rsidR="0033544C" w:rsidRPr="00C63860" w:rsidRDefault="00470AE4" w:rsidP="00455F64">
      <w:pPr>
        <w:spacing w:before="240" w:after="240" w:line="276" w:lineRule="auto"/>
      </w:pPr>
      <w:r w:rsidRPr="00C63860">
        <w:rPr>
          <w:rFonts w:asciiTheme="minorHAnsi" w:hAnsiTheme="minorHAnsi" w:cstheme="minorHAnsi"/>
          <w:color w:val="000000" w:themeColor="text1"/>
        </w:rPr>
        <w:t>Geoff Bellingan (</w:t>
      </w:r>
      <w:r w:rsidR="000511A2" w:rsidRPr="00C63860">
        <w:rPr>
          <w:rFonts w:asciiTheme="minorHAnsi" w:hAnsiTheme="minorHAnsi" w:cstheme="minorHAnsi"/>
          <w:color w:val="000000" w:themeColor="text1"/>
        </w:rPr>
        <w:t>Professor and C</w:t>
      </w:r>
      <w:r w:rsidRPr="00C63860">
        <w:rPr>
          <w:rFonts w:asciiTheme="minorHAnsi" w:hAnsiTheme="minorHAnsi" w:cstheme="minorHAnsi"/>
          <w:color w:val="000000" w:themeColor="text1"/>
        </w:rPr>
        <w:t xml:space="preserve">onsultant </w:t>
      </w:r>
      <w:r w:rsidR="000511A2" w:rsidRPr="00C63860">
        <w:rPr>
          <w:rFonts w:asciiTheme="minorHAnsi" w:hAnsiTheme="minorHAnsi" w:cstheme="minorHAnsi"/>
          <w:color w:val="000000" w:themeColor="text1"/>
        </w:rPr>
        <w:t>S</w:t>
      </w:r>
      <w:r w:rsidRPr="00C63860">
        <w:rPr>
          <w:rFonts w:asciiTheme="minorHAnsi" w:hAnsiTheme="minorHAnsi" w:cstheme="minorHAnsi"/>
          <w:color w:val="000000" w:themeColor="text1"/>
        </w:rPr>
        <w:t>urgeon</w:t>
      </w:r>
      <w:r w:rsidR="000511A2" w:rsidRPr="00C63860">
        <w:rPr>
          <w:rFonts w:asciiTheme="minorHAnsi" w:hAnsiTheme="minorHAnsi" w:cstheme="minorHAnsi"/>
          <w:color w:val="000000" w:themeColor="text1"/>
        </w:rPr>
        <w:t>, acute medicine</w:t>
      </w:r>
      <w:r w:rsidRPr="00C63860">
        <w:rPr>
          <w:rFonts w:asciiTheme="minorHAnsi" w:hAnsiTheme="minorHAnsi" w:cstheme="minorHAnsi"/>
          <w:color w:val="000000" w:themeColor="text1"/>
        </w:rPr>
        <w:t>)</w:t>
      </w:r>
      <w:r w:rsidRPr="00C63860">
        <w:t xml:space="preserve"> </w:t>
      </w:r>
      <w:r w:rsidR="0033544C" w:rsidRPr="00C63860">
        <w:rPr>
          <w:rFonts w:asciiTheme="minorHAnsi" w:hAnsiTheme="minorHAnsi" w:cstheme="minorHAnsi"/>
          <w:color w:val="000000" w:themeColor="text1"/>
        </w:rPr>
        <w:t xml:space="preserve">assisted in </w:t>
      </w:r>
      <w:r w:rsidR="0033544C" w:rsidRPr="00C63860">
        <w:t>interpreting the results</w:t>
      </w:r>
      <w:r w:rsidR="004E62D8" w:rsidRPr="00C63860">
        <w:t>; critically reviewed material in report for important intellectual content</w:t>
      </w:r>
      <w:r w:rsidR="004E62D8" w:rsidRPr="00C63860">
        <w:rPr>
          <w:rFonts w:asciiTheme="minorHAnsi" w:hAnsiTheme="minorHAnsi" w:cstheme="minorHAnsi"/>
          <w:color w:val="000000" w:themeColor="text1"/>
        </w:rPr>
        <w:t>.</w:t>
      </w:r>
    </w:p>
    <w:p w14:paraId="63CE431C" w14:textId="555F1910" w:rsidR="004E62D8" w:rsidRPr="00C63860" w:rsidRDefault="00470AE4" w:rsidP="00455F64">
      <w:pPr>
        <w:spacing w:before="240" w:after="240" w:line="276" w:lineRule="auto"/>
        <w:rPr>
          <w:rFonts w:asciiTheme="minorHAnsi" w:hAnsiTheme="minorHAnsi" w:cstheme="minorHAnsi"/>
          <w:color w:val="000000" w:themeColor="text1"/>
        </w:rPr>
      </w:pPr>
      <w:r w:rsidRPr="00C63860">
        <w:rPr>
          <w:rFonts w:asciiTheme="minorHAnsi" w:hAnsiTheme="minorHAnsi" w:cstheme="minorHAnsi"/>
          <w:color w:val="000000" w:themeColor="text1"/>
        </w:rPr>
        <w:t>Ramani Moonesinghe (</w:t>
      </w:r>
      <w:r w:rsidR="000511A2" w:rsidRPr="00C63860">
        <w:rPr>
          <w:rFonts w:asciiTheme="minorHAnsi" w:hAnsiTheme="minorHAnsi" w:cstheme="minorHAnsi"/>
          <w:color w:val="000000" w:themeColor="text1"/>
        </w:rPr>
        <w:t>P</w:t>
      </w:r>
      <w:r w:rsidRPr="00C63860">
        <w:rPr>
          <w:rFonts w:asciiTheme="minorHAnsi" w:hAnsiTheme="minorHAnsi" w:cstheme="minorHAnsi"/>
          <w:color w:val="000000" w:themeColor="text1"/>
        </w:rPr>
        <w:t xml:space="preserve">rofessor, </w:t>
      </w:r>
      <w:r w:rsidR="000511A2" w:rsidRPr="00C63860">
        <w:rPr>
          <w:rFonts w:asciiTheme="minorHAnsi" w:hAnsiTheme="minorHAnsi" w:cstheme="minorHAnsi"/>
          <w:color w:val="000000" w:themeColor="text1"/>
        </w:rPr>
        <w:t>P</w:t>
      </w:r>
      <w:r w:rsidRPr="00C63860">
        <w:rPr>
          <w:rFonts w:asciiTheme="minorHAnsi" w:hAnsiTheme="minorHAnsi" w:cstheme="minorHAnsi"/>
          <w:color w:val="000000" w:themeColor="text1"/>
        </w:rPr>
        <w:t xml:space="preserve">erioperative </w:t>
      </w:r>
      <w:r w:rsidR="000511A2" w:rsidRPr="00C63860">
        <w:rPr>
          <w:rFonts w:asciiTheme="minorHAnsi" w:hAnsiTheme="minorHAnsi" w:cstheme="minorHAnsi"/>
          <w:color w:val="000000" w:themeColor="text1"/>
        </w:rPr>
        <w:t>M</w:t>
      </w:r>
      <w:r w:rsidRPr="00C63860">
        <w:rPr>
          <w:rFonts w:asciiTheme="minorHAnsi" w:hAnsiTheme="minorHAnsi" w:cstheme="minorHAnsi"/>
          <w:color w:val="000000" w:themeColor="text1"/>
        </w:rPr>
        <w:t xml:space="preserve">edicine) </w:t>
      </w:r>
      <w:r w:rsidR="0033544C" w:rsidRPr="00C63860">
        <w:rPr>
          <w:rFonts w:asciiTheme="minorHAnsi" w:hAnsiTheme="minorHAnsi" w:cstheme="minorHAnsi"/>
          <w:color w:val="000000" w:themeColor="text1"/>
        </w:rPr>
        <w:t xml:space="preserve">assisted in </w:t>
      </w:r>
      <w:r w:rsidR="0033544C" w:rsidRPr="00C63860">
        <w:t>interpreting the results</w:t>
      </w:r>
      <w:r w:rsidR="004E62D8" w:rsidRPr="00C63860">
        <w:t>; critically reviewed material in report for important intellectual content</w:t>
      </w:r>
      <w:r w:rsidR="004E62D8" w:rsidRPr="00C63860">
        <w:rPr>
          <w:rFonts w:asciiTheme="minorHAnsi" w:hAnsiTheme="minorHAnsi" w:cstheme="minorHAnsi"/>
          <w:color w:val="000000" w:themeColor="text1"/>
        </w:rPr>
        <w:t>.</w:t>
      </w:r>
    </w:p>
    <w:p w14:paraId="192E06AD" w14:textId="5467D23F" w:rsidR="00B52EFE" w:rsidRPr="00C63860" w:rsidRDefault="00470AE4" w:rsidP="00455F64">
      <w:pPr>
        <w:spacing w:before="240" w:after="240" w:line="276" w:lineRule="auto"/>
      </w:pPr>
      <w:r w:rsidRPr="00C63860">
        <w:rPr>
          <w:rFonts w:asciiTheme="minorHAnsi" w:hAnsiTheme="minorHAnsi" w:cstheme="minorHAnsi"/>
          <w:color w:val="000000" w:themeColor="text1"/>
        </w:rPr>
        <w:t>Luke Keele (</w:t>
      </w:r>
      <w:r w:rsidR="000511A2" w:rsidRPr="00C63860">
        <w:rPr>
          <w:rFonts w:asciiTheme="minorHAnsi" w:hAnsiTheme="minorHAnsi" w:cstheme="minorHAnsi"/>
          <w:color w:val="000000" w:themeColor="text1"/>
        </w:rPr>
        <w:t>Associate P</w:t>
      </w:r>
      <w:r w:rsidRPr="00C63860">
        <w:rPr>
          <w:rFonts w:asciiTheme="minorHAnsi" w:hAnsiTheme="minorHAnsi" w:cstheme="minorHAnsi"/>
          <w:color w:val="000000" w:themeColor="text1"/>
        </w:rPr>
        <w:t xml:space="preserve">rofessor, statistics) </w:t>
      </w:r>
      <w:r w:rsidR="0033544C" w:rsidRPr="00C63860">
        <w:rPr>
          <w:rFonts w:asciiTheme="minorHAnsi" w:hAnsiTheme="minorHAnsi" w:cstheme="minorHAnsi"/>
          <w:color w:val="000000" w:themeColor="text1"/>
        </w:rPr>
        <w:t xml:space="preserve">assisted in </w:t>
      </w:r>
      <w:r w:rsidR="0017761A" w:rsidRPr="00C63860">
        <w:t>interpret</w:t>
      </w:r>
      <w:r w:rsidR="0033544C" w:rsidRPr="00C63860">
        <w:t>ing</w:t>
      </w:r>
      <w:r w:rsidR="0017761A" w:rsidRPr="00C63860">
        <w:t xml:space="preserve"> the results</w:t>
      </w:r>
      <w:r w:rsidR="004E62D8" w:rsidRPr="00C63860">
        <w:t>; critically reviewed material in report for important intellectual content</w:t>
      </w:r>
      <w:r w:rsidR="004E62D8" w:rsidRPr="00C63860">
        <w:rPr>
          <w:rFonts w:asciiTheme="minorHAnsi" w:hAnsiTheme="minorHAnsi" w:cstheme="minorHAnsi"/>
          <w:color w:val="000000" w:themeColor="text1"/>
        </w:rPr>
        <w:t>.</w:t>
      </w:r>
    </w:p>
    <w:p w14:paraId="158924F3" w14:textId="77777777" w:rsidR="00C63860" w:rsidRPr="00C63860" w:rsidRDefault="00470AE4" w:rsidP="00455F64">
      <w:pPr>
        <w:spacing w:before="240" w:after="240" w:line="276" w:lineRule="auto"/>
        <w:rPr>
          <w:rFonts w:asciiTheme="minorHAnsi" w:hAnsiTheme="minorHAnsi" w:cstheme="minorHAnsi"/>
          <w:color w:val="000000" w:themeColor="text1"/>
        </w:rPr>
      </w:pPr>
      <w:r w:rsidRPr="00C63860">
        <w:rPr>
          <w:rFonts w:asciiTheme="minorHAnsi" w:hAnsiTheme="minorHAnsi" w:cstheme="minorHAnsi"/>
          <w:color w:val="000000" w:themeColor="text1"/>
        </w:rPr>
        <w:t>Neil Smart (</w:t>
      </w:r>
      <w:r w:rsidR="000511A2" w:rsidRPr="00C63860">
        <w:rPr>
          <w:rFonts w:asciiTheme="minorHAnsi" w:hAnsiTheme="minorHAnsi" w:cstheme="minorHAnsi"/>
          <w:color w:val="000000" w:themeColor="text1"/>
        </w:rPr>
        <w:t>C</w:t>
      </w:r>
      <w:r w:rsidRPr="00C63860">
        <w:rPr>
          <w:rFonts w:asciiTheme="minorHAnsi" w:hAnsiTheme="minorHAnsi" w:cstheme="minorHAnsi"/>
          <w:color w:val="000000" w:themeColor="text1"/>
        </w:rPr>
        <w:t xml:space="preserve">onsultant </w:t>
      </w:r>
      <w:r w:rsidR="000511A2" w:rsidRPr="00C63860">
        <w:rPr>
          <w:rFonts w:asciiTheme="minorHAnsi" w:hAnsiTheme="minorHAnsi" w:cstheme="minorHAnsi"/>
          <w:color w:val="000000" w:themeColor="text1"/>
        </w:rPr>
        <w:t>S</w:t>
      </w:r>
      <w:r w:rsidRPr="00C63860">
        <w:rPr>
          <w:rFonts w:asciiTheme="minorHAnsi" w:hAnsiTheme="minorHAnsi" w:cstheme="minorHAnsi"/>
          <w:color w:val="000000" w:themeColor="text1"/>
        </w:rPr>
        <w:t xml:space="preserve">urgeon) </w:t>
      </w:r>
      <w:r w:rsidR="003E0C29" w:rsidRPr="00C63860">
        <w:rPr>
          <w:rFonts w:asciiTheme="minorHAnsi" w:hAnsiTheme="minorHAnsi" w:cstheme="minorHAnsi"/>
          <w:color w:val="000000" w:themeColor="text1"/>
        </w:rPr>
        <w:t>contributed to the study design</w:t>
      </w:r>
      <w:r w:rsidR="003E0C29" w:rsidRPr="00C63860">
        <w:t xml:space="preserve">; interpreted the results; </w:t>
      </w:r>
      <w:r w:rsidR="004B3D8B" w:rsidRPr="00C63860">
        <w:rPr>
          <w:rFonts w:asciiTheme="minorHAnsi" w:hAnsiTheme="minorHAnsi" w:cstheme="minorHAnsi"/>
          <w:color w:val="000000" w:themeColor="text1"/>
        </w:rPr>
        <w:t xml:space="preserve">helped draft the </w:t>
      </w:r>
      <w:r w:rsidR="004B3D8B" w:rsidRPr="00C63860">
        <w:t>report manuscript.</w:t>
      </w:r>
    </w:p>
    <w:p w14:paraId="4CE39004" w14:textId="77777777" w:rsidR="00C63860" w:rsidRPr="00C63860" w:rsidRDefault="00470AE4" w:rsidP="00455F64">
      <w:pPr>
        <w:spacing w:before="240" w:after="240" w:line="276" w:lineRule="auto"/>
        <w:rPr>
          <w:rFonts w:asciiTheme="minorHAnsi" w:eastAsiaTheme="minorEastAsia" w:hAnsiTheme="minorHAnsi" w:cstheme="minorBidi"/>
          <w:color w:val="000000" w:themeColor="text1"/>
        </w:rPr>
      </w:pPr>
      <w:r w:rsidRPr="00C63860">
        <w:rPr>
          <w:rFonts w:asciiTheme="minorHAnsi" w:eastAsiaTheme="minorEastAsia" w:hAnsiTheme="minorHAnsi" w:cstheme="minorBidi"/>
          <w:color w:val="000000" w:themeColor="text1"/>
        </w:rPr>
        <w:t>Robert Hinchliffe (</w:t>
      </w:r>
      <w:r w:rsidR="000511A2" w:rsidRPr="00C63860">
        <w:rPr>
          <w:rFonts w:asciiTheme="minorHAnsi" w:eastAsiaTheme="minorEastAsia" w:hAnsiTheme="minorHAnsi" w:cstheme="minorBidi"/>
          <w:color w:val="000000" w:themeColor="text1"/>
        </w:rPr>
        <w:t>Professor, C</w:t>
      </w:r>
      <w:r w:rsidRPr="00C63860">
        <w:rPr>
          <w:rFonts w:asciiTheme="minorHAnsi" w:eastAsiaTheme="minorEastAsia" w:hAnsiTheme="minorHAnsi" w:cstheme="minorBidi"/>
          <w:color w:val="000000" w:themeColor="text1"/>
        </w:rPr>
        <w:t xml:space="preserve">onsultant </w:t>
      </w:r>
      <w:r w:rsidR="000511A2" w:rsidRPr="00C63860">
        <w:rPr>
          <w:rFonts w:asciiTheme="minorHAnsi" w:eastAsiaTheme="minorEastAsia" w:hAnsiTheme="minorHAnsi" w:cstheme="minorBidi"/>
          <w:color w:val="000000" w:themeColor="text1"/>
        </w:rPr>
        <w:t>S</w:t>
      </w:r>
      <w:r w:rsidRPr="00C63860">
        <w:rPr>
          <w:rFonts w:asciiTheme="minorHAnsi" w:eastAsiaTheme="minorEastAsia" w:hAnsiTheme="minorHAnsi" w:cstheme="minorBidi"/>
          <w:color w:val="000000" w:themeColor="text1"/>
        </w:rPr>
        <w:t xml:space="preserve">urgeon) </w:t>
      </w:r>
      <w:r w:rsidR="003E0C29" w:rsidRPr="00C63860">
        <w:rPr>
          <w:rFonts w:asciiTheme="minorHAnsi" w:eastAsiaTheme="minorEastAsia" w:hAnsiTheme="minorHAnsi" w:cstheme="minorBidi"/>
          <w:color w:val="000000" w:themeColor="text1"/>
        </w:rPr>
        <w:t>contributed to the study design</w:t>
      </w:r>
      <w:r w:rsidR="003E0C29" w:rsidRPr="00C63860">
        <w:rPr>
          <w:rFonts w:asciiTheme="minorHAnsi" w:eastAsiaTheme="minorEastAsia" w:hAnsiTheme="minorHAnsi" w:cstheme="minorBidi"/>
        </w:rPr>
        <w:t xml:space="preserve">; interpreted the results; </w:t>
      </w:r>
      <w:r w:rsidR="004B3D8B" w:rsidRPr="00C63860">
        <w:rPr>
          <w:rFonts w:asciiTheme="minorHAnsi" w:eastAsiaTheme="minorEastAsia" w:hAnsiTheme="minorHAnsi" w:cstheme="minorBidi"/>
          <w:color w:val="000000" w:themeColor="text1"/>
        </w:rPr>
        <w:t xml:space="preserve">helped draft the </w:t>
      </w:r>
      <w:r w:rsidR="004B3D8B" w:rsidRPr="00C63860">
        <w:rPr>
          <w:rFonts w:asciiTheme="minorHAnsi" w:eastAsiaTheme="minorEastAsia" w:hAnsiTheme="minorHAnsi" w:cstheme="minorBidi"/>
        </w:rPr>
        <w:t>report manuscript.</w:t>
      </w:r>
    </w:p>
    <w:p w14:paraId="0C751C54" w14:textId="495B4143" w:rsidR="00470AE4" w:rsidRPr="00C63860" w:rsidRDefault="00470AE4" w:rsidP="00455F64">
      <w:pPr>
        <w:spacing w:before="240" w:after="240" w:line="276" w:lineRule="auto"/>
        <w:rPr>
          <w:rFonts w:asciiTheme="minorHAnsi" w:eastAsiaTheme="minorEastAsia" w:hAnsiTheme="minorHAnsi" w:cstheme="minorBidi"/>
          <w:b/>
          <w:sz w:val="28"/>
          <w:szCs w:val="28"/>
        </w:rPr>
      </w:pPr>
      <w:r w:rsidRPr="00C63860">
        <w:rPr>
          <w:rFonts w:asciiTheme="minorHAnsi" w:eastAsiaTheme="minorEastAsia" w:hAnsiTheme="minorHAnsi" w:cstheme="minorBidi"/>
          <w:b/>
          <w:sz w:val="28"/>
          <w:szCs w:val="28"/>
        </w:rPr>
        <w:t>Publications</w:t>
      </w:r>
    </w:p>
    <w:p w14:paraId="17E97D44" w14:textId="2319F8C1" w:rsidR="00964BA0" w:rsidRPr="00C63860" w:rsidRDefault="00470AE4" w:rsidP="0BB8DBB9">
      <w:pPr>
        <w:spacing w:before="240" w:after="240" w:line="276" w:lineRule="auto"/>
        <w:rPr>
          <w:rStyle w:val="Hyperlink"/>
          <w:rFonts w:asciiTheme="minorHAnsi" w:eastAsiaTheme="minorEastAsia" w:hAnsiTheme="minorHAnsi" w:cstheme="minorBidi"/>
        </w:rPr>
      </w:pPr>
      <w:r w:rsidRPr="00C63860">
        <w:rPr>
          <w:rFonts w:asciiTheme="minorHAnsi" w:eastAsiaTheme="minorEastAsia" w:hAnsiTheme="minorHAnsi" w:cstheme="minorBidi"/>
        </w:rPr>
        <w:t>Hutchings</w:t>
      </w:r>
      <w:r w:rsidR="00CE1F1D" w:rsidRPr="00C63860">
        <w:rPr>
          <w:rFonts w:asciiTheme="minorHAnsi" w:eastAsiaTheme="minorEastAsia" w:hAnsiTheme="minorHAnsi" w:cstheme="minorBidi"/>
        </w:rPr>
        <w:t xml:space="preserve"> A</w:t>
      </w:r>
      <w:r w:rsidRPr="00C63860">
        <w:rPr>
          <w:rFonts w:asciiTheme="minorHAnsi" w:eastAsiaTheme="minorEastAsia" w:hAnsiTheme="minorHAnsi" w:cstheme="minorBidi"/>
        </w:rPr>
        <w:t>, Moler</w:t>
      </w:r>
      <w:r w:rsidR="001C3912" w:rsidRPr="00C63860">
        <w:rPr>
          <w:rFonts w:asciiTheme="minorHAnsi" w:eastAsiaTheme="minorEastAsia" w:hAnsiTheme="minorHAnsi" w:cstheme="minorBidi"/>
        </w:rPr>
        <w:t xml:space="preserve"> </w:t>
      </w:r>
      <w:r w:rsidRPr="00C63860">
        <w:rPr>
          <w:rFonts w:asciiTheme="minorHAnsi" w:eastAsiaTheme="minorEastAsia" w:hAnsiTheme="minorHAnsi" w:cstheme="minorBidi"/>
        </w:rPr>
        <w:t>Zapata</w:t>
      </w:r>
      <w:r w:rsidR="00CE1F1D" w:rsidRPr="00C63860">
        <w:rPr>
          <w:rFonts w:asciiTheme="minorHAnsi" w:eastAsiaTheme="minorEastAsia" w:hAnsiTheme="minorHAnsi" w:cstheme="minorBidi"/>
        </w:rPr>
        <w:t xml:space="preserve"> S</w:t>
      </w:r>
      <w:r w:rsidRPr="00C63860">
        <w:rPr>
          <w:rFonts w:asciiTheme="minorHAnsi" w:eastAsiaTheme="minorEastAsia" w:hAnsiTheme="minorHAnsi" w:cstheme="minorBidi"/>
        </w:rPr>
        <w:t>, O</w:t>
      </w:r>
      <w:r w:rsidR="00C63860" w:rsidRPr="00C63860">
        <w:rPr>
          <w:rFonts w:asciiTheme="minorHAnsi" w:eastAsiaTheme="minorEastAsia" w:hAnsiTheme="minorHAnsi" w:cstheme="minorBidi"/>
          <w:color w:val="00B0F0"/>
        </w:rPr>
        <w:t>’</w:t>
      </w:r>
      <w:r w:rsidRPr="00C63860">
        <w:rPr>
          <w:rFonts w:asciiTheme="minorHAnsi" w:eastAsiaTheme="minorEastAsia" w:hAnsiTheme="minorHAnsi" w:cstheme="minorBidi"/>
        </w:rPr>
        <w:t>Neill</w:t>
      </w:r>
      <w:r w:rsidR="00DA0316" w:rsidRPr="00C63860">
        <w:rPr>
          <w:rFonts w:asciiTheme="minorHAnsi" w:eastAsiaTheme="minorEastAsia" w:hAnsiTheme="minorHAnsi" w:cstheme="minorBidi"/>
        </w:rPr>
        <w:t xml:space="preserve"> S</w:t>
      </w:r>
      <w:r w:rsidRPr="00C63860">
        <w:rPr>
          <w:rFonts w:asciiTheme="minorHAnsi" w:eastAsiaTheme="minorEastAsia" w:hAnsiTheme="minorHAnsi" w:cstheme="minorBidi"/>
        </w:rPr>
        <w:t>, Smart</w:t>
      </w:r>
      <w:r w:rsidR="005027D6" w:rsidRPr="00C63860">
        <w:rPr>
          <w:rFonts w:asciiTheme="minorHAnsi" w:eastAsiaTheme="minorEastAsia" w:hAnsiTheme="minorHAnsi" w:cstheme="minorBidi"/>
        </w:rPr>
        <w:t xml:space="preserve"> N</w:t>
      </w:r>
      <w:r w:rsidRPr="00C63860">
        <w:rPr>
          <w:rFonts w:asciiTheme="minorHAnsi" w:eastAsiaTheme="minorEastAsia" w:hAnsiTheme="minorHAnsi" w:cstheme="minorBidi"/>
        </w:rPr>
        <w:t>, Cromwell</w:t>
      </w:r>
      <w:r w:rsidR="005027D6" w:rsidRPr="00C63860">
        <w:rPr>
          <w:rFonts w:asciiTheme="minorHAnsi" w:eastAsiaTheme="minorEastAsia" w:hAnsiTheme="minorHAnsi" w:cstheme="minorBidi"/>
        </w:rPr>
        <w:t xml:space="preserve"> D</w:t>
      </w:r>
      <w:r w:rsidRPr="00C63860">
        <w:rPr>
          <w:rFonts w:asciiTheme="minorHAnsi" w:eastAsiaTheme="minorEastAsia" w:hAnsiTheme="minorHAnsi" w:cstheme="minorBidi"/>
        </w:rPr>
        <w:t>, Hinchliffe</w:t>
      </w:r>
      <w:r w:rsidR="005027D6" w:rsidRPr="00C63860">
        <w:rPr>
          <w:rFonts w:asciiTheme="minorHAnsi" w:eastAsiaTheme="minorEastAsia" w:hAnsiTheme="minorHAnsi" w:cstheme="minorBidi"/>
        </w:rPr>
        <w:t xml:space="preserve"> R</w:t>
      </w:r>
      <w:r w:rsidR="00827427" w:rsidRPr="00C63860">
        <w:rPr>
          <w:rFonts w:asciiTheme="minorHAnsi" w:eastAsiaTheme="minorEastAsia" w:hAnsiTheme="minorHAnsi" w:cstheme="minorBidi"/>
        </w:rPr>
        <w:t>,</w:t>
      </w:r>
      <w:r w:rsidRPr="00C63860">
        <w:rPr>
          <w:rFonts w:asciiTheme="minorHAnsi" w:eastAsiaTheme="minorEastAsia" w:hAnsiTheme="minorHAnsi" w:cstheme="minorBidi"/>
        </w:rPr>
        <w:t xml:space="preserve"> Grieve R. Variation in the rates of emergency surgery </w:t>
      </w:r>
      <w:r w:rsidR="00C63860" w:rsidRPr="00C63860">
        <w:rPr>
          <w:rFonts w:asciiTheme="minorHAnsi" w:eastAsiaTheme="minorEastAsia" w:hAnsiTheme="minorHAnsi" w:cstheme="minorBidi"/>
          <w:color w:val="00B0F0"/>
        </w:rPr>
        <w:t>among</w:t>
      </w:r>
      <w:r w:rsidRPr="00C63860">
        <w:rPr>
          <w:rFonts w:asciiTheme="minorHAnsi" w:eastAsiaTheme="minorEastAsia" w:hAnsiTheme="minorHAnsi" w:cstheme="minorBidi"/>
        </w:rPr>
        <w:t xml:space="preserve"> emergency admissions to hospital for common acute conditions. </w:t>
      </w:r>
      <w:r w:rsidR="007B2A9D" w:rsidRPr="00C63860">
        <w:rPr>
          <w:rFonts w:asciiTheme="minorHAnsi" w:eastAsiaTheme="minorEastAsia" w:hAnsiTheme="minorHAnsi" w:cstheme="minorBidi"/>
          <w:i/>
        </w:rPr>
        <w:t xml:space="preserve">BJS </w:t>
      </w:r>
      <w:r w:rsidR="0012177A" w:rsidRPr="00C63860">
        <w:rPr>
          <w:rFonts w:asciiTheme="minorHAnsi" w:eastAsiaTheme="minorEastAsia" w:hAnsiTheme="minorHAnsi" w:cstheme="minorBidi"/>
          <w:i/>
        </w:rPr>
        <w:t>O</w:t>
      </w:r>
      <w:r w:rsidR="007B2A9D" w:rsidRPr="00C63860">
        <w:rPr>
          <w:rFonts w:asciiTheme="minorHAnsi" w:eastAsiaTheme="minorEastAsia" w:hAnsiTheme="minorHAnsi" w:cstheme="minorBidi"/>
          <w:i/>
        </w:rPr>
        <w:t xml:space="preserve">pen </w:t>
      </w:r>
      <w:r w:rsidR="007B2A9D" w:rsidRPr="00C63860">
        <w:rPr>
          <w:rFonts w:asciiTheme="minorHAnsi" w:eastAsiaTheme="minorEastAsia" w:hAnsiTheme="minorHAnsi" w:cstheme="minorBidi"/>
        </w:rPr>
        <w:t>2021;</w:t>
      </w:r>
      <w:r w:rsidR="007B2A9D" w:rsidRPr="00C63860">
        <w:rPr>
          <w:rFonts w:asciiTheme="minorHAnsi" w:eastAsiaTheme="minorEastAsia" w:hAnsiTheme="minorHAnsi" w:cstheme="minorBidi"/>
          <w:b/>
          <w:bCs/>
        </w:rPr>
        <w:t>5</w:t>
      </w:r>
      <w:r w:rsidR="007B2A9D" w:rsidRPr="00C63860">
        <w:rPr>
          <w:rFonts w:asciiTheme="minorHAnsi" w:eastAsiaTheme="minorEastAsia" w:hAnsiTheme="minorHAnsi" w:cstheme="minorBidi"/>
        </w:rPr>
        <w:t xml:space="preserve">:zrab094. </w:t>
      </w:r>
      <w:r w:rsidR="00827427" w:rsidRPr="00C63860">
        <w:rPr>
          <w:rFonts w:asciiTheme="minorHAnsi" w:eastAsiaTheme="minorEastAsia" w:hAnsiTheme="minorHAnsi" w:cstheme="minorBidi"/>
        </w:rPr>
        <w:t>https://doi.org/10.1093/bjsopen/zrab094</w:t>
      </w:r>
    </w:p>
    <w:p w14:paraId="0A04EDE4" w14:textId="6DECE445" w:rsidR="000B2382" w:rsidRPr="00C63860" w:rsidRDefault="000B2382" w:rsidP="000B2382">
      <w:pPr>
        <w:pStyle w:val="NormalWeb"/>
        <w:spacing w:line="360" w:lineRule="auto"/>
        <w:rPr>
          <w:rFonts w:asciiTheme="minorHAnsi" w:eastAsiaTheme="minorEastAsia" w:hAnsiTheme="minorHAnsi" w:cstheme="minorBidi"/>
          <w:sz w:val="22"/>
          <w:szCs w:val="22"/>
        </w:rPr>
      </w:pPr>
      <w:r w:rsidRPr="00C63860">
        <w:rPr>
          <w:rFonts w:asciiTheme="minorHAnsi" w:eastAsiaTheme="minorEastAsia" w:hAnsiTheme="minorHAnsi" w:cstheme="minorBidi"/>
          <w:color w:val="000000" w:themeColor="text1"/>
          <w:sz w:val="22"/>
          <w:szCs w:val="22"/>
        </w:rPr>
        <w:t>Hutchings</w:t>
      </w:r>
      <w:r w:rsidR="00827427" w:rsidRPr="00C63860">
        <w:rPr>
          <w:rFonts w:asciiTheme="minorHAnsi" w:eastAsiaTheme="minorEastAsia" w:hAnsiTheme="minorHAnsi" w:cstheme="minorBidi"/>
          <w:color w:val="000000" w:themeColor="text1"/>
          <w:sz w:val="22"/>
          <w:szCs w:val="22"/>
        </w:rPr>
        <w:t xml:space="preserve"> </w:t>
      </w:r>
      <w:r w:rsidRPr="00C63860">
        <w:rPr>
          <w:rFonts w:asciiTheme="minorHAnsi" w:eastAsiaTheme="minorEastAsia" w:hAnsiTheme="minorHAnsi" w:cstheme="minorBidi"/>
          <w:color w:val="000000" w:themeColor="text1"/>
          <w:sz w:val="22"/>
          <w:szCs w:val="22"/>
        </w:rPr>
        <w:t>A, O</w:t>
      </w:r>
      <w:r w:rsidR="00C63860" w:rsidRPr="00C63860">
        <w:rPr>
          <w:rFonts w:asciiTheme="minorHAnsi" w:eastAsiaTheme="minorEastAsia" w:hAnsiTheme="minorHAnsi" w:cstheme="minorBidi"/>
          <w:color w:val="00B0F0"/>
          <w:sz w:val="22"/>
          <w:szCs w:val="22"/>
        </w:rPr>
        <w:t>’</w:t>
      </w:r>
      <w:r w:rsidRPr="00C63860">
        <w:rPr>
          <w:rFonts w:asciiTheme="minorHAnsi" w:eastAsiaTheme="minorEastAsia" w:hAnsiTheme="minorHAnsi" w:cstheme="minorBidi"/>
          <w:color w:val="000000" w:themeColor="text1"/>
          <w:sz w:val="22"/>
          <w:szCs w:val="22"/>
        </w:rPr>
        <w:t>Neill</w:t>
      </w:r>
      <w:r w:rsidRPr="00C63860">
        <w:rPr>
          <w:rFonts w:asciiTheme="minorHAnsi" w:eastAsiaTheme="minorEastAsia" w:hAnsiTheme="minorHAnsi" w:cstheme="minorBidi"/>
          <w:color w:val="000000" w:themeColor="text1"/>
          <w:sz w:val="22"/>
          <w:szCs w:val="22"/>
          <w:vertAlign w:val="superscript"/>
        </w:rPr>
        <w:t xml:space="preserve"> </w:t>
      </w:r>
      <w:r w:rsidRPr="00C63860">
        <w:rPr>
          <w:rFonts w:asciiTheme="minorHAnsi" w:eastAsiaTheme="minorEastAsia" w:hAnsiTheme="minorHAnsi" w:cstheme="minorBidi"/>
          <w:color w:val="000000" w:themeColor="text1"/>
          <w:sz w:val="22"/>
          <w:szCs w:val="22"/>
        </w:rPr>
        <w:t>S, Lugo-Palacios</w:t>
      </w:r>
      <w:r w:rsidRPr="00C63860">
        <w:rPr>
          <w:rFonts w:asciiTheme="minorHAnsi" w:eastAsiaTheme="minorEastAsia" w:hAnsiTheme="minorHAnsi" w:cstheme="minorBidi"/>
          <w:color w:val="000000" w:themeColor="text1"/>
          <w:sz w:val="22"/>
          <w:szCs w:val="22"/>
          <w:vertAlign w:val="superscript"/>
        </w:rPr>
        <w:t xml:space="preserve"> </w:t>
      </w:r>
      <w:r w:rsidRPr="00C63860">
        <w:rPr>
          <w:rFonts w:asciiTheme="minorHAnsi" w:eastAsiaTheme="minorEastAsia" w:hAnsiTheme="minorHAnsi" w:cstheme="minorBidi"/>
          <w:color w:val="000000" w:themeColor="text1"/>
          <w:sz w:val="22"/>
          <w:szCs w:val="22"/>
        </w:rPr>
        <w:t>D, Moler Zapata</w:t>
      </w:r>
      <w:r w:rsidRPr="00C63860">
        <w:rPr>
          <w:rFonts w:asciiTheme="minorHAnsi" w:eastAsiaTheme="minorEastAsia" w:hAnsiTheme="minorHAnsi" w:cstheme="minorBidi"/>
          <w:color w:val="000000" w:themeColor="text1"/>
          <w:sz w:val="22"/>
          <w:szCs w:val="22"/>
          <w:vertAlign w:val="superscript"/>
        </w:rPr>
        <w:t xml:space="preserve"> </w:t>
      </w:r>
      <w:r w:rsidRPr="00C63860">
        <w:rPr>
          <w:rFonts w:asciiTheme="minorHAnsi" w:eastAsiaTheme="minorEastAsia" w:hAnsiTheme="minorHAnsi" w:cstheme="minorBidi"/>
          <w:color w:val="000000" w:themeColor="text1"/>
          <w:sz w:val="22"/>
          <w:szCs w:val="22"/>
        </w:rPr>
        <w:t>S, Silverwood</w:t>
      </w:r>
      <w:r w:rsidRPr="00C63860">
        <w:rPr>
          <w:rFonts w:asciiTheme="minorHAnsi" w:eastAsiaTheme="minorEastAsia" w:hAnsiTheme="minorHAnsi" w:cstheme="minorBidi"/>
          <w:color w:val="000000" w:themeColor="text1"/>
          <w:sz w:val="22"/>
          <w:szCs w:val="22"/>
          <w:vertAlign w:val="superscript"/>
        </w:rPr>
        <w:t xml:space="preserve"> </w:t>
      </w:r>
      <w:r w:rsidRPr="00C63860">
        <w:rPr>
          <w:rFonts w:asciiTheme="minorHAnsi" w:eastAsiaTheme="minorEastAsia" w:hAnsiTheme="minorHAnsi" w:cstheme="minorBidi"/>
          <w:color w:val="000000" w:themeColor="text1"/>
          <w:sz w:val="22"/>
          <w:szCs w:val="22"/>
        </w:rPr>
        <w:t xml:space="preserve">R, Cromwell D, </w:t>
      </w:r>
      <w:r w:rsidR="00827427" w:rsidRPr="00C63860">
        <w:rPr>
          <w:rFonts w:asciiTheme="minorHAnsi" w:eastAsiaTheme="minorEastAsia" w:hAnsiTheme="minorHAnsi" w:cstheme="minorBidi"/>
          <w:i/>
          <w:iCs/>
          <w:color w:val="000000" w:themeColor="text1"/>
          <w:sz w:val="22"/>
          <w:szCs w:val="22"/>
        </w:rPr>
        <w:t>et al</w:t>
      </w:r>
      <w:r w:rsidRPr="00C63860">
        <w:rPr>
          <w:rFonts w:asciiTheme="minorHAnsi" w:eastAsiaTheme="minorEastAsia" w:hAnsiTheme="minorHAnsi" w:cstheme="minorBidi"/>
          <w:color w:val="000000" w:themeColor="text1"/>
          <w:sz w:val="22"/>
          <w:szCs w:val="22"/>
        </w:rPr>
        <w:t xml:space="preserve">. </w:t>
      </w:r>
      <w:r w:rsidRPr="00C63860">
        <w:rPr>
          <w:rFonts w:asciiTheme="minorHAnsi" w:eastAsiaTheme="minorEastAsia" w:hAnsiTheme="minorHAnsi" w:cstheme="minorBidi"/>
          <w:sz w:val="22"/>
          <w:szCs w:val="22"/>
        </w:rPr>
        <w:t xml:space="preserve">Effectiveness of emergency surgery for five common acute conditions: an instrumental variable analysis of a national routine database. </w:t>
      </w:r>
      <w:r w:rsidRPr="00C63860">
        <w:rPr>
          <w:rFonts w:asciiTheme="minorHAnsi" w:eastAsiaTheme="minorEastAsia" w:hAnsiTheme="minorHAnsi" w:cstheme="minorBidi"/>
          <w:i/>
          <w:sz w:val="22"/>
          <w:szCs w:val="22"/>
        </w:rPr>
        <w:t xml:space="preserve">Anaesthesia </w:t>
      </w:r>
      <w:r w:rsidRPr="00C63860">
        <w:rPr>
          <w:rFonts w:asciiTheme="minorHAnsi" w:eastAsiaTheme="minorEastAsia" w:hAnsiTheme="minorHAnsi" w:cstheme="minorBidi"/>
          <w:sz w:val="22"/>
          <w:szCs w:val="22"/>
        </w:rPr>
        <w:t>2022</w:t>
      </w:r>
      <w:r w:rsidR="00827427" w:rsidRPr="00C63860">
        <w:rPr>
          <w:rFonts w:asciiTheme="minorHAnsi" w:eastAsiaTheme="minorEastAsia" w:hAnsiTheme="minorHAnsi" w:cstheme="minorBidi"/>
          <w:sz w:val="22"/>
          <w:szCs w:val="22"/>
        </w:rPr>
        <w:t>;</w:t>
      </w:r>
      <w:r w:rsidRPr="00C63860">
        <w:rPr>
          <w:rFonts w:asciiTheme="minorHAnsi" w:eastAsiaTheme="minorEastAsia" w:hAnsiTheme="minorHAnsi" w:cstheme="minorBidi"/>
          <w:sz w:val="22"/>
          <w:szCs w:val="22"/>
        </w:rPr>
        <w:t xml:space="preserve"> in press</w:t>
      </w:r>
      <w:r w:rsidR="00827427" w:rsidRPr="00C63860">
        <w:rPr>
          <w:rFonts w:asciiTheme="minorHAnsi" w:eastAsiaTheme="minorEastAsia" w:hAnsiTheme="minorHAnsi" w:cstheme="minorBidi"/>
          <w:sz w:val="22"/>
          <w:szCs w:val="22"/>
        </w:rPr>
        <w:t>.</w:t>
      </w:r>
    </w:p>
    <w:p w14:paraId="067C9EE1" w14:textId="77777777" w:rsidR="00C63860" w:rsidRPr="00C63860" w:rsidRDefault="0060152C" w:rsidP="00404610">
      <w:pPr>
        <w:autoSpaceDE w:val="0"/>
        <w:autoSpaceDN w:val="0"/>
        <w:adjustRightInd w:val="0"/>
        <w:spacing w:line="360" w:lineRule="auto"/>
        <w:rPr>
          <w:rFonts w:asciiTheme="minorHAnsi" w:eastAsiaTheme="minorEastAsia" w:hAnsiTheme="minorHAnsi" w:cstheme="minorBidi"/>
        </w:rPr>
      </w:pPr>
      <w:r w:rsidRPr="00C63860">
        <w:rPr>
          <w:rFonts w:asciiTheme="minorHAnsi" w:eastAsiaTheme="minorEastAsia" w:hAnsiTheme="minorHAnsi" w:cstheme="minorBidi"/>
          <w:color w:val="000000" w:themeColor="text1"/>
        </w:rPr>
        <w:t>Moler-Zapata</w:t>
      </w:r>
      <w:r w:rsidRPr="00C63860">
        <w:rPr>
          <w:rFonts w:asciiTheme="minorHAnsi" w:eastAsiaTheme="minorEastAsia" w:hAnsiTheme="minorHAnsi" w:cstheme="minorBidi"/>
          <w:color w:val="000000" w:themeColor="text1"/>
          <w:vertAlign w:val="superscript"/>
        </w:rPr>
        <w:t xml:space="preserve"> </w:t>
      </w:r>
      <w:r w:rsidRPr="00C63860">
        <w:rPr>
          <w:rFonts w:asciiTheme="minorHAnsi" w:eastAsiaTheme="minorEastAsia" w:hAnsiTheme="minorHAnsi" w:cstheme="minorBidi"/>
          <w:color w:val="000000" w:themeColor="text1"/>
        </w:rPr>
        <w:t>S, Grieve</w:t>
      </w:r>
      <w:r w:rsidR="00C63860" w:rsidRPr="00C63860">
        <w:rPr>
          <w:rFonts w:asciiTheme="minorHAnsi" w:eastAsiaTheme="minorEastAsia" w:hAnsiTheme="minorHAnsi" w:cstheme="minorBidi"/>
          <w:color w:val="000000" w:themeColor="text1"/>
          <w:vertAlign w:val="superscript"/>
        </w:rPr>
        <w:t xml:space="preserve"> </w:t>
      </w:r>
      <w:r w:rsidRPr="00C63860">
        <w:rPr>
          <w:rFonts w:asciiTheme="minorHAnsi" w:eastAsiaTheme="minorEastAsia" w:hAnsiTheme="minorHAnsi" w:cstheme="minorBidi"/>
          <w:color w:val="000000" w:themeColor="text1"/>
        </w:rPr>
        <w:t>R, Lugo-Palacios</w:t>
      </w:r>
      <w:r w:rsidRPr="00C63860">
        <w:rPr>
          <w:rFonts w:asciiTheme="minorHAnsi" w:eastAsiaTheme="minorEastAsia" w:hAnsiTheme="minorHAnsi" w:cstheme="minorBidi"/>
          <w:color w:val="000000" w:themeColor="text1"/>
          <w:vertAlign w:val="superscript"/>
        </w:rPr>
        <w:t xml:space="preserve"> </w:t>
      </w:r>
      <w:r w:rsidRPr="00C63860">
        <w:rPr>
          <w:rFonts w:asciiTheme="minorHAnsi" w:eastAsiaTheme="minorEastAsia" w:hAnsiTheme="minorHAnsi" w:cstheme="minorBidi"/>
          <w:color w:val="000000" w:themeColor="text1"/>
        </w:rPr>
        <w:t>D, Hutchings</w:t>
      </w:r>
      <w:r w:rsidRPr="00C63860">
        <w:rPr>
          <w:rFonts w:asciiTheme="minorHAnsi" w:eastAsiaTheme="minorEastAsia" w:hAnsiTheme="minorHAnsi" w:cstheme="minorBidi"/>
          <w:color w:val="000000" w:themeColor="text1"/>
          <w:vertAlign w:val="superscript"/>
        </w:rPr>
        <w:t xml:space="preserve"> </w:t>
      </w:r>
      <w:r w:rsidRPr="00C63860">
        <w:rPr>
          <w:rFonts w:asciiTheme="minorHAnsi" w:eastAsiaTheme="minorEastAsia" w:hAnsiTheme="minorHAnsi" w:cstheme="minorBidi"/>
          <w:color w:val="000000" w:themeColor="text1"/>
        </w:rPr>
        <w:t>A, Silverwood</w:t>
      </w:r>
      <w:r w:rsidRPr="00C63860">
        <w:rPr>
          <w:rFonts w:asciiTheme="minorHAnsi" w:eastAsiaTheme="minorEastAsia" w:hAnsiTheme="minorHAnsi" w:cstheme="minorBidi"/>
          <w:color w:val="000000" w:themeColor="text1"/>
          <w:vertAlign w:val="superscript"/>
        </w:rPr>
        <w:t xml:space="preserve"> </w:t>
      </w:r>
      <w:r w:rsidRPr="00C63860">
        <w:rPr>
          <w:rFonts w:asciiTheme="minorHAnsi" w:eastAsiaTheme="minorEastAsia" w:hAnsiTheme="minorHAnsi" w:cstheme="minorBidi"/>
          <w:color w:val="000000" w:themeColor="text1"/>
        </w:rPr>
        <w:t>R, Keele</w:t>
      </w:r>
      <w:r w:rsidRPr="00C63860">
        <w:rPr>
          <w:rFonts w:asciiTheme="minorHAnsi" w:eastAsiaTheme="minorEastAsia" w:hAnsiTheme="minorHAnsi" w:cstheme="minorBidi"/>
          <w:color w:val="000000" w:themeColor="text1"/>
          <w:vertAlign w:val="superscript"/>
        </w:rPr>
        <w:t xml:space="preserve"> </w:t>
      </w:r>
      <w:r w:rsidRPr="00C63860">
        <w:rPr>
          <w:rFonts w:asciiTheme="minorHAnsi" w:eastAsiaTheme="minorEastAsia" w:hAnsiTheme="minorHAnsi" w:cstheme="minorBidi"/>
          <w:color w:val="000000" w:themeColor="text1"/>
        </w:rPr>
        <w:t>K</w:t>
      </w:r>
      <w:r w:rsidR="00827427" w:rsidRPr="00C63860">
        <w:rPr>
          <w:rFonts w:asciiTheme="minorHAnsi" w:eastAsiaTheme="minorEastAsia" w:hAnsiTheme="minorHAnsi" w:cstheme="minorBidi"/>
          <w:color w:val="000000" w:themeColor="text1"/>
        </w:rPr>
        <w:t xml:space="preserve">, </w:t>
      </w:r>
      <w:r w:rsidR="00827427" w:rsidRPr="00C63860">
        <w:rPr>
          <w:rFonts w:asciiTheme="minorHAnsi" w:eastAsiaTheme="minorEastAsia" w:hAnsiTheme="minorHAnsi" w:cstheme="minorBidi"/>
          <w:i/>
          <w:iCs/>
          <w:color w:val="000000" w:themeColor="text1"/>
        </w:rPr>
        <w:t>et al</w:t>
      </w:r>
      <w:r w:rsidRPr="00C63860">
        <w:rPr>
          <w:rFonts w:asciiTheme="minorHAnsi" w:eastAsiaTheme="minorEastAsia" w:hAnsiTheme="minorHAnsi" w:cstheme="minorBidi"/>
        </w:rPr>
        <w:t xml:space="preserve">. Local instrumental variable methods to address confounding and heterogeneity when using electronic health records: an application to emergency surgery. </w:t>
      </w:r>
      <w:r w:rsidRPr="00C63860">
        <w:rPr>
          <w:rFonts w:asciiTheme="minorHAnsi" w:eastAsiaTheme="minorEastAsia" w:hAnsiTheme="minorHAnsi" w:cstheme="minorBidi"/>
          <w:i/>
        </w:rPr>
        <w:t>Medical Decision-Making</w:t>
      </w:r>
      <w:r w:rsidR="00827427" w:rsidRPr="00C63860">
        <w:rPr>
          <w:rFonts w:asciiTheme="minorHAnsi" w:eastAsiaTheme="minorEastAsia" w:hAnsiTheme="minorHAnsi" w:cstheme="minorBidi"/>
          <w:i/>
        </w:rPr>
        <w:t xml:space="preserve"> </w:t>
      </w:r>
      <w:r w:rsidR="00827427" w:rsidRPr="00C63860">
        <w:rPr>
          <w:rFonts w:asciiTheme="minorHAnsi" w:eastAsiaTheme="minorEastAsia" w:hAnsiTheme="minorHAnsi" w:cstheme="minorBidi"/>
          <w:iCs/>
        </w:rPr>
        <w:t>2022</w:t>
      </w:r>
      <w:r w:rsidR="00827427" w:rsidRPr="00C63860">
        <w:rPr>
          <w:rFonts w:asciiTheme="minorHAnsi" w:eastAsiaTheme="minorEastAsia" w:hAnsiTheme="minorHAnsi" w:cstheme="minorBidi"/>
        </w:rPr>
        <w:t xml:space="preserve">; </w:t>
      </w:r>
      <w:r w:rsidRPr="00C63860">
        <w:rPr>
          <w:rFonts w:asciiTheme="minorHAnsi" w:eastAsiaTheme="minorEastAsia" w:hAnsiTheme="minorHAnsi" w:cstheme="minorBidi"/>
        </w:rPr>
        <w:t>in press.</w:t>
      </w:r>
    </w:p>
    <w:p w14:paraId="70B8B8D3" w14:textId="059D8178" w:rsidR="0012177A" w:rsidRPr="00C63860" w:rsidRDefault="0012177A" w:rsidP="0012177A">
      <w:pPr>
        <w:spacing w:before="240" w:after="240" w:line="276" w:lineRule="auto"/>
        <w:rPr>
          <w:rFonts w:asciiTheme="minorHAnsi" w:hAnsiTheme="minorHAnsi" w:cstheme="minorHAnsi"/>
          <w:b/>
          <w:bCs/>
          <w:sz w:val="28"/>
          <w:szCs w:val="28"/>
        </w:rPr>
      </w:pPr>
      <w:r w:rsidRPr="00C63860">
        <w:rPr>
          <w:rFonts w:asciiTheme="minorHAnsi" w:hAnsiTheme="minorHAnsi" w:cstheme="minorHAnsi"/>
          <w:b/>
          <w:bCs/>
          <w:sz w:val="28"/>
          <w:szCs w:val="28"/>
        </w:rPr>
        <w:t>Ethics</w:t>
      </w:r>
    </w:p>
    <w:p w14:paraId="5B7FA390" w14:textId="77777777" w:rsidR="00C63860" w:rsidRPr="00C63860" w:rsidRDefault="0012177A" w:rsidP="00455F64">
      <w:pPr>
        <w:spacing w:before="240" w:after="240" w:line="276" w:lineRule="auto"/>
        <w:rPr>
          <w:rFonts w:asciiTheme="minorHAnsi" w:hAnsiTheme="minorHAnsi" w:cstheme="minorHAnsi"/>
          <w:color w:val="000000" w:themeColor="text1"/>
        </w:rPr>
      </w:pPr>
      <w:r w:rsidRPr="00C63860">
        <w:rPr>
          <w:rFonts w:asciiTheme="minorHAnsi" w:hAnsiTheme="minorHAnsi" w:cstheme="minorHAnsi"/>
          <w:color w:val="000000" w:themeColor="text1"/>
        </w:rPr>
        <w:t>This study was approved by the LSHTM Ethics Committee on 6 April 2020 (reference: 21687).</w:t>
      </w:r>
    </w:p>
    <w:p w14:paraId="5E37E680" w14:textId="75E7DFBF" w:rsidR="00470AE4" w:rsidRPr="00C63860" w:rsidRDefault="008171D0" w:rsidP="00455F64">
      <w:pPr>
        <w:spacing w:before="240" w:after="240" w:line="276" w:lineRule="auto"/>
        <w:rPr>
          <w:rFonts w:asciiTheme="minorHAnsi" w:hAnsiTheme="minorHAnsi" w:cstheme="minorHAnsi"/>
          <w:b/>
          <w:bCs/>
          <w:sz w:val="28"/>
          <w:szCs w:val="28"/>
        </w:rPr>
      </w:pPr>
      <w:r w:rsidRPr="00C63860">
        <w:rPr>
          <w:rFonts w:asciiTheme="minorHAnsi" w:hAnsiTheme="minorHAnsi" w:cstheme="minorHAnsi"/>
          <w:b/>
          <w:bCs/>
          <w:sz w:val="28"/>
          <w:szCs w:val="28"/>
        </w:rPr>
        <w:t xml:space="preserve">Patient </w:t>
      </w:r>
      <w:r w:rsidRPr="00C63860">
        <w:rPr>
          <w:rFonts w:asciiTheme="minorHAnsi" w:hAnsiTheme="minorHAnsi" w:cstheme="minorHAnsi"/>
          <w:b/>
          <w:bCs/>
          <w:sz w:val="28"/>
          <w:szCs w:val="28"/>
          <w:highlight w:val="magenta"/>
        </w:rPr>
        <w:t>d</w:t>
      </w:r>
      <w:r w:rsidR="00470AE4" w:rsidRPr="00C63860">
        <w:rPr>
          <w:rFonts w:asciiTheme="minorHAnsi" w:hAnsiTheme="minorHAnsi" w:cstheme="minorHAnsi"/>
          <w:b/>
          <w:bCs/>
          <w:sz w:val="28"/>
          <w:szCs w:val="28"/>
          <w:highlight w:val="magenta"/>
        </w:rPr>
        <w:t>ata</w:t>
      </w:r>
    </w:p>
    <w:p w14:paraId="2192A6E6" w14:textId="24375044" w:rsidR="00470AE4" w:rsidRPr="00C63860" w:rsidRDefault="00470AE4" w:rsidP="00455F64">
      <w:pPr>
        <w:spacing w:before="240" w:after="240" w:line="276" w:lineRule="auto"/>
        <w:rPr>
          <w:rFonts w:asciiTheme="minorHAnsi" w:hAnsiTheme="minorHAnsi" w:cstheme="minorHAnsi"/>
          <w:i/>
          <w:iCs/>
        </w:rPr>
      </w:pPr>
      <w:r w:rsidRPr="00C63860">
        <w:rPr>
          <w:rFonts w:asciiTheme="minorHAnsi" w:hAnsiTheme="minorHAnsi" w:cstheme="minorHAnsi"/>
        </w:rPr>
        <w:t xml:space="preserve">This work uses </w:t>
      </w:r>
      <w:r w:rsidRPr="00C63860">
        <w:rPr>
          <w:rFonts w:asciiTheme="minorHAnsi" w:hAnsiTheme="minorHAnsi" w:cstheme="minorHAnsi"/>
          <w:highlight w:val="magenta"/>
        </w:rPr>
        <w:t>data</w:t>
      </w:r>
      <w:r w:rsidRPr="00C63860">
        <w:rPr>
          <w:rFonts w:asciiTheme="minorHAnsi" w:hAnsiTheme="minorHAnsi" w:cstheme="minorHAnsi"/>
        </w:rPr>
        <w:t xml:space="preserve"> provided by patients and collected by the NHS as part of their care and support. Using</w:t>
      </w:r>
      <w:r w:rsidR="00C63860" w:rsidRPr="00C63860">
        <w:rPr>
          <w:rFonts w:asciiTheme="minorHAnsi" w:hAnsiTheme="minorHAnsi" w:cstheme="minorHAnsi"/>
        </w:rPr>
        <w:t xml:space="preserve"> </w:t>
      </w:r>
      <w:r w:rsidRPr="00C63860">
        <w:rPr>
          <w:rFonts w:asciiTheme="minorHAnsi" w:hAnsiTheme="minorHAnsi" w:cstheme="minorHAnsi"/>
        </w:rPr>
        <w:t xml:space="preserve">patient </w:t>
      </w:r>
      <w:r w:rsidR="00C63860" w:rsidRPr="00C63860">
        <w:rPr>
          <w:rFonts w:asciiTheme="minorHAnsi" w:hAnsiTheme="minorHAnsi" w:cstheme="minorHAnsi"/>
          <w:color w:val="00B0F0"/>
          <w:highlight w:val="magenta"/>
        </w:rPr>
        <w:t>data</w:t>
      </w:r>
      <w:r w:rsidR="00C63860" w:rsidRPr="00C63860">
        <w:rPr>
          <w:rFonts w:asciiTheme="minorHAnsi" w:hAnsiTheme="minorHAnsi" w:cstheme="minorHAnsi"/>
          <w:color w:val="00B0F0"/>
        </w:rPr>
        <w:t xml:space="preserve"> are</w:t>
      </w:r>
      <w:r w:rsidRPr="00C63860">
        <w:rPr>
          <w:rFonts w:asciiTheme="minorHAnsi" w:hAnsiTheme="minorHAnsi" w:cstheme="minorHAnsi"/>
        </w:rPr>
        <w:t xml:space="preserve"> vital to improve health and care for everyone. There is huge potential to make better use</w:t>
      </w:r>
      <w:r w:rsidR="00C63860" w:rsidRPr="00C63860">
        <w:rPr>
          <w:rFonts w:asciiTheme="minorHAnsi" w:hAnsiTheme="minorHAnsi" w:cstheme="minorHAnsi"/>
        </w:rPr>
        <w:t xml:space="preserve"> </w:t>
      </w:r>
      <w:r w:rsidRPr="00C63860">
        <w:rPr>
          <w:rFonts w:asciiTheme="minorHAnsi" w:hAnsiTheme="minorHAnsi" w:cstheme="minorHAnsi"/>
        </w:rPr>
        <w:t>of information from people</w:t>
      </w:r>
      <w:r w:rsidR="00C63860" w:rsidRPr="00C63860">
        <w:rPr>
          <w:rFonts w:asciiTheme="minorHAnsi" w:hAnsiTheme="minorHAnsi" w:cstheme="minorHAnsi"/>
          <w:color w:val="00B0F0"/>
        </w:rPr>
        <w:t>’</w:t>
      </w:r>
      <w:r w:rsidRPr="00C63860">
        <w:rPr>
          <w:rFonts w:asciiTheme="minorHAnsi" w:hAnsiTheme="minorHAnsi" w:cstheme="minorHAnsi"/>
        </w:rPr>
        <w:t>s patient records, to understand more about disease, develop new treatments,</w:t>
      </w:r>
      <w:r w:rsidR="00C63860" w:rsidRPr="00C63860">
        <w:rPr>
          <w:rFonts w:asciiTheme="minorHAnsi" w:hAnsiTheme="minorHAnsi" w:cstheme="minorHAnsi"/>
        </w:rPr>
        <w:t xml:space="preserve"> </w:t>
      </w:r>
      <w:r w:rsidRPr="00C63860">
        <w:rPr>
          <w:rFonts w:asciiTheme="minorHAnsi" w:hAnsiTheme="minorHAnsi" w:cstheme="minorHAnsi"/>
        </w:rPr>
        <w:t xml:space="preserve">monitor safety, and plan NHS services. Patient </w:t>
      </w:r>
      <w:r w:rsidRPr="00C63860">
        <w:rPr>
          <w:rFonts w:asciiTheme="minorHAnsi" w:hAnsiTheme="minorHAnsi" w:cstheme="minorHAnsi"/>
          <w:highlight w:val="magenta"/>
        </w:rPr>
        <w:t>data</w:t>
      </w:r>
      <w:r w:rsidRPr="00C63860">
        <w:rPr>
          <w:rFonts w:asciiTheme="minorHAnsi" w:hAnsiTheme="minorHAnsi" w:cstheme="minorHAnsi"/>
        </w:rPr>
        <w:t xml:space="preserve"> should be kept safe and secure, to protect everyone</w:t>
      </w:r>
      <w:r w:rsidR="00C63860" w:rsidRPr="00C63860">
        <w:rPr>
          <w:rFonts w:asciiTheme="minorHAnsi" w:hAnsiTheme="minorHAnsi" w:cstheme="minorHAnsi"/>
          <w:color w:val="00B0F0"/>
        </w:rPr>
        <w:t>’</w:t>
      </w:r>
      <w:r w:rsidRPr="00C63860">
        <w:rPr>
          <w:rFonts w:asciiTheme="minorHAnsi" w:hAnsiTheme="minorHAnsi" w:cstheme="minorHAnsi"/>
        </w:rPr>
        <w:t>s</w:t>
      </w:r>
      <w:r w:rsidR="00C63860" w:rsidRPr="00C63860">
        <w:rPr>
          <w:rFonts w:asciiTheme="minorHAnsi" w:hAnsiTheme="minorHAnsi" w:cstheme="minorHAnsi"/>
        </w:rPr>
        <w:t xml:space="preserve"> </w:t>
      </w:r>
      <w:r w:rsidRPr="00C63860">
        <w:rPr>
          <w:rFonts w:asciiTheme="minorHAnsi" w:hAnsiTheme="minorHAnsi" w:cstheme="minorHAnsi"/>
        </w:rPr>
        <w:t>privacy, and it</w:t>
      </w:r>
      <w:r w:rsidR="00C63860" w:rsidRPr="00C63860">
        <w:rPr>
          <w:rFonts w:asciiTheme="minorHAnsi" w:hAnsiTheme="minorHAnsi" w:cstheme="minorHAnsi"/>
          <w:color w:val="00B0F0"/>
        </w:rPr>
        <w:t>’</w:t>
      </w:r>
      <w:r w:rsidRPr="00C63860">
        <w:rPr>
          <w:rFonts w:asciiTheme="minorHAnsi" w:hAnsiTheme="minorHAnsi" w:cstheme="minorHAnsi"/>
        </w:rPr>
        <w:t>s important that there are safeguards to make sure that it is stored and used responsibly.</w:t>
      </w:r>
      <w:r w:rsidR="00C63860" w:rsidRPr="00C63860">
        <w:rPr>
          <w:rFonts w:asciiTheme="minorHAnsi" w:hAnsiTheme="minorHAnsi" w:cstheme="minorHAnsi"/>
        </w:rPr>
        <w:t xml:space="preserve"> </w:t>
      </w:r>
      <w:r w:rsidRPr="00C63860">
        <w:rPr>
          <w:rFonts w:asciiTheme="minorHAnsi" w:hAnsiTheme="minorHAnsi" w:cstheme="minorHAnsi"/>
        </w:rPr>
        <w:t xml:space="preserve">Everyone should be able to find out about how patient </w:t>
      </w:r>
      <w:r w:rsidR="00C63860" w:rsidRPr="00C63860">
        <w:rPr>
          <w:rFonts w:asciiTheme="minorHAnsi" w:hAnsiTheme="minorHAnsi" w:cstheme="minorHAnsi"/>
          <w:color w:val="00B0F0"/>
          <w:highlight w:val="magenta"/>
        </w:rPr>
        <w:t>data</w:t>
      </w:r>
      <w:r w:rsidR="00C63860" w:rsidRPr="00C63860">
        <w:rPr>
          <w:rFonts w:asciiTheme="minorHAnsi" w:hAnsiTheme="minorHAnsi" w:cstheme="minorHAnsi"/>
          <w:color w:val="00B0F0"/>
        </w:rPr>
        <w:t xml:space="preserve"> are</w:t>
      </w:r>
      <w:r w:rsidRPr="00C63860">
        <w:rPr>
          <w:rFonts w:asciiTheme="minorHAnsi" w:hAnsiTheme="minorHAnsi" w:cstheme="minorHAnsi"/>
        </w:rPr>
        <w:t xml:space="preserve"> used.</w:t>
      </w:r>
      <w:r w:rsidR="00C63860" w:rsidRPr="00C63860">
        <w:rPr>
          <w:rFonts w:asciiTheme="minorHAnsi" w:hAnsiTheme="minorHAnsi" w:cstheme="minorHAnsi"/>
        </w:rPr>
        <w:t xml:space="preserve"> </w:t>
      </w:r>
      <w:r w:rsidRPr="00C63860">
        <w:rPr>
          <w:rFonts w:asciiTheme="minorHAnsi" w:hAnsiTheme="minorHAnsi" w:cstheme="minorHAnsi"/>
          <w:i/>
          <w:iCs/>
          <w:color w:val="193E72"/>
          <w:u w:val="single"/>
        </w:rPr>
        <w:t>#datasaveslives</w:t>
      </w:r>
      <w:r w:rsidR="00C63860" w:rsidRPr="00C63860">
        <w:rPr>
          <w:rFonts w:asciiTheme="minorHAnsi" w:hAnsiTheme="minorHAnsi" w:cstheme="minorHAnsi"/>
        </w:rPr>
        <w:t xml:space="preserve"> </w:t>
      </w:r>
      <w:r w:rsidRPr="00C63860">
        <w:rPr>
          <w:rFonts w:asciiTheme="minorHAnsi" w:hAnsiTheme="minorHAnsi" w:cstheme="minorHAnsi"/>
        </w:rPr>
        <w:t>You can find out more about the background to this citation here:</w:t>
      </w:r>
      <w:r w:rsidR="00C63860" w:rsidRPr="00C63860">
        <w:rPr>
          <w:rFonts w:asciiTheme="minorHAnsi" w:hAnsiTheme="minorHAnsi" w:cstheme="minorHAnsi"/>
        </w:rPr>
        <w:t xml:space="preserve"> </w:t>
      </w:r>
      <w:r w:rsidRPr="00C63860">
        <w:rPr>
          <w:rFonts w:asciiTheme="minorHAnsi" w:hAnsiTheme="minorHAnsi" w:cstheme="minorHAnsi"/>
          <w:i/>
          <w:iCs/>
          <w:color w:val="193E72"/>
          <w:u w:val="single"/>
        </w:rPr>
        <w:t>https://understandingpatientdata.org.uk/data-citation</w:t>
      </w:r>
      <w:r w:rsidR="00C63860" w:rsidRPr="00C63860">
        <w:rPr>
          <w:rFonts w:asciiTheme="minorHAnsi" w:hAnsiTheme="minorHAnsi" w:cstheme="minorHAnsi"/>
          <w:i/>
          <w:iCs/>
        </w:rPr>
        <w:t xml:space="preserve"> </w:t>
      </w:r>
    </w:p>
    <w:p w14:paraId="7B9D3C04" w14:textId="1FDD1542" w:rsidR="00470AE4" w:rsidRPr="00C63860" w:rsidRDefault="00470AE4" w:rsidP="00455F64">
      <w:pPr>
        <w:spacing w:before="240" w:after="240" w:line="276" w:lineRule="auto"/>
      </w:pPr>
      <w:r w:rsidRPr="00C63860">
        <w:rPr>
          <w:rFonts w:asciiTheme="minorHAnsi" w:hAnsiTheme="minorHAnsi" w:cstheme="minorHAnsi"/>
          <w:color w:val="000000" w:themeColor="text1"/>
        </w:rPr>
        <w:t>Information about the ESORT</w:t>
      </w:r>
      <w:r w:rsidR="00C63860" w:rsidRPr="00C63860">
        <w:rPr>
          <w:rFonts w:asciiTheme="minorHAnsi" w:hAnsiTheme="minorHAnsi" w:cstheme="minorHAnsi"/>
          <w:color w:val="00B0F0"/>
        </w:rPr>
        <w:t>’</w:t>
      </w:r>
      <w:r w:rsidRPr="00C63860">
        <w:rPr>
          <w:rFonts w:asciiTheme="minorHAnsi" w:hAnsiTheme="minorHAnsi" w:cstheme="minorHAnsi"/>
          <w:color w:val="000000" w:themeColor="text1"/>
        </w:rPr>
        <w:t>s study</w:t>
      </w:r>
      <w:r w:rsidR="00C63860" w:rsidRPr="00C63860">
        <w:rPr>
          <w:rFonts w:asciiTheme="minorHAnsi" w:hAnsiTheme="minorHAnsi" w:cstheme="minorHAnsi"/>
          <w:color w:val="00B0F0"/>
        </w:rPr>
        <w:t>’</w:t>
      </w:r>
      <w:r w:rsidRPr="00C63860">
        <w:rPr>
          <w:rFonts w:asciiTheme="minorHAnsi" w:hAnsiTheme="minorHAnsi" w:cstheme="minorHAnsi"/>
          <w:color w:val="000000" w:themeColor="text1"/>
        </w:rPr>
        <w:t xml:space="preserve">s use of </w:t>
      </w:r>
      <w:r w:rsidRPr="00C63860">
        <w:rPr>
          <w:rFonts w:asciiTheme="minorHAnsi" w:hAnsiTheme="minorHAnsi" w:cstheme="minorHAnsi"/>
          <w:color w:val="000000" w:themeColor="text1"/>
          <w:highlight w:val="magenta"/>
        </w:rPr>
        <w:t>data</w:t>
      </w:r>
      <w:r w:rsidRPr="00C63860">
        <w:rPr>
          <w:rFonts w:asciiTheme="minorHAnsi" w:hAnsiTheme="minorHAnsi" w:cstheme="minorHAnsi"/>
          <w:color w:val="000000" w:themeColor="text1"/>
        </w:rPr>
        <w:t xml:space="preserve"> and privacy statements are available here:</w:t>
      </w:r>
      <w:r w:rsidRPr="00C63860">
        <w:rPr>
          <w:rFonts w:ascii="Lato" w:hAnsi="Lato"/>
        </w:rPr>
        <w:t xml:space="preserve"> </w:t>
      </w:r>
      <w:r w:rsidRPr="00C63860">
        <w:rPr>
          <w:color w:val="0563C1" w:themeColor="hyperlink"/>
          <w:u w:val="single"/>
        </w:rPr>
        <w:t>https://www.lshtm.ac.uk/research/centres-projects-groups/esort#privacy</w:t>
      </w:r>
      <w:r w:rsidRPr="00C63860">
        <w:t xml:space="preserve">. </w:t>
      </w:r>
    </w:p>
    <w:p w14:paraId="43511103" w14:textId="4FC3391F" w:rsidR="00C63860" w:rsidRPr="00C63860" w:rsidRDefault="69488979" w:rsidP="00455F64">
      <w:pPr>
        <w:spacing w:before="240" w:after="240" w:line="276" w:lineRule="auto"/>
        <w:rPr>
          <w:rFonts w:asciiTheme="minorHAnsi" w:hAnsiTheme="minorHAnsi" w:cstheme="minorBidi"/>
          <w:color w:val="000000" w:themeColor="text1"/>
        </w:rPr>
      </w:pPr>
      <w:r w:rsidRPr="00C63860">
        <w:rPr>
          <w:rFonts w:asciiTheme="minorHAnsi" w:hAnsiTheme="minorHAnsi" w:cstheme="minorBidi"/>
          <w:color w:val="000000" w:themeColor="text1"/>
        </w:rPr>
        <w:t xml:space="preserve">All </w:t>
      </w:r>
      <w:r w:rsidRPr="00C63860">
        <w:rPr>
          <w:rFonts w:asciiTheme="minorHAnsi" w:hAnsiTheme="minorHAnsi" w:cstheme="minorBidi"/>
          <w:color w:val="000000" w:themeColor="text1"/>
          <w:highlight w:val="magenta"/>
        </w:rPr>
        <w:t>data</w:t>
      </w:r>
      <w:r w:rsidRPr="00C63860">
        <w:rPr>
          <w:rFonts w:asciiTheme="minorHAnsi" w:hAnsiTheme="minorHAnsi" w:cstheme="minorBidi"/>
          <w:color w:val="000000" w:themeColor="text1"/>
        </w:rPr>
        <w:t xml:space="preserve"> requests should be submitted to the corresponding author for consideration.</w:t>
      </w:r>
      <w:r w:rsidR="00C63860" w:rsidRPr="00C63860">
        <w:rPr>
          <w:rFonts w:asciiTheme="minorHAnsi" w:hAnsiTheme="minorHAnsi" w:cstheme="minorBidi"/>
          <w:color w:val="000000" w:themeColor="text1"/>
        </w:rPr>
        <w:t xml:space="preserve"> </w:t>
      </w:r>
      <w:r w:rsidRPr="00C63860">
        <w:rPr>
          <w:rFonts w:asciiTheme="minorHAnsi" w:hAnsiTheme="minorHAnsi" w:cstheme="minorBidi"/>
          <w:color w:val="000000" w:themeColor="text1"/>
        </w:rPr>
        <w:t xml:space="preserve">Access to available anonymised </w:t>
      </w:r>
      <w:r w:rsidR="1DF06D99" w:rsidRPr="00C63860">
        <w:rPr>
          <w:rFonts w:asciiTheme="minorHAnsi" w:hAnsiTheme="minorHAnsi" w:cstheme="minorBidi"/>
          <w:color w:val="000000" w:themeColor="text1"/>
        </w:rPr>
        <w:t xml:space="preserve">or </w:t>
      </w:r>
      <w:r w:rsidR="0B3E9C0B" w:rsidRPr="00C63860">
        <w:rPr>
          <w:rFonts w:asciiTheme="minorHAnsi" w:hAnsiTheme="minorHAnsi" w:cstheme="minorBidi"/>
          <w:color w:val="000000" w:themeColor="text1"/>
        </w:rPr>
        <w:t xml:space="preserve">aggregated </w:t>
      </w:r>
      <w:r w:rsidR="0B3E9C0B" w:rsidRPr="00C63860">
        <w:rPr>
          <w:rFonts w:asciiTheme="minorHAnsi" w:hAnsiTheme="minorHAnsi" w:cstheme="minorBidi"/>
          <w:color w:val="000000" w:themeColor="text1"/>
          <w:highlight w:val="magenta"/>
        </w:rPr>
        <w:t>data</w:t>
      </w:r>
      <w:r w:rsidR="0B3E9C0B" w:rsidRPr="00C63860">
        <w:rPr>
          <w:rFonts w:asciiTheme="minorHAnsi" w:hAnsiTheme="minorHAnsi" w:cstheme="minorBidi"/>
          <w:color w:val="000000" w:themeColor="text1"/>
        </w:rPr>
        <w:t xml:space="preserve"> </w:t>
      </w:r>
      <w:r w:rsidRPr="00C63860">
        <w:rPr>
          <w:rFonts w:asciiTheme="minorHAnsi" w:hAnsiTheme="minorHAnsi" w:cstheme="minorBidi"/>
          <w:color w:val="000000" w:themeColor="text1"/>
        </w:rPr>
        <w:t xml:space="preserve">may be granted following review </w:t>
      </w:r>
      <w:r w:rsidR="0B3E9C0B" w:rsidRPr="00C63860">
        <w:rPr>
          <w:rFonts w:asciiTheme="minorHAnsi" w:hAnsiTheme="minorHAnsi" w:cstheme="minorBidi"/>
          <w:color w:val="000000" w:themeColor="text1"/>
        </w:rPr>
        <w:t xml:space="preserve">and </w:t>
      </w:r>
      <w:r w:rsidR="3BE09213" w:rsidRPr="00C63860">
        <w:rPr>
          <w:rFonts w:asciiTheme="minorHAnsi" w:hAnsiTheme="minorHAnsi" w:cstheme="minorBidi"/>
          <w:color w:val="000000" w:themeColor="text1"/>
        </w:rPr>
        <w:t xml:space="preserve">is </w:t>
      </w:r>
      <w:r w:rsidR="0B3E9C0B" w:rsidRPr="00C63860">
        <w:rPr>
          <w:rFonts w:asciiTheme="minorHAnsi" w:hAnsiTheme="minorHAnsi" w:cstheme="minorBidi"/>
          <w:color w:val="000000" w:themeColor="text1"/>
        </w:rPr>
        <w:t xml:space="preserve">subject to </w:t>
      </w:r>
      <w:r w:rsidR="0B3E9C0B" w:rsidRPr="00C63860">
        <w:rPr>
          <w:rFonts w:asciiTheme="minorHAnsi" w:hAnsiTheme="minorHAnsi" w:cstheme="minorBidi"/>
          <w:color w:val="000000" w:themeColor="text1"/>
          <w:highlight w:val="magenta"/>
        </w:rPr>
        <w:t>Data</w:t>
      </w:r>
      <w:r w:rsidR="0B3E9C0B" w:rsidRPr="00C63860">
        <w:rPr>
          <w:rFonts w:asciiTheme="minorHAnsi" w:hAnsiTheme="minorHAnsi" w:cstheme="minorBidi"/>
          <w:color w:val="000000" w:themeColor="text1"/>
        </w:rPr>
        <w:t xml:space="preserve"> Sharing Agreement NI</w:t>
      </w:r>
      <w:r w:rsidR="00C63860" w:rsidRPr="00C63860">
        <w:rPr>
          <w:rFonts w:asciiTheme="minorHAnsi" w:hAnsiTheme="minorHAnsi" w:cstheme="minorBidi"/>
          <w:color w:val="00B0F0"/>
        </w:rPr>
        <w:t>C-1</w:t>
      </w:r>
      <w:r w:rsidR="0B3E9C0B" w:rsidRPr="00C63860">
        <w:rPr>
          <w:rFonts w:asciiTheme="minorHAnsi" w:hAnsiTheme="minorHAnsi" w:cstheme="minorBidi"/>
          <w:color w:val="000000" w:themeColor="text1"/>
        </w:rPr>
        <w:t xml:space="preserve">85179 </w:t>
      </w:r>
      <w:r w:rsidR="74BB61CB" w:rsidRPr="00C63860">
        <w:rPr>
          <w:rFonts w:asciiTheme="minorHAnsi" w:hAnsiTheme="minorHAnsi" w:cstheme="minorBidi"/>
          <w:color w:val="000000" w:themeColor="text1"/>
        </w:rPr>
        <w:t>which expires on</w:t>
      </w:r>
      <w:r w:rsidR="0B3E9C0B" w:rsidRPr="00C63860">
        <w:rPr>
          <w:rFonts w:asciiTheme="minorHAnsi" w:hAnsiTheme="minorHAnsi" w:cstheme="minorBidi"/>
          <w:color w:val="000000" w:themeColor="text1"/>
        </w:rPr>
        <w:t xml:space="preserve"> </w:t>
      </w:r>
      <w:r w:rsidR="00C63860" w:rsidRPr="00C63860">
        <w:rPr>
          <w:rFonts w:asciiTheme="minorHAnsi" w:hAnsiTheme="minorHAnsi" w:cstheme="minorBidi"/>
          <w:color w:val="00B0F0"/>
        </w:rPr>
        <w:t>1st</w:t>
      </w:r>
      <w:r w:rsidR="0B3E9C0B" w:rsidRPr="00C63860">
        <w:rPr>
          <w:rFonts w:asciiTheme="minorHAnsi" w:hAnsiTheme="minorHAnsi" w:cstheme="minorBidi"/>
          <w:color w:val="000000" w:themeColor="text1"/>
        </w:rPr>
        <w:t xml:space="preserve"> November 2023.</w:t>
      </w:r>
    </w:p>
    <w:p w14:paraId="02E0C297" w14:textId="77777777" w:rsidR="00C63860" w:rsidRPr="00C63860" w:rsidRDefault="00470AE4" w:rsidP="00D66487">
      <w:pPr>
        <w:pStyle w:val="Heading1"/>
      </w:pPr>
      <w:bookmarkStart w:id="102" w:name="_Toc86673003"/>
      <w:r w:rsidRPr="00C63860">
        <w:t>Appendix 1</w:t>
      </w:r>
      <w:r w:rsidR="00D66487" w:rsidRPr="00C63860">
        <w:t>: Diagnostic subcategories included in the cohorts</w:t>
      </w:r>
      <w:bookmarkEnd w:id="102"/>
    </w:p>
    <w:p w14:paraId="18113951" w14:textId="2495D1A5" w:rsidR="00470AE4" w:rsidRPr="00C63860" w:rsidRDefault="00C63860" w:rsidP="009817BB">
      <w:pPr>
        <w:pStyle w:val="Caption"/>
        <w:rPr>
          <w:rFonts w:asciiTheme="minorHAnsi" w:hAnsiTheme="minorHAnsi" w:cstheme="minorHAnsi"/>
          <w:b/>
          <w:bCs/>
          <w:color w:val="auto"/>
          <w:sz w:val="22"/>
          <w:szCs w:val="22"/>
          <w:highlight w:val="yellow"/>
        </w:rPr>
      </w:pPr>
      <w:bookmarkStart w:id="103" w:name="_Toc86670793"/>
      <w:r w:rsidRPr="00C63860">
        <w:rPr>
          <w:b/>
          <w:bCs/>
          <w:color w:val="FF0000"/>
          <w:sz w:val="22"/>
          <w:szCs w:val="22"/>
        </w:rPr>
        <w:t xml:space="preserve">Table </w:t>
      </w:r>
      <w:r w:rsidRPr="00C63860">
        <w:rPr>
          <w:b/>
          <w:bCs/>
          <w:noProof/>
          <w:color w:val="FF0000"/>
          <w:sz w:val="22"/>
          <w:szCs w:val="22"/>
        </w:rPr>
        <w:t>21</w:t>
      </w:r>
      <w:r w:rsidR="00EF6699" w:rsidRPr="00C63860">
        <w:rPr>
          <w:b/>
          <w:bCs/>
          <w:color w:val="auto"/>
          <w:sz w:val="22"/>
          <w:szCs w:val="22"/>
        </w:rPr>
        <w:t>: Diagnostic subcategories included in the cohorts</w:t>
      </w:r>
      <w:bookmarkStart w:id="104" w:name="_Hlk72780514"/>
      <w:bookmarkEnd w:id="10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708"/>
        <w:gridCol w:w="729"/>
        <w:gridCol w:w="5381"/>
        <w:gridCol w:w="1208"/>
      </w:tblGrid>
      <w:tr w:rsidR="00470AE4" w:rsidRPr="00C63860" w14:paraId="0A764EE8" w14:textId="77777777" w:rsidTr="00C63860">
        <w:trPr>
          <w:cantSplit/>
        </w:trPr>
        <w:tc>
          <w:tcPr>
            <w:tcW w:w="0" w:type="auto"/>
            <w:hideMark/>
          </w:tcPr>
          <w:bookmarkEnd w:id="104"/>
          <w:p w14:paraId="67D090B2" w14:textId="77777777" w:rsidR="00470AE4" w:rsidRPr="00C63860" w:rsidRDefault="00470AE4" w:rsidP="00470AE4">
            <w:pPr>
              <w:rPr>
                <w:rFonts w:asciiTheme="minorHAnsi" w:hAnsiTheme="minorHAnsi" w:cstheme="minorBidi"/>
                <w:b/>
                <w:bCs/>
              </w:rPr>
            </w:pPr>
            <w:r w:rsidRPr="00C63860">
              <w:rPr>
                <w:b/>
                <w:bCs/>
              </w:rPr>
              <w:t>Condition</w:t>
            </w:r>
          </w:p>
        </w:tc>
        <w:tc>
          <w:tcPr>
            <w:tcW w:w="0" w:type="auto"/>
            <w:hideMark/>
          </w:tcPr>
          <w:p w14:paraId="474BE650" w14:textId="3D2D90FA" w:rsidR="00470AE4" w:rsidRPr="00C63860" w:rsidRDefault="00470AE4" w:rsidP="00470AE4">
            <w:pPr>
              <w:rPr>
                <w:b/>
                <w:bCs/>
              </w:rPr>
            </w:pPr>
            <w:r w:rsidRPr="00C63860">
              <w:rPr>
                <w:b/>
                <w:bCs/>
              </w:rPr>
              <w:t>IC</w:t>
            </w:r>
            <w:r w:rsidR="00C63860" w:rsidRPr="00C63860">
              <w:rPr>
                <w:b/>
                <w:bCs/>
                <w:color w:val="00B0F0"/>
              </w:rPr>
              <w:t>D-1</w:t>
            </w:r>
            <w:r w:rsidRPr="00C63860">
              <w:rPr>
                <w:b/>
                <w:bCs/>
              </w:rPr>
              <w:t>0</w:t>
            </w:r>
          </w:p>
        </w:tc>
        <w:tc>
          <w:tcPr>
            <w:tcW w:w="0" w:type="auto"/>
            <w:hideMark/>
          </w:tcPr>
          <w:p w14:paraId="45CF693F" w14:textId="77777777" w:rsidR="00470AE4" w:rsidRPr="00C63860" w:rsidRDefault="00470AE4" w:rsidP="00470AE4">
            <w:pPr>
              <w:rPr>
                <w:b/>
                <w:bCs/>
              </w:rPr>
            </w:pPr>
            <w:r w:rsidRPr="00C63860">
              <w:rPr>
                <w:b/>
                <w:bCs/>
              </w:rPr>
              <w:t>Description</w:t>
            </w:r>
          </w:p>
        </w:tc>
        <w:tc>
          <w:tcPr>
            <w:tcW w:w="0" w:type="auto"/>
            <w:hideMark/>
          </w:tcPr>
          <w:p w14:paraId="41057C17" w14:textId="77777777" w:rsidR="00470AE4" w:rsidRPr="00C63860" w:rsidRDefault="00470AE4" w:rsidP="00470AE4">
            <w:pPr>
              <w:jc w:val="center"/>
              <w:rPr>
                <w:b/>
                <w:bCs/>
              </w:rPr>
            </w:pPr>
            <w:r w:rsidRPr="00C63860">
              <w:rPr>
                <w:b/>
                <w:bCs/>
              </w:rPr>
              <w:t>N (%)</w:t>
            </w:r>
          </w:p>
        </w:tc>
      </w:tr>
      <w:tr w:rsidR="00470AE4" w:rsidRPr="00C63860" w14:paraId="766A54C8" w14:textId="77777777" w:rsidTr="00C63860">
        <w:trPr>
          <w:cantSplit/>
        </w:trPr>
        <w:tc>
          <w:tcPr>
            <w:tcW w:w="0" w:type="auto"/>
            <w:vMerge w:val="restart"/>
            <w:hideMark/>
          </w:tcPr>
          <w:p w14:paraId="77BDD7DF" w14:textId="77777777" w:rsidR="00470AE4" w:rsidRPr="00C63860" w:rsidRDefault="00470AE4" w:rsidP="00470AE4">
            <w:r w:rsidRPr="00C63860">
              <w:t>Appendicitis</w:t>
            </w:r>
          </w:p>
        </w:tc>
        <w:tc>
          <w:tcPr>
            <w:tcW w:w="0" w:type="auto"/>
            <w:hideMark/>
          </w:tcPr>
          <w:p w14:paraId="490F6BB0" w14:textId="77777777" w:rsidR="00470AE4" w:rsidRPr="00C63860" w:rsidRDefault="00470AE4" w:rsidP="00470AE4">
            <w:r w:rsidRPr="00C63860">
              <w:t>K35</w:t>
            </w:r>
          </w:p>
        </w:tc>
        <w:tc>
          <w:tcPr>
            <w:tcW w:w="0" w:type="auto"/>
            <w:hideMark/>
          </w:tcPr>
          <w:p w14:paraId="6FA32B82" w14:textId="77777777" w:rsidR="00470AE4" w:rsidRPr="00C63860" w:rsidRDefault="00470AE4" w:rsidP="00470AE4">
            <w:r w:rsidRPr="00C63860">
              <w:t>Acute appendicitis</w:t>
            </w:r>
          </w:p>
        </w:tc>
        <w:tc>
          <w:tcPr>
            <w:tcW w:w="0" w:type="auto"/>
            <w:hideMark/>
          </w:tcPr>
          <w:p w14:paraId="61C8FBA2" w14:textId="77777777" w:rsidR="00470AE4" w:rsidRPr="00C63860" w:rsidRDefault="00470AE4" w:rsidP="00470AE4">
            <w:pPr>
              <w:jc w:val="center"/>
            </w:pPr>
            <w:r w:rsidRPr="00C63860">
              <w:t>14,794 (5.5)</w:t>
            </w:r>
          </w:p>
        </w:tc>
      </w:tr>
      <w:tr w:rsidR="00470AE4" w:rsidRPr="00C63860" w14:paraId="6D5E2969" w14:textId="77777777" w:rsidTr="00C63860">
        <w:trPr>
          <w:cantSplit/>
        </w:trPr>
        <w:tc>
          <w:tcPr>
            <w:tcW w:w="0" w:type="auto"/>
            <w:vMerge/>
            <w:vAlign w:val="center"/>
            <w:hideMark/>
          </w:tcPr>
          <w:p w14:paraId="6843822D" w14:textId="77777777" w:rsidR="00470AE4" w:rsidRPr="00C63860" w:rsidRDefault="00470AE4" w:rsidP="00470AE4"/>
        </w:tc>
        <w:tc>
          <w:tcPr>
            <w:tcW w:w="0" w:type="auto"/>
            <w:hideMark/>
          </w:tcPr>
          <w:p w14:paraId="00E5EC91" w14:textId="77777777" w:rsidR="00470AE4" w:rsidRPr="00C63860" w:rsidRDefault="00470AE4" w:rsidP="00470AE4">
            <w:r w:rsidRPr="00C63860">
              <w:t>K35.2</w:t>
            </w:r>
          </w:p>
        </w:tc>
        <w:tc>
          <w:tcPr>
            <w:tcW w:w="0" w:type="auto"/>
            <w:hideMark/>
          </w:tcPr>
          <w:p w14:paraId="0FB11F97" w14:textId="30BCEC26" w:rsidR="00470AE4" w:rsidRPr="00C63860" w:rsidRDefault="00470AE4" w:rsidP="00470AE4">
            <w:r w:rsidRPr="00C63860">
              <w:t xml:space="preserve">Acute appendicitis with </w:t>
            </w:r>
            <w:r w:rsidR="00C63860" w:rsidRPr="00C63860">
              <w:rPr>
                <w:color w:val="00B0F0"/>
              </w:rPr>
              <w:t>generalised</w:t>
            </w:r>
            <w:r w:rsidRPr="00C63860">
              <w:t xml:space="preserve"> peritonitis </w:t>
            </w:r>
          </w:p>
        </w:tc>
        <w:tc>
          <w:tcPr>
            <w:tcW w:w="0" w:type="auto"/>
            <w:hideMark/>
          </w:tcPr>
          <w:p w14:paraId="19159E14" w14:textId="77777777" w:rsidR="00470AE4" w:rsidRPr="00C63860" w:rsidRDefault="00470AE4" w:rsidP="00470AE4">
            <w:pPr>
              <w:jc w:val="center"/>
            </w:pPr>
            <w:r w:rsidRPr="00C63860">
              <w:t>10,475 (3.9)</w:t>
            </w:r>
          </w:p>
        </w:tc>
      </w:tr>
      <w:tr w:rsidR="00470AE4" w:rsidRPr="00C63860" w14:paraId="789C03E3" w14:textId="77777777" w:rsidTr="00C63860">
        <w:trPr>
          <w:cantSplit/>
        </w:trPr>
        <w:tc>
          <w:tcPr>
            <w:tcW w:w="0" w:type="auto"/>
            <w:vMerge/>
            <w:vAlign w:val="center"/>
            <w:hideMark/>
          </w:tcPr>
          <w:p w14:paraId="506795EB" w14:textId="77777777" w:rsidR="00470AE4" w:rsidRPr="00C63860" w:rsidRDefault="00470AE4" w:rsidP="00470AE4"/>
        </w:tc>
        <w:tc>
          <w:tcPr>
            <w:tcW w:w="0" w:type="auto"/>
            <w:hideMark/>
          </w:tcPr>
          <w:p w14:paraId="30EF48D7" w14:textId="77777777" w:rsidR="00470AE4" w:rsidRPr="00C63860" w:rsidRDefault="00470AE4" w:rsidP="00470AE4">
            <w:r w:rsidRPr="00C63860">
              <w:t>K35.3</w:t>
            </w:r>
          </w:p>
        </w:tc>
        <w:tc>
          <w:tcPr>
            <w:tcW w:w="0" w:type="auto"/>
            <w:hideMark/>
          </w:tcPr>
          <w:p w14:paraId="66CA2C3B" w14:textId="037FDD58" w:rsidR="00470AE4" w:rsidRPr="00C63860" w:rsidRDefault="00470AE4" w:rsidP="00470AE4">
            <w:r w:rsidRPr="00C63860">
              <w:t xml:space="preserve">Acute appendicitis with </w:t>
            </w:r>
            <w:r w:rsidR="00C63860" w:rsidRPr="00C63860">
              <w:rPr>
                <w:color w:val="00B0F0"/>
              </w:rPr>
              <w:t>localised</w:t>
            </w:r>
            <w:r w:rsidRPr="00C63860">
              <w:t xml:space="preserve"> peritonitis</w:t>
            </w:r>
          </w:p>
        </w:tc>
        <w:tc>
          <w:tcPr>
            <w:tcW w:w="0" w:type="auto"/>
            <w:hideMark/>
          </w:tcPr>
          <w:p w14:paraId="750FC240" w14:textId="77777777" w:rsidR="00470AE4" w:rsidRPr="00C63860" w:rsidRDefault="00470AE4" w:rsidP="00470AE4">
            <w:pPr>
              <w:jc w:val="center"/>
            </w:pPr>
            <w:r w:rsidRPr="00C63860">
              <w:t>59,434 (22.2)</w:t>
            </w:r>
          </w:p>
        </w:tc>
      </w:tr>
      <w:tr w:rsidR="00470AE4" w:rsidRPr="00C63860" w14:paraId="53C1FE58" w14:textId="77777777" w:rsidTr="00C63860">
        <w:trPr>
          <w:cantSplit/>
        </w:trPr>
        <w:tc>
          <w:tcPr>
            <w:tcW w:w="0" w:type="auto"/>
            <w:vMerge/>
            <w:vAlign w:val="center"/>
            <w:hideMark/>
          </w:tcPr>
          <w:p w14:paraId="144E1860" w14:textId="77777777" w:rsidR="00470AE4" w:rsidRPr="00C63860" w:rsidRDefault="00470AE4" w:rsidP="00470AE4"/>
        </w:tc>
        <w:tc>
          <w:tcPr>
            <w:tcW w:w="0" w:type="auto"/>
            <w:hideMark/>
          </w:tcPr>
          <w:p w14:paraId="1309C690" w14:textId="77777777" w:rsidR="00470AE4" w:rsidRPr="00C63860" w:rsidRDefault="00470AE4" w:rsidP="00470AE4">
            <w:r w:rsidRPr="00C63860">
              <w:t>K35.8</w:t>
            </w:r>
          </w:p>
        </w:tc>
        <w:tc>
          <w:tcPr>
            <w:tcW w:w="0" w:type="auto"/>
            <w:hideMark/>
          </w:tcPr>
          <w:p w14:paraId="791331D0" w14:textId="77777777" w:rsidR="00470AE4" w:rsidRPr="00C63860" w:rsidRDefault="00470AE4" w:rsidP="00470AE4">
            <w:r w:rsidRPr="00C63860">
              <w:t>Acute appendicitis, other and unspecified</w:t>
            </w:r>
          </w:p>
        </w:tc>
        <w:tc>
          <w:tcPr>
            <w:tcW w:w="0" w:type="auto"/>
            <w:hideMark/>
          </w:tcPr>
          <w:p w14:paraId="706AFEE8" w14:textId="77777777" w:rsidR="00470AE4" w:rsidRPr="00C63860" w:rsidRDefault="00470AE4" w:rsidP="00470AE4">
            <w:pPr>
              <w:jc w:val="center"/>
            </w:pPr>
            <w:r w:rsidRPr="00C63860">
              <w:t>147,081 (54.9)</w:t>
            </w:r>
          </w:p>
        </w:tc>
      </w:tr>
      <w:tr w:rsidR="00470AE4" w:rsidRPr="00C63860" w14:paraId="39E53A54" w14:textId="77777777" w:rsidTr="00C63860">
        <w:trPr>
          <w:cantSplit/>
        </w:trPr>
        <w:tc>
          <w:tcPr>
            <w:tcW w:w="0" w:type="auto"/>
            <w:vMerge/>
            <w:vAlign w:val="center"/>
            <w:hideMark/>
          </w:tcPr>
          <w:p w14:paraId="54475DBE" w14:textId="77777777" w:rsidR="00470AE4" w:rsidRPr="00C63860" w:rsidRDefault="00470AE4" w:rsidP="00470AE4"/>
        </w:tc>
        <w:tc>
          <w:tcPr>
            <w:tcW w:w="0" w:type="auto"/>
            <w:hideMark/>
          </w:tcPr>
          <w:p w14:paraId="50E431D1" w14:textId="77777777" w:rsidR="00470AE4" w:rsidRPr="00C63860" w:rsidRDefault="00470AE4" w:rsidP="00470AE4">
            <w:r w:rsidRPr="00C63860">
              <w:t>K37</w:t>
            </w:r>
          </w:p>
        </w:tc>
        <w:tc>
          <w:tcPr>
            <w:tcW w:w="0" w:type="auto"/>
            <w:hideMark/>
          </w:tcPr>
          <w:p w14:paraId="5D57F910" w14:textId="77777777" w:rsidR="00470AE4" w:rsidRPr="00C63860" w:rsidRDefault="00470AE4" w:rsidP="00470AE4">
            <w:r w:rsidRPr="00C63860">
              <w:t>Unspecified appendicitis</w:t>
            </w:r>
          </w:p>
        </w:tc>
        <w:tc>
          <w:tcPr>
            <w:tcW w:w="0" w:type="auto"/>
            <w:hideMark/>
          </w:tcPr>
          <w:p w14:paraId="12FAC85C" w14:textId="77777777" w:rsidR="00470AE4" w:rsidRPr="00C63860" w:rsidRDefault="00470AE4" w:rsidP="00470AE4">
            <w:pPr>
              <w:jc w:val="center"/>
            </w:pPr>
            <w:r w:rsidRPr="00C63860">
              <w:t>36,360 (13.6)</w:t>
            </w:r>
          </w:p>
        </w:tc>
      </w:tr>
      <w:tr w:rsidR="00470AE4" w:rsidRPr="00C63860" w14:paraId="1A2AC52E" w14:textId="77777777" w:rsidTr="00C63860">
        <w:trPr>
          <w:cantSplit/>
        </w:trPr>
        <w:tc>
          <w:tcPr>
            <w:tcW w:w="0" w:type="auto"/>
          </w:tcPr>
          <w:p w14:paraId="29FB783E" w14:textId="77777777" w:rsidR="00470AE4" w:rsidRPr="00C63860" w:rsidRDefault="00470AE4" w:rsidP="00470AE4">
            <w:pPr>
              <w:rPr>
                <w:sz w:val="4"/>
                <w:szCs w:val="4"/>
              </w:rPr>
            </w:pPr>
          </w:p>
        </w:tc>
        <w:tc>
          <w:tcPr>
            <w:tcW w:w="0" w:type="auto"/>
          </w:tcPr>
          <w:p w14:paraId="2F40A031" w14:textId="77777777" w:rsidR="00470AE4" w:rsidRPr="00C63860" w:rsidRDefault="00470AE4" w:rsidP="00470AE4">
            <w:pPr>
              <w:rPr>
                <w:sz w:val="4"/>
                <w:szCs w:val="4"/>
              </w:rPr>
            </w:pPr>
          </w:p>
        </w:tc>
        <w:tc>
          <w:tcPr>
            <w:tcW w:w="0" w:type="auto"/>
          </w:tcPr>
          <w:p w14:paraId="5D4E3E15" w14:textId="77777777" w:rsidR="00470AE4" w:rsidRPr="00C63860" w:rsidRDefault="00470AE4" w:rsidP="00470AE4">
            <w:pPr>
              <w:rPr>
                <w:sz w:val="4"/>
                <w:szCs w:val="4"/>
              </w:rPr>
            </w:pPr>
          </w:p>
        </w:tc>
        <w:tc>
          <w:tcPr>
            <w:tcW w:w="0" w:type="auto"/>
          </w:tcPr>
          <w:p w14:paraId="1DB09402" w14:textId="77777777" w:rsidR="00470AE4" w:rsidRPr="00C63860" w:rsidRDefault="00470AE4" w:rsidP="00470AE4">
            <w:pPr>
              <w:jc w:val="center"/>
              <w:rPr>
                <w:sz w:val="4"/>
                <w:szCs w:val="4"/>
              </w:rPr>
            </w:pPr>
          </w:p>
        </w:tc>
      </w:tr>
      <w:tr w:rsidR="00470AE4" w:rsidRPr="00C63860" w14:paraId="1822E295" w14:textId="77777777" w:rsidTr="00C63860">
        <w:trPr>
          <w:cantSplit/>
        </w:trPr>
        <w:tc>
          <w:tcPr>
            <w:tcW w:w="0" w:type="auto"/>
            <w:vMerge w:val="restart"/>
            <w:hideMark/>
          </w:tcPr>
          <w:p w14:paraId="75DB2EE1" w14:textId="77777777" w:rsidR="00470AE4" w:rsidRPr="00C63860" w:rsidRDefault="00470AE4" w:rsidP="00470AE4">
            <w:r w:rsidRPr="00C63860">
              <w:t>Diverticular disease</w:t>
            </w:r>
          </w:p>
        </w:tc>
        <w:tc>
          <w:tcPr>
            <w:tcW w:w="0" w:type="auto"/>
            <w:hideMark/>
          </w:tcPr>
          <w:p w14:paraId="74A25E47" w14:textId="77777777" w:rsidR="00470AE4" w:rsidRPr="00C63860" w:rsidRDefault="00470AE4" w:rsidP="00470AE4">
            <w:r w:rsidRPr="00C63860">
              <w:t>K57.2</w:t>
            </w:r>
          </w:p>
        </w:tc>
        <w:tc>
          <w:tcPr>
            <w:tcW w:w="0" w:type="auto"/>
            <w:hideMark/>
          </w:tcPr>
          <w:p w14:paraId="1407C368" w14:textId="77777777" w:rsidR="00470AE4" w:rsidRPr="00C63860" w:rsidRDefault="00470AE4" w:rsidP="00470AE4">
            <w:r w:rsidRPr="00C63860">
              <w:t xml:space="preserve">Diverticular disease of large intestine with perforation and abscess </w:t>
            </w:r>
          </w:p>
        </w:tc>
        <w:tc>
          <w:tcPr>
            <w:tcW w:w="0" w:type="auto"/>
            <w:hideMark/>
          </w:tcPr>
          <w:p w14:paraId="08E018C5" w14:textId="77777777" w:rsidR="00470AE4" w:rsidRPr="00C63860" w:rsidRDefault="00470AE4" w:rsidP="00470AE4">
            <w:pPr>
              <w:jc w:val="center"/>
            </w:pPr>
            <w:r w:rsidRPr="00C63860">
              <w:t>32,657 (23.5)</w:t>
            </w:r>
          </w:p>
        </w:tc>
      </w:tr>
      <w:tr w:rsidR="00470AE4" w:rsidRPr="00C63860" w14:paraId="6A1ACDA1" w14:textId="77777777" w:rsidTr="00C63860">
        <w:trPr>
          <w:cantSplit/>
        </w:trPr>
        <w:tc>
          <w:tcPr>
            <w:tcW w:w="0" w:type="auto"/>
            <w:vMerge/>
            <w:vAlign w:val="center"/>
            <w:hideMark/>
          </w:tcPr>
          <w:p w14:paraId="0D5B3DA2" w14:textId="77777777" w:rsidR="00470AE4" w:rsidRPr="00C63860" w:rsidRDefault="00470AE4" w:rsidP="00470AE4"/>
        </w:tc>
        <w:tc>
          <w:tcPr>
            <w:tcW w:w="0" w:type="auto"/>
            <w:hideMark/>
          </w:tcPr>
          <w:p w14:paraId="0058189E" w14:textId="77777777" w:rsidR="00470AE4" w:rsidRPr="00C63860" w:rsidRDefault="00470AE4" w:rsidP="00470AE4">
            <w:r w:rsidRPr="00C63860">
              <w:t>K57.3</w:t>
            </w:r>
          </w:p>
        </w:tc>
        <w:tc>
          <w:tcPr>
            <w:tcW w:w="0" w:type="auto"/>
            <w:hideMark/>
          </w:tcPr>
          <w:p w14:paraId="4EB511AE" w14:textId="77777777" w:rsidR="00470AE4" w:rsidRPr="00C63860" w:rsidRDefault="00470AE4" w:rsidP="00470AE4">
            <w:r w:rsidRPr="00C63860">
              <w:t xml:space="preserve">Diverticular disease of large intestine without perforation or abscess </w:t>
            </w:r>
          </w:p>
        </w:tc>
        <w:tc>
          <w:tcPr>
            <w:tcW w:w="0" w:type="auto"/>
            <w:hideMark/>
          </w:tcPr>
          <w:p w14:paraId="13742777" w14:textId="77777777" w:rsidR="00470AE4" w:rsidRPr="00C63860" w:rsidRDefault="00470AE4" w:rsidP="00470AE4">
            <w:pPr>
              <w:jc w:val="center"/>
            </w:pPr>
            <w:r w:rsidRPr="00C63860">
              <w:t>106,212 (76.5)</w:t>
            </w:r>
          </w:p>
        </w:tc>
      </w:tr>
      <w:tr w:rsidR="00470AE4" w:rsidRPr="00C63860" w14:paraId="2849AD34" w14:textId="77777777" w:rsidTr="00C63860">
        <w:trPr>
          <w:cantSplit/>
        </w:trPr>
        <w:tc>
          <w:tcPr>
            <w:tcW w:w="0" w:type="auto"/>
          </w:tcPr>
          <w:p w14:paraId="214F8BAE" w14:textId="77777777" w:rsidR="00470AE4" w:rsidRPr="00C63860" w:rsidRDefault="00470AE4" w:rsidP="00470AE4">
            <w:pPr>
              <w:rPr>
                <w:sz w:val="4"/>
                <w:szCs w:val="4"/>
              </w:rPr>
            </w:pPr>
          </w:p>
        </w:tc>
        <w:tc>
          <w:tcPr>
            <w:tcW w:w="0" w:type="auto"/>
          </w:tcPr>
          <w:p w14:paraId="03AE6529" w14:textId="77777777" w:rsidR="00470AE4" w:rsidRPr="00C63860" w:rsidRDefault="00470AE4" w:rsidP="00470AE4">
            <w:pPr>
              <w:rPr>
                <w:sz w:val="4"/>
                <w:szCs w:val="4"/>
              </w:rPr>
            </w:pPr>
          </w:p>
        </w:tc>
        <w:tc>
          <w:tcPr>
            <w:tcW w:w="0" w:type="auto"/>
          </w:tcPr>
          <w:p w14:paraId="546B8C4B" w14:textId="77777777" w:rsidR="00470AE4" w:rsidRPr="00C63860" w:rsidRDefault="00470AE4" w:rsidP="00470AE4">
            <w:pPr>
              <w:rPr>
                <w:sz w:val="4"/>
                <w:szCs w:val="4"/>
              </w:rPr>
            </w:pPr>
          </w:p>
        </w:tc>
        <w:tc>
          <w:tcPr>
            <w:tcW w:w="0" w:type="auto"/>
          </w:tcPr>
          <w:p w14:paraId="3CF1EE24" w14:textId="77777777" w:rsidR="00470AE4" w:rsidRPr="00C63860" w:rsidRDefault="00470AE4" w:rsidP="00470AE4">
            <w:pPr>
              <w:jc w:val="center"/>
              <w:rPr>
                <w:sz w:val="4"/>
                <w:szCs w:val="4"/>
              </w:rPr>
            </w:pPr>
          </w:p>
        </w:tc>
      </w:tr>
      <w:tr w:rsidR="00470AE4" w:rsidRPr="00C63860" w14:paraId="4C0A1B34" w14:textId="77777777" w:rsidTr="00C63860">
        <w:trPr>
          <w:cantSplit/>
        </w:trPr>
        <w:tc>
          <w:tcPr>
            <w:tcW w:w="0" w:type="auto"/>
            <w:vMerge w:val="restart"/>
            <w:hideMark/>
          </w:tcPr>
          <w:p w14:paraId="2D865A5D" w14:textId="77777777" w:rsidR="00470AE4" w:rsidRPr="00C63860" w:rsidRDefault="00470AE4" w:rsidP="00470AE4">
            <w:pPr>
              <w:rPr>
                <w:color w:val="000000"/>
              </w:rPr>
            </w:pPr>
            <w:r w:rsidRPr="00C63860">
              <w:t>Cholelithiasis</w:t>
            </w:r>
          </w:p>
        </w:tc>
        <w:tc>
          <w:tcPr>
            <w:tcW w:w="0" w:type="auto"/>
            <w:hideMark/>
          </w:tcPr>
          <w:p w14:paraId="16457DA6" w14:textId="77777777" w:rsidR="00470AE4" w:rsidRPr="00C63860" w:rsidRDefault="00470AE4" w:rsidP="00470AE4">
            <w:r w:rsidRPr="00C63860">
              <w:t>K80.0</w:t>
            </w:r>
          </w:p>
        </w:tc>
        <w:tc>
          <w:tcPr>
            <w:tcW w:w="0" w:type="auto"/>
            <w:hideMark/>
          </w:tcPr>
          <w:p w14:paraId="02F2174F" w14:textId="77777777" w:rsidR="00470AE4" w:rsidRPr="00C63860" w:rsidRDefault="00470AE4" w:rsidP="00470AE4">
            <w:r w:rsidRPr="00C63860">
              <w:t xml:space="preserve">Calculus of gallbladder with acute cholecystitis </w:t>
            </w:r>
          </w:p>
        </w:tc>
        <w:tc>
          <w:tcPr>
            <w:tcW w:w="0" w:type="auto"/>
            <w:hideMark/>
          </w:tcPr>
          <w:p w14:paraId="1C74E88D" w14:textId="77777777" w:rsidR="00470AE4" w:rsidRPr="00C63860" w:rsidRDefault="00470AE4" w:rsidP="00470AE4">
            <w:pPr>
              <w:jc w:val="center"/>
            </w:pPr>
            <w:r w:rsidRPr="00C63860">
              <w:t>86,878 (36.1)</w:t>
            </w:r>
          </w:p>
        </w:tc>
      </w:tr>
      <w:tr w:rsidR="00470AE4" w:rsidRPr="00C63860" w14:paraId="6F5B06DF" w14:textId="77777777" w:rsidTr="00C63860">
        <w:trPr>
          <w:cantSplit/>
        </w:trPr>
        <w:tc>
          <w:tcPr>
            <w:tcW w:w="0" w:type="auto"/>
            <w:vMerge/>
            <w:vAlign w:val="center"/>
            <w:hideMark/>
          </w:tcPr>
          <w:p w14:paraId="3AC26A4A" w14:textId="77777777" w:rsidR="00470AE4" w:rsidRPr="00C63860" w:rsidRDefault="00470AE4" w:rsidP="00470AE4">
            <w:pPr>
              <w:rPr>
                <w:color w:val="000000"/>
              </w:rPr>
            </w:pPr>
          </w:p>
        </w:tc>
        <w:tc>
          <w:tcPr>
            <w:tcW w:w="0" w:type="auto"/>
            <w:hideMark/>
          </w:tcPr>
          <w:p w14:paraId="4F746EE6" w14:textId="77777777" w:rsidR="00470AE4" w:rsidRPr="00C63860" w:rsidRDefault="00470AE4" w:rsidP="00470AE4">
            <w:r w:rsidRPr="00C63860">
              <w:t>K80.1</w:t>
            </w:r>
          </w:p>
        </w:tc>
        <w:tc>
          <w:tcPr>
            <w:tcW w:w="0" w:type="auto"/>
            <w:hideMark/>
          </w:tcPr>
          <w:p w14:paraId="40CF5B7A" w14:textId="77777777" w:rsidR="00470AE4" w:rsidRPr="00C63860" w:rsidRDefault="00470AE4" w:rsidP="00470AE4">
            <w:r w:rsidRPr="00C63860">
              <w:t xml:space="preserve">Calculus of gallbladder with other cholecystitis </w:t>
            </w:r>
          </w:p>
        </w:tc>
        <w:tc>
          <w:tcPr>
            <w:tcW w:w="0" w:type="auto"/>
            <w:hideMark/>
          </w:tcPr>
          <w:p w14:paraId="6DF51CB4" w14:textId="77777777" w:rsidR="00470AE4" w:rsidRPr="00C63860" w:rsidRDefault="00470AE4" w:rsidP="00470AE4">
            <w:pPr>
              <w:jc w:val="center"/>
            </w:pPr>
            <w:r w:rsidRPr="00C63860">
              <w:t>67,503 (28.0)</w:t>
            </w:r>
          </w:p>
        </w:tc>
      </w:tr>
      <w:tr w:rsidR="00470AE4" w:rsidRPr="00C63860" w14:paraId="1FCF62BB" w14:textId="77777777" w:rsidTr="00C63860">
        <w:trPr>
          <w:cantSplit/>
        </w:trPr>
        <w:tc>
          <w:tcPr>
            <w:tcW w:w="0" w:type="auto"/>
            <w:vMerge/>
            <w:vAlign w:val="center"/>
            <w:hideMark/>
          </w:tcPr>
          <w:p w14:paraId="12237EFE" w14:textId="77777777" w:rsidR="00470AE4" w:rsidRPr="00C63860" w:rsidRDefault="00470AE4" w:rsidP="00470AE4">
            <w:pPr>
              <w:rPr>
                <w:color w:val="000000"/>
              </w:rPr>
            </w:pPr>
          </w:p>
        </w:tc>
        <w:tc>
          <w:tcPr>
            <w:tcW w:w="0" w:type="auto"/>
            <w:hideMark/>
          </w:tcPr>
          <w:p w14:paraId="76CB91FD" w14:textId="77777777" w:rsidR="00470AE4" w:rsidRPr="00C63860" w:rsidRDefault="00470AE4" w:rsidP="00470AE4">
            <w:r w:rsidRPr="00C63860">
              <w:t>K80.2</w:t>
            </w:r>
          </w:p>
        </w:tc>
        <w:tc>
          <w:tcPr>
            <w:tcW w:w="0" w:type="auto"/>
            <w:hideMark/>
          </w:tcPr>
          <w:p w14:paraId="7AAC8E31" w14:textId="77777777" w:rsidR="00470AE4" w:rsidRPr="00C63860" w:rsidRDefault="00470AE4" w:rsidP="00470AE4">
            <w:r w:rsidRPr="00C63860">
              <w:t xml:space="preserve">Calculus of gallbladder without cholecystitis </w:t>
            </w:r>
          </w:p>
        </w:tc>
        <w:tc>
          <w:tcPr>
            <w:tcW w:w="0" w:type="auto"/>
            <w:hideMark/>
          </w:tcPr>
          <w:p w14:paraId="48D7F499" w14:textId="77777777" w:rsidR="00470AE4" w:rsidRPr="00C63860" w:rsidRDefault="00470AE4" w:rsidP="00470AE4">
            <w:pPr>
              <w:jc w:val="center"/>
            </w:pPr>
            <w:r w:rsidRPr="00C63860">
              <w:t>86,596 (35.9)</w:t>
            </w:r>
          </w:p>
        </w:tc>
      </w:tr>
      <w:tr w:rsidR="00470AE4" w:rsidRPr="00C63860" w14:paraId="329DD0BC" w14:textId="77777777" w:rsidTr="00C63860">
        <w:trPr>
          <w:cantSplit/>
        </w:trPr>
        <w:tc>
          <w:tcPr>
            <w:tcW w:w="0" w:type="auto"/>
          </w:tcPr>
          <w:p w14:paraId="720B6EE8" w14:textId="77777777" w:rsidR="00470AE4" w:rsidRPr="00C63860" w:rsidRDefault="00470AE4" w:rsidP="00470AE4">
            <w:pPr>
              <w:rPr>
                <w:color w:val="000000"/>
                <w:sz w:val="4"/>
                <w:szCs w:val="4"/>
              </w:rPr>
            </w:pPr>
          </w:p>
        </w:tc>
        <w:tc>
          <w:tcPr>
            <w:tcW w:w="0" w:type="auto"/>
          </w:tcPr>
          <w:p w14:paraId="3BAAA55B" w14:textId="77777777" w:rsidR="00470AE4" w:rsidRPr="00C63860" w:rsidRDefault="00470AE4" w:rsidP="00470AE4">
            <w:pPr>
              <w:rPr>
                <w:color w:val="000000"/>
                <w:sz w:val="4"/>
                <w:szCs w:val="4"/>
              </w:rPr>
            </w:pPr>
          </w:p>
        </w:tc>
        <w:tc>
          <w:tcPr>
            <w:tcW w:w="0" w:type="auto"/>
          </w:tcPr>
          <w:p w14:paraId="1C965D44" w14:textId="77777777" w:rsidR="00470AE4" w:rsidRPr="00C63860" w:rsidRDefault="00470AE4" w:rsidP="00470AE4">
            <w:pPr>
              <w:rPr>
                <w:color w:val="000000"/>
                <w:sz w:val="4"/>
                <w:szCs w:val="4"/>
              </w:rPr>
            </w:pPr>
          </w:p>
        </w:tc>
        <w:tc>
          <w:tcPr>
            <w:tcW w:w="0" w:type="auto"/>
          </w:tcPr>
          <w:p w14:paraId="4F84BEF0" w14:textId="77777777" w:rsidR="00470AE4" w:rsidRPr="00C63860" w:rsidRDefault="00470AE4" w:rsidP="00470AE4">
            <w:pPr>
              <w:jc w:val="center"/>
              <w:rPr>
                <w:sz w:val="4"/>
                <w:szCs w:val="4"/>
              </w:rPr>
            </w:pPr>
          </w:p>
        </w:tc>
      </w:tr>
      <w:tr w:rsidR="00470AE4" w:rsidRPr="00C63860" w14:paraId="3DE2801B" w14:textId="77777777" w:rsidTr="00C63860">
        <w:trPr>
          <w:cantSplit/>
        </w:trPr>
        <w:tc>
          <w:tcPr>
            <w:tcW w:w="0" w:type="auto"/>
            <w:vMerge w:val="restart"/>
            <w:hideMark/>
          </w:tcPr>
          <w:p w14:paraId="6B5D8413" w14:textId="77777777" w:rsidR="00470AE4" w:rsidRPr="00C63860" w:rsidRDefault="00470AE4" w:rsidP="00470AE4">
            <w:pPr>
              <w:rPr>
                <w:color w:val="000000"/>
              </w:rPr>
            </w:pPr>
            <w:r w:rsidRPr="00C63860">
              <w:t>Hernia</w:t>
            </w:r>
          </w:p>
        </w:tc>
        <w:tc>
          <w:tcPr>
            <w:tcW w:w="0" w:type="auto"/>
            <w:hideMark/>
          </w:tcPr>
          <w:p w14:paraId="7DA0CD8D" w14:textId="77777777" w:rsidR="00470AE4" w:rsidRPr="00C63860" w:rsidRDefault="00470AE4" w:rsidP="00470AE4">
            <w:r w:rsidRPr="00C63860">
              <w:t>K40.0</w:t>
            </w:r>
          </w:p>
        </w:tc>
        <w:tc>
          <w:tcPr>
            <w:tcW w:w="0" w:type="auto"/>
            <w:hideMark/>
          </w:tcPr>
          <w:p w14:paraId="1CFA95C8" w14:textId="77777777" w:rsidR="00470AE4" w:rsidRPr="00C63860" w:rsidRDefault="00470AE4" w:rsidP="00470AE4">
            <w:r w:rsidRPr="00C63860">
              <w:t xml:space="preserve">Bilateral inguinal hernia, with obstruction, without gangrene </w:t>
            </w:r>
          </w:p>
        </w:tc>
        <w:tc>
          <w:tcPr>
            <w:tcW w:w="0" w:type="auto"/>
            <w:hideMark/>
          </w:tcPr>
          <w:p w14:paraId="5450E15D" w14:textId="77777777" w:rsidR="00470AE4" w:rsidRPr="00C63860" w:rsidRDefault="00470AE4" w:rsidP="00470AE4">
            <w:pPr>
              <w:jc w:val="center"/>
            </w:pPr>
            <w:r w:rsidRPr="00C63860">
              <w:t>957 (0.1)</w:t>
            </w:r>
          </w:p>
        </w:tc>
      </w:tr>
      <w:tr w:rsidR="00470AE4" w:rsidRPr="00C63860" w14:paraId="08EF5A46" w14:textId="77777777" w:rsidTr="00C63860">
        <w:trPr>
          <w:cantSplit/>
        </w:trPr>
        <w:tc>
          <w:tcPr>
            <w:tcW w:w="0" w:type="auto"/>
            <w:vMerge/>
            <w:vAlign w:val="center"/>
            <w:hideMark/>
          </w:tcPr>
          <w:p w14:paraId="3559650D" w14:textId="77777777" w:rsidR="00470AE4" w:rsidRPr="00C63860" w:rsidRDefault="00470AE4" w:rsidP="00470AE4">
            <w:pPr>
              <w:rPr>
                <w:color w:val="000000"/>
              </w:rPr>
            </w:pPr>
          </w:p>
        </w:tc>
        <w:tc>
          <w:tcPr>
            <w:tcW w:w="0" w:type="auto"/>
            <w:hideMark/>
          </w:tcPr>
          <w:p w14:paraId="41866403" w14:textId="77777777" w:rsidR="00470AE4" w:rsidRPr="00C63860" w:rsidRDefault="00470AE4" w:rsidP="00470AE4">
            <w:r w:rsidRPr="00C63860">
              <w:t>K40.1</w:t>
            </w:r>
          </w:p>
        </w:tc>
        <w:tc>
          <w:tcPr>
            <w:tcW w:w="0" w:type="auto"/>
            <w:hideMark/>
          </w:tcPr>
          <w:p w14:paraId="5BB79B15" w14:textId="77777777" w:rsidR="00470AE4" w:rsidRPr="00C63860" w:rsidRDefault="00470AE4" w:rsidP="00470AE4">
            <w:pPr>
              <w:rPr>
                <w:color w:val="000000"/>
              </w:rPr>
            </w:pPr>
            <w:r w:rsidRPr="00C63860">
              <w:t xml:space="preserve">Bilateral inguinal hernia, with gangrene </w:t>
            </w:r>
          </w:p>
        </w:tc>
        <w:tc>
          <w:tcPr>
            <w:tcW w:w="0" w:type="auto"/>
            <w:hideMark/>
          </w:tcPr>
          <w:p w14:paraId="2DC56639" w14:textId="77777777" w:rsidR="00470AE4" w:rsidRPr="00C63860" w:rsidRDefault="00470AE4" w:rsidP="00470AE4">
            <w:pPr>
              <w:jc w:val="center"/>
            </w:pPr>
            <w:r w:rsidRPr="00C63860">
              <w:t>52 (0.0)</w:t>
            </w:r>
          </w:p>
        </w:tc>
      </w:tr>
      <w:tr w:rsidR="00470AE4" w:rsidRPr="00C63860" w14:paraId="40E322ED" w14:textId="77777777" w:rsidTr="00C63860">
        <w:trPr>
          <w:cantSplit/>
        </w:trPr>
        <w:tc>
          <w:tcPr>
            <w:tcW w:w="0" w:type="auto"/>
            <w:vMerge/>
            <w:vAlign w:val="center"/>
            <w:hideMark/>
          </w:tcPr>
          <w:p w14:paraId="6166E06E" w14:textId="77777777" w:rsidR="00470AE4" w:rsidRPr="00C63860" w:rsidRDefault="00470AE4" w:rsidP="00470AE4">
            <w:pPr>
              <w:rPr>
                <w:color w:val="000000"/>
              </w:rPr>
            </w:pPr>
          </w:p>
        </w:tc>
        <w:tc>
          <w:tcPr>
            <w:tcW w:w="0" w:type="auto"/>
            <w:hideMark/>
          </w:tcPr>
          <w:p w14:paraId="42BCD439" w14:textId="77777777" w:rsidR="00470AE4" w:rsidRPr="00C63860" w:rsidRDefault="00470AE4" w:rsidP="00470AE4">
            <w:r w:rsidRPr="00C63860">
              <w:t>K40.2</w:t>
            </w:r>
          </w:p>
        </w:tc>
        <w:tc>
          <w:tcPr>
            <w:tcW w:w="0" w:type="auto"/>
            <w:hideMark/>
          </w:tcPr>
          <w:p w14:paraId="612656A3" w14:textId="77777777" w:rsidR="00470AE4" w:rsidRPr="00C63860" w:rsidRDefault="00470AE4" w:rsidP="00470AE4">
            <w:pPr>
              <w:rPr>
                <w:color w:val="000000"/>
              </w:rPr>
            </w:pPr>
            <w:r w:rsidRPr="00C63860">
              <w:t xml:space="preserve">Bilateral inguinal hernia, without obstruction or gangrene </w:t>
            </w:r>
          </w:p>
        </w:tc>
        <w:tc>
          <w:tcPr>
            <w:tcW w:w="0" w:type="auto"/>
            <w:hideMark/>
          </w:tcPr>
          <w:p w14:paraId="16D69371" w14:textId="77777777" w:rsidR="00470AE4" w:rsidRPr="00C63860" w:rsidRDefault="00470AE4" w:rsidP="00470AE4">
            <w:pPr>
              <w:jc w:val="center"/>
            </w:pPr>
            <w:r w:rsidRPr="00C63860">
              <w:t>1,987 (1.9)</w:t>
            </w:r>
          </w:p>
        </w:tc>
      </w:tr>
      <w:tr w:rsidR="00470AE4" w:rsidRPr="00C63860" w14:paraId="4AB78445" w14:textId="77777777" w:rsidTr="00C63860">
        <w:trPr>
          <w:cantSplit/>
        </w:trPr>
        <w:tc>
          <w:tcPr>
            <w:tcW w:w="0" w:type="auto"/>
            <w:vMerge/>
            <w:vAlign w:val="center"/>
            <w:hideMark/>
          </w:tcPr>
          <w:p w14:paraId="64BFC5DF" w14:textId="77777777" w:rsidR="00470AE4" w:rsidRPr="00C63860" w:rsidRDefault="00470AE4" w:rsidP="00470AE4">
            <w:pPr>
              <w:rPr>
                <w:color w:val="000000"/>
              </w:rPr>
            </w:pPr>
          </w:p>
        </w:tc>
        <w:tc>
          <w:tcPr>
            <w:tcW w:w="0" w:type="auto"/>
            <w:hideMark/>
          </w:tcPr>
          <w:p w14:paraId="2C16EBCE" w14:textId="77777777" w:rsidR="00470AE4" w:rsidRPr="00C63860" w:rsidRDefault="00470AE4" w:rsidP="00470AE4">
            <w:r w:rsidRPr="00C63860">
              <w:t>K40.3</w:t>
            </w:r>
          </w:p>
        </w:tc>
        <w:tc>
          <w:tcPr>
            <w:tcW w:w="0" w:type="auto"/>
            <w:hideMark/>
          </w:tcPr>
          <w:p w14:paraId="066117FA" w14:textId="77777777" w:rsidR="00470AE4" w:rsidRPr="00C63860" w:rsidRDefault="00470AE4" w:rsidP="00470AE4">
            <w:pPr>
              <w:rPr>
                <w:color w:val="000000"/>
              </w:rPr>
            </w:pPr>
            <w:r w:rsidRPr="00C63860">
              <w:t xml:space="preserve">Unilateral or unspecified inguinal hernia, with obstruction, without gangrene </w:t>
            </w:r>
          </w:p>
        </w:tc>
        <w:tc>
          <w:tcPr>
            <w:tcW w:w="0" w:type="auto"/>
            <w:hideMark/>
          </w:tcPr>
          <w:p w14:paraId="55E19900" w14:textId="77777777" w:rsidR="00470AE4" w:rsidRPr="00C63860" w:rsidRDefault="00470AE4" w:rsidP="00470AE4">
            <w:pPr>
              <w:jc w:val="center"/>
            </w:pPr>
            <w:r w:rsidRPr="00C63860">
              <w:t>17,177 (16.1)</w:t>
            </w:r>
          </w:p>
        </w:tc>
      </w:tr>
      <w:tr w:rsidR="00470AE4" w:rsidRPr="00C63860" w14:paraId="7C3A9F2D" w14:textId="77777777" w:rsidTr="00C63860">
        <w:trPr>
          <w:cantSplit/>
        </w:trPr>
        <w:tc>
          <w:tcPr>
            <w:tcW w:w="0" w:type="auto"/>
            <w:vMerge/>
            <w:vAlign w:val="center"/>
            <w:hideMark/>
          </w:tcPr>
          <w:p w14:paraId="7D5A1AC9" w14:textId="77777777" w:rsidR="00470AE4" w:rsidRPr="00C63860" w:rsidRDefault="00470AE4" w:rsidP="00470AE4">
            <w:pPr>
              <w:rPr>
                <w:color w:val="000000"/>
              </w:rPr>
            </w:pPr>
          </w:p>
        </w:tc>
        <w:tc>
          <w:tcPr>
            <w:tcW w:w="0" w:type="auto"/>
            <w:hideMark/>
          </w:tcPr>
          <w:p w14:paraId="04C29B6B" w14:textId="77777777" w:rsidR="00470AE4" w:rsidRPr="00C63860" w:rsidRDefault="00470AE4" w:rsidP="00470AE4">
            <w:r w:rsidRPr="00C63860">
              <w:t>K40.4</w:t>
            </w:r>
          </w:p>
        </w:tc>
        <w:tc>
          <w:tcPr>
            <w:tcW w:w="0" w:type="auto"/>
            <w:hideMark/>
          </w:tcPr>
          <w:p w14:paraId="38D0F7DE" w14:textId="77777777" w:rsidR="00470AE4" w:rsidRPr="00C63860" w:rsidRDefault="00470AE4" w:rsidP="00470AE4">
            <w:pPr>
              <w:rPr>
                <w:color w:val="000000"/>
              </w:rPr>
            </w:pPr>
            <w:r w:rsidRPr="00C63860">
              <w:t xml:space="preserve">Unilateral or unspecified inguinal hernia, with gangrene </w:t>
            </w:r>
          </w:p>
        </w:tc>
        <w:tc>
          <w:tcPr>
            <w:tcW w:w="0" w:type="auto"/>
            <w:hideMark/>
          </w:tcPr>
          <w:p w14:paraId="43C1C8A1" w14:textId="77777777" w:rsidR="00470AE4" w:rsidRPr="00C63860" w:rsidRDefault="00470AE4" w:rsidP="00470AE4">
            <w:pPr>
              <w:jc w:val="center"/>
            </w:pPr>
            <w:r w:rsidRPr="00C63860">
              <w:t>730 (0.7)</w:t>
            </w:r>
          </w:p>
        </w:tc>
      </w:tr>
      <w:tr w:rsidR="00470AE4" w:rsidRPr="00C63860" w14:paraId="25715C98" w14:textId="77777777" w:rsidTr="00C63860">
        <w:trPr>
          <w:cantSplit/>
        </w:trPr>
        <w:tc>
          <w:tcPr>
            <w:tcW w:w="0" w:type="auto"/>
            <w:vMerge/>
            <w:vAlign w:val="center"/>
            <w:hideMark/>
          </w:tcPr>
          <w:p w14:paraId="6FF9879E" w14:textId="77777777" w:rsidR="00470AE4" w:rsidRPr="00C63860" w:rsidRDefault="00470AE4" w:rsidP="00470AE4">
            <w:pPr>
              <w:rPr>
                <w:color w:val="000000"/>
              </w:rPr>
            </w:pPr>
          </w:p>
        </w:tc>
        <w:tc>
          <w:tcPr>
            <w:tcW w:w="0" w:type="auto"/>
            <w:hideMark/>
          </w:tcPr>
          <w:p w14:paraId="52D4A56B" w14:textId="77777777" w:rsidR="00470AE4" w:rsidRPr="00C63860" w:rsidRDefault="00470AE4" w:rsidP="00470AE4">
            <w:r w:rsidRPr="00C63860">
              <w:t>K40.9</w:t>
            </w:r>
          </w:p>
        </w:tc>
        <w:tc>
          <w:tcPr>
            <w:tcW w:w="0" w:type="auto"/>
            <w:hideMark/>
          </w:tcPr>
          <w:p w14:paraId="42DADECD" w14:textId="77777777" w:rsidR="00470AE4" w:rsidRPr="00C63860" w:rsidRDefault="00470AE4" w:rsidP="00470AE4">
            <w:pPr>
              <w:rPr>
                <w:color w:val="000000"/>
              </w:rPr>
            </w:pPr>
            <w:r w:rsidRPr="00C63860">
              <w:t xml:space="preserve">Unilateral or unspecified inguinal hernia, without obstruction or gangrene </w:t>
            </w:r>
          </w:p>
        </w:tc>
        <w:tc>
          <w:tcPr>
            <w:tcW w:w="0" w:type="auto"/>
            <w:hideMark/>
          </w:tcPr>
          <w:p w14:paraId="61A22BA6" w14:textId="77777777" w:rsidR="00470AE4" w:rsidRPr="00C63860" w:rsidRDefault="00470AE4" w:rsidP="00470AE4">
            <w:pPr>
              <w:jc w:val="center"/>
            </w:pPr>
            <w:r w:rsidRPr="00C63860">
              <w:t>30,108 (28.3)</w:t>
            </w:r>
          </w:p>
        </w:tc>
      </w:tr>
      <w:tr w:rsidR="00470AE4" w:rsidRPr="00C63860" w14:paraId="434E6DC5" w14:textId="77777777" w:rsidTr="00C63860">
        <w:trPr>
          <w:cantSplit/>
        </w:trPr>
        <w:tc>
          <w:tcPr>
            <w:tcW w:w="0" w:type="auto"/>
            <w:vMerge/>
            <w:vAlign w:val="center"/>
            <w:hideMark/>
          </w:tcPr>
          <w:p w14:paraId="08F9EC2B" w14:textId="77777777" w:rsidR="00470AE4" w:rsidRPr="00C63860" w:rsidRDefault="00470AE4" w:rsidP="00470AE4">
            <w:pPr>
              <w:rPr>
                <w:color w:val="000000"/>
              </w:rPr>
            </w:pPr>
          </w:p>
        </w:tc>
        <w:tc>
          <w:tcPr>
            <w:tcW w:w="0" w:type="auto"/>
            <w:hideMark/>
          </w:tcPr>
          <w:p w14:paraId="76E5E2E4" w14:textId="77777777" w:rsidR="00470AE4" w:rsidRPr="00C63860" w:rsidRDefault="00470AE4" w:rsidP="00470AE4">
            <w:r w:rsidRPr="00C63860">
              <w:t>K41.0</w:t>
            </w:r>
          </w:p>
        </w:tc>
        <w:tc>
          <w:tcPr>
            <w:tcW w:w="0" w:type="auto"/>
            <w:hideMark/>
          </w:tcPr>
          <w:p w14:paraId="6C3E4AA6" w14:textId="77777777" w:rsidR="00470AE4" w:rsidRPr="00C63860" w:rsidRDefault="00470AE4" w:rsidP="00470AE4">
            <w:pPr>
              <w:rPr>
                <w:color w:val="000000"/>
              </w:rPr>
            </w:pPr>
            <w:r w:rsidRPr="00C63860">
              <w:t xml:space="preserve">Bilateral femoral hernia, with obstruction, without gangrene </w:t>
            </w:r>
          </w:p>
        </w:tc>
        <w:tc>
          <w:tcPr>
            <w:tcW w:w="0" w:type="auto"/>
            <w:hideMark/>
          </w:tcPr>
          <w:p w14:paraId="2CC2AC08" w14:textId="77777777" w:rsidR="00470AE4" w:rsidRPr="00C63860" w:rsidRDefault="00470AE4" w:rsidP="00470AE4">
            <w:pPr>
              <w:jc w:val="center"/>
            </w:pPr>
            <w:r w:rsidRPr="00C63860">
              <w:t>263 (0.2)</w:t>
            </w:r>
          </w:p>
        </w:tc>
      </w:tr>
      <w:tr w:rsidR="00470AE4" w:rsidRPr="00C63860" w14:paraId="7A80BB82" w14:textId="77777777" w:rsidTr="00C63860">
        <w:trPr>
          <w:cantSplit/>
        </w:trPr>
        <w:tc>
          <w:tcPr>
            <w:tcW w:w="0" w:type="auto"/>
            <w:vMerge/>
            <w:vAlign w:val="center"/>
            <w:hideMark/>
          </w:tcPr>
          <w:p w14:paraId="32D6079E" w14:textId="77777777" w:rsidR="00470AE4" w:rsidRPr="00C63860" w:rsidRDefault="00470AE4" w:rsidP="00470AE4"/>
        </w:tc>
        <w:tc>
          <w:tcPr>
            <w:tcW w:w="0" w:type="auto"/>
            <w:hideMark/>
          </w:tcPr>
          <w:p w14:paraId="57EF0533" w14:textId="77777777" w:rsidR="00470AE4" w:rsidRPr="00C63860" w:rsidRDefault="00470AE4" w:rsidP="00470AE4">
            <w:r w:rsidRPr="00C63860">
              <w:t>K41.1</w:t>
            </w:r>
          </w:p>
        </w:tc>
        <w:tc>
          <w:tcPr>
            <w:tcW w:w="0" w:type="auto"/>
            <w:hideMark/>
          </w:tcPr>
          <w:p w14:paraId="07A75657" w14:textId="77777777" w:rsidR="00470AE4" w:rsidRPr="00C63860" w:rsidRDefault="00470AE4" w:rsidP="00470AE4">
            <w:pPr>
              <w:rPr>
                <w:color w:val="000000"/>
              </w:rPr>
            </w:pPr>
            <w:r w:rsidRPr="00C63860">
              <w:t xml:space="preserve">Bilateral femoral hernia, with gangrene </w:t>
            </w:r>
          </w:p>
        </w:tc>
        <w:tc>
          <w:tcPr>
            <w:tcW w:w="0" w:type="auto"/>
            <w:hideMark/>
          </w:tcPr>
          <w:p w14:paraId="39A7EECB" w14:textId="77777777" w:rsidR="00470AE4" w:rsidRPr="00C63860" w:rsidRDefault="00470AE4" w:rsidP="00470AE4">
            <w:pPr>
              <w:jc w:val="center"/>
            </w:pPr>
            <w:r w:rsidRPr="00C63860">
              <w:t>37 (0.0)</w:t>
            </w:r>
          </w:p>
        </w:tc>
      </w:tr>
      <w:tr w:rsidR="00470AE4" w:rsidRPr="00C63860" w14:paraId="2125D43F" w14:textId="77777777" w:rsidTr="00C63860">
        <w:trPr>
          <w:cantSplit/>
        </w:trPr>
        <w:tc>
          <w:tcPr>
            <w:tcW w:w="0" w:type="auto"/>
            <w:vMerge/>
            <w:vAlign w:val="center"/>
            <w:hideMark/>
          </w:tcPr>
          <w:p w14:paraId="37A65B4B" w14:textId="77777777" w:rsidR="00470AE4" w:rsidRPr="00C63860" w:rsidRDefault="00470AE4" w:rsidP="00470AE4">
            <w:pPr>
              <w:rPr>
                <w:color w:val="000000"/>
              </w:rPr>
            </w:pPr>
          </w:p>
        </w:tc>
        <w:tc>
          <w:tcPr>
            <w:tcW w:w="0" w:type="auto"/>
            <w:hideMark/>
          </w:tcPr>
          <w:p w14:paraId="040929D6" w14:textId="77777777" w:rsidR="00470AE4" w:rsidRPr="00C63860" w:rsidRDefault="00470AE4" w:rsidP="00470AE4">
            <w:r w:rsidRPr="00C63860">
              <w:t>K41.2</w:t>
            </w:r>
          </w:p>
        </w:tc>
        <w:tc>
          <w:tcPr>
            <w:tcW w:w="0" w:type="auto"/>
            <w:hideMark/>
          </w:tcPr>
          <w:p w14:paraId="6E96A532" w14:textId="77777777" w:rsidR="00470AE4" w:rsidRPr="00C63860" w:rsidRDefault="00470AE4" w:rsidP="00470AE4">
            <w:pPr>
              <w:rPr>
                <w:color w:val="000000"/>
              </w:rPr>
            </w:pPr>
            <w:r w:rsidRPr="00C63860">
              <w:t xml:space="preserve">Bilateral femoral hernia, without obstruction or gangrene </w:t>
            </w:r>
          </w:p>
        </w:tc>
        <w:tc>
          <w:tcPr>
            <w:tcW w:w="0" w:type="auto"/>
            <w:hideMark/>
          </w:tcPr>
          <w:p w14:paraId="244C60AF" w14:textId="77777777" w:rsidR="00470AE4" w:rsidRPr="00C63860" w:rsidRDefault="00470AE4" w:rsidP="00470AE4">
            <w:pPr>
              <w:jc w:val="center"/>
            </w:pPr>
            <w:r w:rsidRPr="00C63860">
              <w:t>55 (0.1)</w:t>
            </w:r>
          </w:p>
        </w:tc>
      </w:tr>
      <w:tr w:rsidR="00470AE4" w:rsidRPr="00C63860" w14:paraId="221F6D0F" w14:textId="77777777" w:rsidTr="00C63860">
        <w:trPr>
          <w:cantSplit/>
        </w:trPr>
        <w:tc>
          <w:tcPr>
            <w:tcW w:w="0" w:type="auto"/>
            <w:vMerge/>
            <w:vAlign w:val="center"/>
            <w:hideMark/>
          </w:tcPr>
          <w:p w14:paraId="434C30FB" w14:textId="77777777" w:rsidR="00470AE4" w:rsidRPr="00C63860" w:rsidRDefault="00470AE4" w:rsidP="00470AE4">
            <w:pPr>
              <w:rPr>
                <w:color w:val="000000"/>
              </w:rPr>
            </w:pPr>
          </w:p>
        </w:tc>
        <w:tc>
          <w:tcPr>
            <w:tcW w:w="0" w:type="auto"/>
            <w:hideMark/>
          </w:tcPr>
          <w:p w14:paraId="5CFFDA95" w14:textId="77777777" w:rsidR="00470AE4" w:rsidRPr="00C63860" w:rsidRDefault="00470AE4" w:rsidP="00470AE4">
            <w:r w:rsidRPr="00C63860">
              <w:t>K41.3</w:t>
            </w:r>
          </w:p>
        </w:tc>
        <w:tc>
          <w:tcPr>
            <w:tcW w:w="0" w:type="auto"/>
            <w:hideMark/>
          </w:tcPr>
          <w:p w14:paraId="5E717851" w14:textId="77777777" w:rsidR="00470AE4" w:rsidRPr="00C63860" w:rsidRDefault="00470AE4" w:rsidP="00470AE4">
            <w:pPr>
              <w:rPr>
                <w:color w:val="000000"/>
              </w:rPr>
            </w:pPr>
            <w:r w:rsidRPr="00C63860">
              <w:t xml:space="preserve">Unilateral or unspecified femoral hernia, with obstruction, without gangrene </w:t>
            </w:r>
          </w:p>
        </w:tc>
        <w:tc>
          <w:tcPr>
            <w:tcW w:w="0" w:type="auto"/>
            <w:hideMark/>
          </w:tcPr>
          <w:p w14:paraId="4221B4BC" w14:textId="77777777" w:rsidR="00470AE4" w:rsidRPr="00C63860" w:rsidRDefault="00470AE4" w:rsidP="00470AE4">
            <w:pPr>
              <w:jc w:val="center"/>
            </w:pPr>
            <w:r w:rsidRPr="00C63860">
              <w:t>8,491 (8.0)</w:t>
            </w:r>
          </w:p>
        </w:tc>
      </w:tr>
      <w:tr w:rsidR="00470AE4" w:rsidRPr="00C63860" w14:paraId="14C3FCA2" w14:textId="77777777" w:rsidTr="00C63860">
        <w:trPr>
          <w:cantSplit/>
        </w:trPr>
        <w:tc>
          <w:tcPr>
            <w:tcW w:w="0" w:type="auto"/>
            <w:vMerge/>
            <w:vAlign w:val="center"/>
            <w:hideMark/>
          </w:tcPr>
          <w:p w14:paraId="2AA7AD58" w14:textId="77777777" w:rsidR="00470AE4" w:rsidRPr="00C63860" w:rsidRDefault="00470AE4" w:rsidP="00470AE4">
            <w:pPr>
              <w:rPr>
                <w:color w:val="000000"/>
              </w:rPr>
            </w:pPr>
          </w:p>
        </w:tc>
        <w:tc>
          <w:tcPr>
            <w:tcW w:w="0" w:type="auto"/>
            <w:hideMark/>
          </w:tcPr>
          <w:p w14:paraId="7DB1DB16" w14:textId="77777777" w:rsidR="00470AE4" w:rsidRPr="00C63860" w:rsidRDefault="00470AE4" w:rsidP="00470AE4">
            <w:r w:rsidRPr="00C63860">
              <w:t>K41.4</w:t>
            </w:r>
          </w:p>
        </w:tc>
        <w:tc>
          <w:tcPr>
            <w:tcW w:w="0" w:type="auto"/>
            <w:hideMark/>
          </w:tcPr>
          <w:p w14:paraId="2B2EDE31" w14:textId="77777777" w:rsidR="00470AE4" w:rsidRPr="00C63860" w:rsidRDefault="00470AE4" w:rsidP="00470AE4">
            <w:pPr>
              <w:rPr>
                <w:color w:val="000000"/>
              </w:rPr>
            </w:pPr>
            <w:r w:rsidRPr="00C63860">
              <w:t xml:space="preserve">Unilateral or unspecified femoral hernia, with gangrene </w:t>
            </w:r>
          </w:p>
        </w:tc>
        <w:tc>
          <w:tcPr>
            <w:tcW w:w="0" w:type="auto"/>
            <w:hideMark/>
          </w:tcPr>
          <w:p w14:paraId="400ED9BD" w14:textId="77777777" w:rsidR="00470AE4" w:rsidRPr="00C63860" w:rsidRDefault="00470AE4" w:rsidP="00470AE4">
            <w:pPr>
              <w:jc w:val="center"/>
            </w:pPr>
            <w:r w:rsidRPr="00C63860">
              <w:t>1,148 (1.1)</w:t>
            </w:r>
          </w:p>
        </w:tc>
      </w:tr>
      <w:tr w:rsidR="00470AE4" w:rsidRPr="00C63860" w14:paraId="2AF73B75" w14:textId="77777777" w:rsidTr="00C63860">
        <w:trPr>
          <w:cantSplit/>
        </w:trPr>
        <w:tc>
          <w:tcPr>
            <w:tcW w:w="0" w:type="auto"/>
            <w:vMerge/>
            <w:vAlign w:val="center"/>
            <w:hideMark/>
          </w:tcPr>
          <w:p w14:paraId="3DBF8594" w14:textId="77777777" w:rsidR="00470AE4" w:rsidRPr="00C63860" w:rsidRDefault="00470AE4" w:rsidP="00470AE4">
            <w:pPr>
              <w:rPr>
                <w:color w:val="000000"/>
              </w:rPr>
            </w:pPr>
          </w:p>
        </w:tc>
        <w:tc>
          <w:tcPr>
            <w:tcW w:w="0" w:type="auto"/>
            <w:hideMark/>
          </w:tcPr>
          <w:p w14:paraId="7774577A" w14:textId="77777777" w:rsidR="00470AE4" w:rsidRPr="00C63860" w:rsidRDefault="00470AE4" w:rsidP="00470AE4">
            <w:r w:rsidRPr="00C63860">
              <w:t>K41.9</w:t>
            </w:r>
          </w:p>
        </w:tc>
        <w:tc>
          <w:tcPr>
            <w:tcW w:w="0" w:type="auto"/>
            <w:hideMark/>
          </w:tcPr>
          <w:p w14:paraId="454CE5EC" w14:textId="77777777" w:rsidR="00470AE4" w:rsidRPr="00C63860" w:rsidRDefault="00470AE4" w:rsidP="00470AE4">
            <w:pPr>
              <w:rPr>
                <w:color w:val="000000"/>
              </w:rPr>
            </w:pPr>
            <w:r w:rsidRPr="00C63860">
              <w:t xml:space="preserve">Unilateral or unspecified femoral hernia, without obstruction or gangrene </w:t>
            </w:r>
          </w:p>
        </w:tc>
        <w:tc>
          <w:tcPr>
            <w:tcW w:w="0" w:type="auto"/>
            <w:hideMark/>
          </w:tcPr>
          <w:p w14:paraId="321D594A" w14:textId="77777777" w:rsidR="00470AE4" w:rsidRPr="00C63860" w:rsidRDefault="00470AE4" w:rsidP="00470AE4">
            <w:pPr>
              <w:jc w:val="center"/>
            </w:pPr>
            <w:r w:rsidRPr="00C63860">
              <w:t>3,460 (3.3)</w:t>
            </w:r>
          </w:p>
        </w:tc>
      </w:tr>
      <w:tr w:rsidR="00470AE4" w:rsidRPr="00C63860" w14:paraId="597F8F17" w14:textId="77777777" w:rsidTr="00C63860">
        <w:trPr>
          <w:cantSplit/>
        </w:trPr>
        <w:tc>
          <w:tcPr>
            <w:tcW w:w="0" w:type="auto"/>
            <w:vMerge/>
            <w:vAlign w:val="center"/>
            <w:hideMark/>
          </w:tcPr>
          <w:p w14:paraId="69B0CD98" w14:textId="77777777" w:rsidR="00470AE4" w:rsidRPr="00C63860" w:rsidRDefault="00470AE4" w:rsidP="00470AE4">
            <w:pPr>
              <w:rPr>
                <w:color w:val="000000"/>
              </w:rPr>
            </w:pPr>
          </w:p>
        </w:tc>
        <w:tc>
          <w:tcPr>
            <w:tcW w:w="0" w:type="auto"/>
            <w:hideMark/>
          </w:tcPr>
          <w:p w14:paraId="3ECC351B" w14:textId="77777777" w:rsidR="00470AE4" w:rsidRPr="00C63860" w:rsidRDefault="00470AE4" w:rsidP="00470AE4">
            <w:r w:rsidRPr="00C63860">
              <w:t>K42.0</w:t>
            </w:r>
          </w:p>
        </w:tc>
        <w:tc>
          <w:tcPr>
            <w:tcW w:w="0" w:type="auto"/>
            <w:hideMark/>
          </w:tcPr>
          <w:p w14:paraId="3B1E346F" w14:textId="77777777" w:rsidR="00470AE4" w:rsidRPr="00C63860" w:rsidRDefault="00470AE4" w:rsidP="00470AE4">
            <w:pPr>
              <w:rPr>
                <w:color w:val="000000"/>
              </w:rPr>
            </w:pPr>
            <w:r w:rsidRPr="00C63860">
              <w:t xml:space="preserve">Umbilical hernia with obstruction, without gangrene </w:t>
            </w:r>
          </w:p>
        </w:tc>
        <w:tc>
          <w:tcPr>
            <w:tcW w:w="0" w:type="auto"/>
            <w:hideMark/>
          </w:tcPr>
          <w:p w14:paraId="10CE682F" w14:textId="77777777" w:rsidR="00470AE4" w:rsidRPr="00C63860" w:rsidRDefault="00470AE4" w:rsidP="00470AE4">
            <w:pPr>
              <w:jc w:val="center"/>
            </w:pPr>
            <w:r w:rsidRPr="00C63860">
              <w:t>18,324 (17.2)</w:t>
            </w:r>
          </w:p>
        </w:tc>
      </w:tr>
      <w:tr w:rsidR="00470AE4" w:rsidRPr="00C63860" w14:paraId="5D9AE860" w14:textId="77777777" w:rsidTr="00C63860">
        <w:trPr>
          <w:cantSplit/>
        </w:trPr>
        <w:tc>
          <w:tcPr>
            <w:tcW w:w="0" w:type="auto"/>
            <w:vMerge/>
            <w:vAlign w:val="center"/>
            <w:hideMark/>
          </w:tcPr>
          <w:p w14:paraId="0DA15228" w14:textId="77777777" w:rsidR="00470AE4" w:rsidRPr="00C63860" w:rsidRDefault="00470AE4" w:rsidP="00470AE4">
            <w:pPr>
              <w:rPr>
                <w:color w:val="000000"/>
              </w:rPr>
            </w:pPr>
          </w:p>
        </w:tc>
        <w:tc>
          <w:tcPr>
            <w:tcW w:w="0" w:type="auto"/>
            <w:hideMark/>
          </w:tcPr>
          <w:p w14:paraId="00D9721F" w14:textId="77777777" w:rsidR="00470AE4" w:rsidRPr="00C63860" w:rsidRDefault="00470AE4" w:rsidP="00470AE4">
            <w:r w:rsidRPr="00C63860">
              <w:t>K42.1</w:t>
            </w:r>
          </w:p>
        </w:tc>
        <w:tc>
          <w:tcPr>
            <w:tcW w:w="0" w:type="auto"/>
            <w:hideMark/>
          </w:tcPr>
          <w:p w14:paraId="30FBBB78" w14:textId="77777777" w:rsidR="00470AE4" w:rsidRPr="00C63860" w:rsidRDefault="00470AE4" w:rsidP="00470AE4">
            <w:pPr>
              <w:rPr>
                <w:color w:val="000000"/>
              </w:rPr>
            </w:pPr>
            <w:r w:rsidRPr="00C63860">
              <w:t xml:space="preserve">Umbilical hernia with gangrene </w:t>
            </w:r>
          </w:p>
        </w:tc>
        <w:tc>
          <w:tcPr>
            <w:tcW w:w="0" w:type="auto"/>
            <w:hideMark/>
          </w:tcPr>
          <w:p w14:paraId="4453CAE1" w14:textId="77777777" w:rsidR="00470AE4" w:rsidRPr="00C63860" w:rsidRDefault="00470AE4" w:rsidP="00470AE4">
            <w:pPr>
              <w:jc w:val="center"/>
            </w:pPr>
            <w:r w:rsidRPr="00C63860">
              <w:t>1,245 (1.2)</w:t>
            </w:r>
          </w:p>
        </w:tc>
      </w:tr>
      <w:tr w:rsidR="00470AE4" w:rsidRPr="00C63860" w14:paraId="283FA6D3" w14:textId="77777777" w:rsidTr="00C63860">
        <w:trPr>
          <w:cantSplit/>
        </w:trPr>
        <w:tc>
          <w:tcPr>
            <w:tcW w:w="0" w:type="auto"/>
            <w:vMerge/>
            <w:vAlign w:val="center"/>
            <w:hideMark/>
          </w:tcPr>
          <w:p w14:paraId="1AD189BD" w14:textId="77777777" w:rsidR="00470AE4" w:rsidRPr="00C63860" w:rsidRDefault="00470AE4" w:rsidP="00470AE4">
            <w:pPr>
              <w:rPr>
                <w:color w:val="000000"/>
              </w:rPr>
            </w:pPr>
          </w:p>
        </w:tc>
        <w:tc>
          <w:tcPr>
            <w:tcW w:w="0" w:type="auto"/>
            <w:hideMark/>
          </w:tcPr>
          <w:p w14:paraId="739DC97C" w14:textId="77777777" w:rsidR="00470AE4" w:rsidRPr="00C63860" w:rsidRDefault="00470AE4" w:rsidP="00470AE4">
            <w:r w:rsidRPr="00C63860">
              <w:t>K42.9</w:t>
            </w:r>
          </w:p>
        </w:tc>
        <w:tc>
          <w:tcPr>
            <w:tcW w:w="0" w:type="auto"/>
            <w:hideMark/>
          </w:tcPr>
          <w:p w14:paraId="0747923C" w14:textId="77777777" w:rsidR="00470AE4" w:rsidRPr="00C63860" w:rsidRDefault="00470AE4" w:rsidP="00470AE4">
            <w:pPr>
              <w:rPr>
                <w:color w:val="000000"/>
              </w:rPr>
            </w:pPr>
            <w:r w:rsidRPr="00C63860">
              <w:t xml:space="preserve">Umbilical hernia without obstruction or gangrene </w:t>
            </w:r>
          </w:p>
        </w:tc>
        <w:tc>
          <w:tcPr>
            <w:tcW w:w="0" w:type="auto"/>
            <w:hideMark/>
          </w:tcPr>
          <w:p w14:paraId="5FC1C8C2" w14:textId="77777777" w:rsidR="00470AE4" w:rsidRPr="00C63860" w:rsidRDefault="00470AE4" w:rsidP="00470AE4">
            <w:pPr>
              <w:jc w:val="center"/>
            </w:pPr>
            <w:r w:rsidRPr="00C63860">
              <w:t>20,235 (19.0)</w:t>
            </w:r>
          </w:p>
        </w:tc>
      </w:tr>
      <w:tr w:rsidR="00470AE4" w:rsidRPr="00C63860" w14:paraId="0BDC4DE3" w14:textId="77777777" w:rsidTr="00C63860">
        <w:trPr>
          <w:cantSplit/>
        </w:trPr>
        <w:tc>
          <w:tcPr>
            <w:tcW w:w="0" w:type="auto"/>
            <w:vMerge/>
            <w:vAlign w:val="center"/>
            <w:hideMark/>
          </w:tcPr>
          <w:p w14:paraId="2CEFB928" w14:textId="77777777" w:rsidR="00470AE4" w:rsidRPr="00C63860" w:rsidRDefault="00470AE4" w:rsidP="00470AE4"/>
        </w:tc>
        <w:tc>
          <w:tcPr>
            <w:tcW w:w="0" w:type="auto"/>
            <w:hideMark/>
          </w:tcPr>
          <w:p w14:paraId="039EF878" w14:textId="77777777" w:rsidR="00470AE4" w:rsidRPr="00C63860" w:rsidRDefault="00470AE4" w:rsidP="00470AE4">
            <w:r w:rsidRPr="00C63860">
              <w:t>K43.6</w:t>
            </w:r>
          </w:p>
        </w:tc>
        <w:tc>
          <w:tcPr>
            <w:tcW w:w="0" w:type="auto"/>
            <w:hideMark/>
          </w:tcPr>
          <w:p w14:paraId="04AECB45" w14:textId="77777777" w:rsidR="00470AE4" w:rsidRPr="00C63860" w:rsidRDefault="00470AE4" w:rsidP="00470AE4">
            <w:pPr>
              <w:rPr>
                <w:color w:val="000000"/>
              </w:rPr>
            </w:pPr>
            <w:r w:rsidRPr="00C63860">
              <w:t>Other and unspecified ventral hernia with obstruction, without gangrene</w:t>
            </w:r>
          </w:p>
        </w:tc>
        <w:tc>
          <w:tcPr>
            <w:tcW w:w="0" w:type="auto"/>
            <w:hideMark/>
          </w:tcPr>
          <w:p w14:paraId="40B8C7F8" w14:textId="77777777" w:rsidR="00470AE4" w:rsidRPr="00C63860" w:rsidRDefault="00470AE4" w:rsidP="00470AE4">
            <w:pPr>
              <w:jc w:val="center"/>
            </w:pPr>
            <w:r w:rsidRPr="00C63860">
              <w:t>2,066 (1.9)</w:t>
            </w:r>
          </w:p>
        </w:tc>
      </w:tr>
      <w:tr w:rsidR="00470AE4" w:rsidRPr="00C63860" w14:paraId="0222E395" w14:textId="77777777" w:rsidTr="00C63860">
        <w:trPr>
          <w:cantSplit/>
        </w:trPr>
        <w:tc>
          <w:tcPr>
            <w:tcW w:w="0" w:type="auto"/>
            <w:vMerge/>
            <w:vAlign w:val="center"/>
            <w:hideMark/>
          </w:tcPr>
          <w:p w14:paraId="1DA4BA4F" w14:textId="77777777" w:rsidR="00470AE4" w:rsidRPr="00C63860" w:rsidRDefault="00470AE4" w:rsidP="00470AE4"/>
        </w:tc>
        <w:tc>
          <w:tcPr>
            <w:tcW w:w="0" w:type="auto"/>
            <w:hideMark/>
          </w:tcPr>
          <w:p w14:paraId="538C2F0E" w14:textId="77777777" w:rsidR="00470AE4" w:rsidRPr="00C63860" w:rsidRDefault="00470AE4" w:rsidP="00470AE4">
            <w:r w:rsidRPr="00C63860">
              <w:t>K43.7</w:t>
            </w:r>
          </w:p>
        </w:tc>
        <w:tc>
          <w:tcPr>
            <w:tcW w:w="0" w:type="auto"/>
            <w:hideMark/>
          </w:tcPr>
          <w:p w14:paraId="43F61B6E" w14:textId="77777777" w:rsidR="00470AE4" w:rsidRPr="00C63860" w:rsidRDefault="00470AE4" w:rsidP="00470AE4">
            <w:pPr>
              <w:rPr>
                <w:color w:val="000000"/>
              </w:rPr>
            </w:pPr>
            <w:r w:rsidRPr="00C63860">
              <w:t>Other and unspecified ventral hernia with gangrene</w:t>
            </w:r>
          </w:p>
        </w:tc>
        <w:tc>
          <w:tcPr>
            <w:tcW w:w="0" w:type="auto"/>
            <w:hideMark/>
          </w:tcPr>
          <w:p w14:paraId="538721A7" w14:textId="77777777" w:rsidR="00470AE4" w:rsidRPr="00C63860" w:rsidRDefault="00470AE4" w:rsidP="00470AE4">
            <w:pPr>
              <w:jc w:val="center"/>
            </w:pPr>
            <w:r w:rsidRPr="00C63860">
              <w:t>97 (0.1)</w:t>
            </w:r>
          </w:p>
        </w:tc>
      </w:tr>
      <w:tr w:rsidR="00470AE4" w:rsidRPr="00C63860" w14:paraId="2976A637" w14:textId="77777777" w:rsidTr="00C63860">
        <w:trPr>
          <w:cantSplit/>
        </w:trPr>
        <w:tc>
          <w:tcPr>
            <w:tcW w:w="0" w:type="auto"/>
          </w:tcPr>
          <w:p w14:paraId="0F816B6D" w14:textId="77777777" w:rsidR="00470AE4" w:rsidRPr="00C63860" w:rsidRDefault="00470AE4" w:rsidP="00470AE4">
            <w:pPr>
              <w:rPr>
                <w:sz w:val="4"/>
                <w:szCs w:val="4"/>
              </w:rPr>
            </w:pPr>
          </w:p>
        </w:tc>
        <w:tc>
          <w:tcPr>
            <w:tcW w:w="0" w:type="auto"/>
          </w:tcPr>
          <w:p w14:paraId="7302F316" w14:textId="77777777" w:rsidR="00470AE4" w:rsidRPr="00C63860" w:rsidRDefault="00470AE4" w:rsidP="00470AE4">
            <w:pPr>
              <w:rPr>
                <w:sz w:val="4"/>
                <w:szCs w:val="4"/>
              </w:rPr>
            </w:pPr>
          </w:p>
        </w:tc>
        <w:tc>
          <w:tcPr>
            <w:tcW w:w="0" w:type="auto"/>
          </w:tcPr>
          <w:p w14:paraId="53349691" w14:textId="77777777" w:rsidR="00470AE4" w:rsidRPr="00C63860" w:rsidRDefault="00470AE4" w:rsidP="00470AE4">
            <w:pPr>
              <w:rPr>
                <w:color w:val="000000"/>
                <w:sz w:val="4"/>
                <w:szCs w:val="4"/>
              </w:rPr>
            </w:pPr>
          </w:p>
        </w:tc>
        <w:tc>
          <w:tcPr>
            <w:tcW w:w="0" w:type="auto"/>
          </w:tcPr>
          <w:p w14:paraId="23811105" w14:textId="77777777" w:rsidR="00470AE4" w:rsidRPr="00C63860" w:rsidRDefault="00470AE4" w:rsidP="00470AE4">
            <w:pPr>
              <w:jc w:val="center"/>
              <w:rPr>
                <w:sz w:val="4"/>
                <w:szCs w:val="4"/>
              </w:rPr>
            </w:pPr>
          </w:p>
        </w:tc>
      </w:tr>
      <w:tr w:rsidR="00470AE4" w:rsidRPr="00C63860" w14:paraId="336E1433" w14:textId="77777777" w:rsidTr="00C63860">
        <w:trPr>
          <w:cantSplit/>
        </w:trPr>
        <w:tc>
          <w:tcPr>
            <w:tcW w:w="0" w:type="auto"/>
            <w:vMerge w:val="restart"/>
            <w:hideMark/>
          </w:tcPr>
          <w:p w14:paraId="47D344B3" w14:textId="77777777" w:rsidR="00470AE4" w:rsidRPr="00C63860" w:rsidRDefault="00470AE4" w:rsidP="00470AE4">
            <w:pPr>
              <w:rPr>
                <w:color w:val="000000"/>
              </w:rPr>
            </w:pPr>
            <w:r w:rsidRPr="00C63860">
              <w:t>Intestinal obstruction</w:t>
            </w:r>
          </w:p>
        </w:tc>
        <w:tc>
          <w:tcPr>
            <w:tcW w:w="0" w:type="auto"/>
            <w:hideMark/>
          </w:tcPr>
          <w:p w14:paraId="0EFF7420" w14:textId="77777777" w:rsidR="00470AE4" w:rsidRPr="00C63860" w:rsidRDefault="00470AE4" w:rsidP="00470AE4">
            <w:r w:rsidRPr="00C63860">
              <w:t>K56.1</w:t>
            </w:r>
          </w:p>
        </w:tc>
        <w:tc>
          <w:tcPr>
            <w:tcW w:w="0" w:type="auto"/>
            <w:hideMark/>
          </w:tcPr>
          <w:p w14:paraId="7916B515" w14:textId="77777777" w:rsidR="00470AE4" w:rsidRPr="00C63860" w:rsidRDefault="00470AE4" w:rsidP="00470AE4">
            <w:pPr>
              <w:rPr>
                <w:color w:val="000000"/>
              </w:rPr>
            </w:pPr>
            <w:r w:rsidRPr="00C63860">
              <w:t xml:space="preserve">Intussusception </w:t>
            </w:r>
          </w:p>
        </w:tc>
        <w:tc>
          <w:tcPr>
            <w:tcW w:w="0" w:type="auto"/>
            <w:hideMark/>
          </w:tcPr>
          <w:p w14:paraId="772DCF13" w14:textId="77777777" w:rsidR="00470AE4" w:rsidRPr="00C63860" w:rsidRDefault="00470AE4" w:rsidP="00470AE4">
            <w:pPr>
              <w:jc w:val="center"/>
            </w:pPr>
            <w:r w:rsidRPr="00C63860">
              <w:t>1,465 (1.1)</w:t>
            </w:r>
          </w:p>
        </w:tc>
      </w:tr>
      <w:tr w:rsidR="00470AE4" w:rsidRPr="00C63860" w14:paraId="72400F43" w14:textId="77777777" w:rsidTr="00C63860">
        <w:trPr>
          <w:cantSplit/>
        </w:trPr>
        <w:tc>
          <w:tcPr>
            <w:tcW w:w="0" w:type="auto"/>
            <w:vMerge/>
            <w:vAlign w:val="center"/>
            <w:hideMark/>
          </w:tcPr>
          <w:p w14:paraId="2109AB97" w14:textId="77777777" w:rsidR="00470AE4" w:rsidRPr="00C63860" w:rsidRDefault="00470AE4" w:rsidP="00470AE4">
            <w:pPr>
              <w:rPr>
                <w:color w:val="000000"/>
              </w:rPr>
            </w:pPr>
          </w:p>
        </w:tc>
        <w:tc>
          <w:tcPr>
            <w:tcW w:w="0" w:type="auto"/>
            <w:hideMark/>
          </w:tcPr>
          <w:p w14:paraId="0B088924" w14:textId="77777777" w:rsidR="00470AE4" w:rsidRPr="00C63860" w:rsidRDefault="00470AE4" w:rsidP="00470AE4">
            <w:r w:rsidRPr="00C63860">
              <w:t>K56.2</w:t>
            </w:r>
          </w:p>
        </w:tc>
        <w:tc>
          <w:tcPr>
            <w:tcW w:w="0" w:type="auto"/>
            <w:hideMark/>
          </w:tcPr>
          <w:p w14:paraId="6181CFEA" w14:textId="77777777" w:rsidR="00470AE4" w:rsidRPr="00C63860" w:rsidRDefault="00470AE4" w:rsidP="00470AE4">
            <w:pPr>
              <w:rPr>
                <w:color w:val="000000"/>
              </w:rPr>
            </w:pPr>
            <w:r w:rsidRPr="00C63860">
              <w:t xml:space="preserve">Volvulus </w:t>
            </w:r>
          </w:p>
        </w:tc>
        <w:tc>
          <w:tcPr>
            <w:tcW w:w="0" w:type="auto"/>
            <w:hideMark/>
          </w:tcPr>
          <w:p w14:paraId="4C1239CB" w14:textId="77777777" w:rsidR="00470AE4" w:rsidRPr="00C63860" w:rsidRDefault="00470AE4" w:rsidP="00470AE4">
            <w:pPr>
              <w:jc w:val="center"/>
            </w:pPr>
            <w:r w:rsidRPr="00C63860">
              <w:t>16,126 (12.1)</w:t>
            </w:r>
          </w:p>
        </w:tc>
      </w:tr>
      <w:tr w:rsidR="00470AE4" w:rsidRPr="00C63860" w14:paraId="1B69DC75" w14:textId="77777777" w:rsidTr="00C63860">
        <w:trPr>
          <w:cantSplit/>
        </w:trPr>
        <w:tc>
          <w:tcPr>
            <w:tcW w:w="0" w:type="auto"/>
            <w:vMerge/>
            <w:vAlign w:val="center"/>
            <w:hideMark/>
          </w:tcPr>
          <w:p w14:paraId="1E967A79" w14:textId="77777777" w:rsidR="00470AE4" w:rsidRPr="00C63860" w:rsidRDefault="00470AE4" w:rsidP="00470AE4">
            <w:pPr>
              <w:rPr>
                <w:color w:val="000000"/>
              </w:rPr>
            </w:pPr>
          </w:p>
        </w:tc>
        <w:tc>
          <w:tcPr>
            <w:tcW w:w="0" w:type="auto"/>
            <w:hideMark/>
          </w:tcPr>
          <w:p w14:paraId="0DE534A0" w14:textId="77777777" w:rsidR="00470AE4" w:rsidRPr="00C63860" w:rsidRDefault="00470AE4" w:rsidP="00470AE4">
            <w:r w:rsidRPr="00C63860">
              <w:t>K56.3</w:t>
            </w:r>
          </w:p>
        </w:tc>
        <w:tc>
          <w:tcPr>
            <w:tcW w:w="0" w:type="auto"/>
            <w:shd w:val="solid" w:color="FFFFFF" w:fill="auto"/>
            <w:hideMark/>
          </w:tcPr>
          <w:p w14:paraId="2D20883C" w14:textId="77777777" w:rsidR="00470AE4" w:rsidRPr="00C63860" w:rsidRDefault="00470AE4" w:rsidP="00470AE4">
            <w:pPr>
              <w:rPr>
                <w:color w:val="000000"/>
              </w:rPr>
            </w:pPr>
            <w:r w:rsidRPr="00C63860">
              <w:t xml:space="preserve">Gallstone ileus </w:t>
            </w:r>
          </w:p>
        </w:tc>
        <w:tc>
          <w:tcPr>
            <w:tcW w:w="0" w:type="auto"/>
            <w:hideMark/>
          </w:tcPr>
          <w:p w14:paraId="541742C8" w14:textId="77777777" w:rsidR="00470AE4" w:rsidRPr="00C63860" w:rsidRDefault="00470AE4" w:rsidP="00470AE4">
            <w:pPr>
              <w:jc w:val="center"/>
            </w:pPr>
            <w:r w:rsidRPr="00C63860">
              <w:t>2,027 (1.5)</w:t>
            </w:r>
          </w:p>
        </w:tc>
      </w:tr>
      <w:tr w:rsidR="00470AE4" w:rsidRPr="00C63860" w14:paraId="6AE335A6" w14:textId="77777777" w:rsidTr="00C63860">
        <w:trPr>
          <w:cantSplit/>
        </w:trPr>
        <w:tc>
          <w:tcPr>
            <w:tcW w:w="0" w:type="auto"/>
            <w:vMerge/>
            <w:vAlign w:val="center"/>
            <w:hideMark/>
          </w:tcPr>
          <w:p w14:paraId="473B3A43" w14:textId="77777777" w:rsidR="00470AE4" w:rsidRPr="00C63860" w:rsidRDefault="00470AE4" w:rsidP="00470AE4">
            <w:pPr>
              <w:rPr>
                <w:color w:val="000000"/>
              </w:rPr>
            </w:pPr>
          </w:p>
        </w:tc>
        <w:tc>
          <w:tcPr>
            <w:tcW w:w="0" w:type="auto"/>
            <w:hideMark/>
          </w:tcPr>
          <w:p w14:paraId="4636FA4D" w14:textId="77777777" w:rsidR="00470AE4" w:rsidRPr="00C63860" w:rsidRDefault="00470AE4" w:rsidP="00470AE4">
            <w:r w:rsidRPr="00C63860">
              <w:t>K56.5</w:t>
            </w:r>
          </w:p>
        </w:tc>
        <w:tc>
          <w:tcPr>
            <w:tcW w:w="0" w:type="auto"/>
            <w:shd w:val="solid" w:color="FFFFFF" w:fill="auto"/>
            <w:hideMark/>
          </w:tcPr>
          <w:p w14:paraId="462D2D45" w14:textId="77777777" w:rsidR="00470AE4" w:rsidRPr="00C63860" w:rsidRDefault="00470AE4" w:rsidP="00470AE4">
            <w:pPr>
              <w:rPr>
                <w:color w:val="000000"/>
              </w:rPr>
            </w:pPr>
            <w:r w:rsidRPr="00C63860">
              <w:t xml:space="preserve">Intestinal adhesions [bands] with obstruction </w:t>
            </w:r>
          </w:p>
        </w:tc>
        <w:tc>
          <w:tcPr>
            <w:tcW w:w="0" w:type="auto"/>
            <w:hideMark/>
          </w:tcPr>
          <w:p w14:paraId="4E2E8CFA" w14:textId="77777777" w:rsidR="00470AE4" w:rsidRPr="00C63860" w:rsidRDefault="00470AE4" w:rsidP="00470AE4">
            <w:pPr>
              <w:jc w:val="center"/>
            </w:pPr>
            <w:r w:rsidRPr="00C63860">
              <w:t>46,061 (34.6)</w:t>
            </w:r>
          </w:p>
        </w:tc>
      </w:tr>
      <w:tr w:rsidR="00470AE4" w:rsidRPr="00C63860" w14:paraId="60DE66A3" w14:textId="77777777" w:rsidTr="00C63860">
        <w:trPr>
          <w:cantSplit/>
        </w:trPr>
        <w:tc>
          <w:tcPr>
            <w:tcW w:w="0" w:type="auto"/>
            <w:vMerge/>
            <w:vAlign w:val="center"/>
            <w:hideMark/>
          </w:tcPr>
          <w:p w14:paraId="298E118D" w14:textId="77777777" w:rsidR="00470AE4" w:rsidRPr="00C63860" w:rsidRDefault="00470AE4" w:rsidP="00470AE4">
            <w:pPr>
              <w:rPr>
                <w:color w:val="000000"/>
              </w:rPr>
            </w:pPr>
          </w:p>
        </w:tc>
        <w:tc>
          <w:tcPr>
            <w:tcW w:w="0" w:type="auto"/>
            <w:hideMark/>
          </w:tcPr>
          <w:p w14:paraId="4A440598" w14:textId="77777777" w:rsidR="00470AE4" w:rsidRPr="00C63860" w:rsidRDefault="00470AE4" w:rsidP="00470AE4">
            <w:r w:rsidRPr="00C63860">
              <w:t>K56.6</w:t>
            </w:r>
          </w:p>
        </w:tc>
        <w:tc>
          <w:tcPr>
            <w:tcW w:w="0" w:type="auto"/>
            <w:shd w:val="solid" w:color="FFFFFF" w:fill="auto"/>
            <w:hideMark/>
          </w:tcPr>
          <w:p w14:paraId="2E977AFA" w14:textId="77777777" w:rsidR="00470AE4" w:rsidRPr="00C63860" w:rsidRDefault="00470AE4" w:rsidP="00470AE4">
            <w:pPr>
              <w:rPr>
                <w:color w:val="000000"/>
              </w:rPr>
            </w:pPr>
            <w:r w:rsidRPr="00C63860">
              <w:t xml:space="preserve">Other and unspecified intestinal obstruction </w:t>
            </w:r>
          </w:p>
        </w:tc>
        <w:tc>
          <w:tcPr>
            <w:tcW w:w="0" w:type="auto"/>
            <w:hideMark/>
          </w:tcPr>
          <w:p w14:paraId="04558BBC" w14:textId="77777777" w:rsidR="00470AE4" w:rsidRPr="00C63860" w:rsidRDefault="00470AE4" w:rsidP="00470AE4">
            <w:pPr>
              <w:jc w:val="center"/>
            </w:pPr>
            <w:r w:rsidRPr="00C63860">
              <w:t>67,394 (50.6)</w:t>
            </w:r>
          </w:p>
        </w:tc>
      </w:tr>
    </w:tbl>
    <w:p w14:paraId="340EAAC2" w14:textId="42E29BEF" w:rsidR="00470AE4" w:rsidRPr="00C63860" w:rsidRDefault="00470AE4" w:rsidP="00455F64">
      <w:pPr>
        <w:pStyle w:val="Heading1"/>
        <w:spacing w:before="240" w:after="240"/>
      </w:pPr>
      <w:bookmarkStart w:id="105" w:name="_Toc86673004"/>
      <w:r w:rsidRPr="00C63860">
        <w:t>Appendix 2</w:t>
      </w:r>
      <w:r w:rsidR="00D66487" w:rsidRPr="00C63860">
        <w:t xml:space="preserve">: </w:t>
      </w:r>
      <w:r w:rsidRPr="00C63860">
        <w:t>Additional notes on the instrumental variable (tendency to operate) and statistical analysis methods</w:t>
      </w:r>
      <w:bookmarkEnd w:id="105"/>
    </w:p>
    <w:p w14:paraId="19341412" w14:textId="77777777" w:rsidR="00C63860" w:rsidRPr="00C63860" w:rsidRDefault="00470AE4" w:rsidP="00455F64">
      <w:pPr>
        <w:spacing w:before="240" w:after="240" w:line="276" w:lineRule="auto"/>
        <w:jc w:val="both"/>
        <w:rPr>
          <w:rFonts w:cstheme="minorHAnsi"/>
          <w:b/>
          <w:bCs/>
        </w:rPr>
      </w:pPr>
      <w:r w:rsidRPr="00C63860">
        <w:rPr>
          <w:rFonts w:cstheme="minorHAnsi"/>
          <w:b/>
          <w:bCs/>
        </w:rPr>
        <w:t>A2.1 Tendency to Operate (TTO) as an instrumental variable</w:t>
      </w:r>
    </w:p>
    <w:p w14:paraId="6096B6F4" w14:textId="22081AAC" w:rsidR="00C63860" w:rsidRPr="00C63860" w:rsidRDefault="00470AE4" w:rsidP="00455F64">
      <w:pPr>
        <w:spacing w:before="240" w:after="240" w:line="276" w:lineRule="auto"/>
      </w:pPr>
      <w:r w:rsidRPr="00C63860">
        <w:t xml:space="preserve">The ESORT study uses a preference-based </w:t>
      </w:r>
      <w:r w:rsidR="006E540D" w:rsidRPr="00C63860">
        <w:t xml:space="preserve">IV </w:t>
      </w:r>
      <w:r w:rsidRPr="00C63860">
        <w:t xml:space="preserve">design, with the </w:t>
      </w:r>
      <w:r w:rsidR="006E540D" w:rsidRPr="00C63860">
        <w:t>IV</w:t>
      </w:r>
      <w:r w:rsidRPr="00C63860">
        <w:t xml:space="preserve"> as the hospital</w:t>
      </w:r>
      <w:r w:rsidR="00C63860" w:rsidRPr="00C63860">
        <w:rPr>
          <w:color w:val="00B0F0"/>
        </w:rPr>
        <w:t>’</w:t>
      </w:r>
      <w:r w:rsidRPr="00C63860">
        <w:t>s TTO.</w:t>
      </w:r>
      <w:r w:rsidRPr="00C63860">
        <w:rPr>
          <w:noProof/>
          <w:vertAlign w:val="superscript"/>
        </w:rPr>
        <w:t>19</w:t>
      </w:r>
      <w:r w:rsidR="00C63860" w:rsidRPr="00C63860">
        <w:rPr>
          <w:vertAlign w:val="superscript"/>
        </w:rPr>
        <w:t xml:space="preserve"> </w:t>
      </w:r>
      <w:r w:rsidRPr="00C63860">
        <w:t xml:space="preserve">The TTO is defined for each qualifying emergency admission, as the proportion of eligible emergency admissions in the 12 months prior to each admission in the specific hospital, who received ES rather than NES strategies, see </w:t>
      </w:r>
      <w:r w:rsidR="00C63860" w:rsidRPr="00C63860">
        <w:rPr>
          <w:i/>
          <w:iCs/>
          <w:color w:val="FF0000"/>
        </w:rPr>
        <w:t>Figure 28</w:t>
      </w:r>
      <w:r w:rsidRPr="00C63860">
        <w:t>. A precedent study by Keele</w:t>
      </w:r>
      <w:r w:rsidRPr="00C63860">
        <w:rPr>
          <w:i/>
          <w:color w:val="00B0F0"/>
        </w:rPr>
        <w:t xml:space="preserve"> et al</w:t>
      </w:r>
      <w:r w:rsidRPr="00C63860">
        <w:t>. took a similar approach, using TTO at the surgeon level, to evaluate ES versus NES strategies using US</w:t>
      </w:r>
      <w:r w:rsidR="006E540D" w:rsidRPr="00C63860">
        <w:t>A</w:t>
      </w:r>
      <w:r w:rsidRPr="00C63860">
        <w:t xml:space="preserve"> claims </w:t>
      </w:r>
      <w:r w:rsidRPr="00C63860">
        <w:rPr>
          <w:highlight w:val="magenta"/>
        </w:rPr>
        <w:t>data</w:t>
      </w:r>
      <w:r w:rsidRPr="00C63860">
        <w:t>.</w:t>
      </w:r>
      <w:r w:rsidRPr="00C63860">
        <w:rPr>
          <w:noProof/>
          <w:vertAlign w:val="superscript"/>
        </w:rPr>
        <w:t>124</w:t>
      </w:r>
      <w:r w:rsidRPr="00C63860">
        <w:t xml:space="preserve"> A recent systematic review identified 185 studies which applied preference based IV methods within health research and reported such methods were most commonly applied to cancer, cardiovascular diseases and mental health.</w:t>
      </w:r>
      <w:r w:rsidRPr="00C63860">
        <w:rPr>
          <w:noProof/>
          <w:vertAlign w:val="superscript"/>
        </w:rPr>
        <w:t>90</w:t>
      </w:r>
      <w:r w:rsidRPr="00C63860">
        <w:t xml:space="preserve"> As noted by the authors, a valid </w:t>
      </w:r>
      <w:r w:rsidR="006E540D" w:rsidRPr="00C63860">
        <w:t>IV</w:t>
      </w:r>
      <w:r w:rsidRPr="00C63860">
        <w:t xml:space="preserve"> must (i) strongly predict treatment status (</w:t>
      </w:r>
      <w:r w:rsidR="00C63860" w:rsidRPr="00C63860">
        <w:rPr>
          <w:color w:val="00B0F0"/>
        </w:rPr>
        <w:t>“</w:t>
      </w:r>
      <w:r w:rsidR="006F6056" w:rsidRPr="00C63860">
        <w:t>relevance</w:t>
      </w:r>
      <w:r w:rsidR="00C63860" w:rsidRPr="00C63860">
        <w:rPr>
          <w:color w:val="00B0F0"/>
        </w:rPr>
        <w:t>”</w:t>
      </w:r>
      <w:r w:rsidRPr="00C63860">
        <w:t>), (ii) affect outcomes only through exposure (</w:t>
      </w:r>
      <w:r w:rsidR="00C63860" w:rsidRPr="00C63860">
        <w:rPr>
          <w:color w:val="00B0F0"/>
        </w:rPr>
        <w:t>“</w:t>
      </w:r>
      <w:r w:rsidR="006F6056" w:rsidRPr="00C63860">
        <w:t>exclusion</w:t>
      </w:r>
      <w:r w:rsidR="00C63860" w:rsidRPr="00C63860">
        <w:rPr>
          <w:color w:val="00B0F0"/>
        </w:rPr>
        <w:t>”</w:t>
      </w:r>
      <w:r w:rsidRPr="00C63860">
        <w:t>), and (iii) not share any unmeasured causes with the outcome (</w:t>
      </w:r>
      <w:r w:rsidR="00C63860" w:rsidRPr="00C63860">
        <w:rPr>
          <w:color w:val="00B0F0"/>
        </w:rPr>
        <w:t>“</w:t>
      </w:r>
      <w:r w:rsidR="006F6056" w:rsidRPr="00C63860">
        <w:t>unconfoundedness</w:t>
      </w:r>
      <w:r w:rsidR="00C63860" w:rsidRPr="00C63860">
        <w:rPr>
          <w:color w:val="00B0F0"/>
        </w:rPr>
        <w:t>”</w:t>
      </w:r>
      <w:r w:rsidRPr="00C63860">
        <w:t>) and (iv) the IV only affects treatment status in one direction (</w:t>
      </w:r>
      <w:r w:rsidR="00C63860" w:rsidRPr="00C63860">
        <w:rPr>
          <w:color w:val="00B0F0"/>
        </w:rPr>
        <w:t>“</w:t>
      </w:r>
      <w:r w:rsidR="006F6056" w:rsidRPr="00C63860">
        <w:t>monotonocity</w:t>
      </w:r>
      <w:r w:rsidR="00C63860" w:rsidRPr="00C63860">
        <w:rPr>
          <w:color w:val="00B0F0"/>
        </w:rPr>
        <w:t>”</w:t>
      </w:r>
      <w:r w:rsidRPr="00C63860">
        <w:t>).</w:t>
      </w:r>
      <w:r w:rsidRPr="00C63860">
        <w:rPr>
          <w:noProof/>
          <w:vertAlign w:val="superscript"/>
        </w:rPr>
        <w:t>90</w:t>
      </w:r>
    </w:p>
    <w:p w14:paraId="64CBAFB8" w14:textId="06FDA76B" w:rsidR="00470AE4" w:rsidRPr="00C63860" w:rsidRDefault="00470AE4" w:rsidP="00455F64">
      <w:pPr>
        <w:spacing w:before="240" w:after="240" w:line="276" w:lineRule="auto"/>
        <w:rPr>
          <w:rFonts w:asciiTheme="minorHAnsi" w:hAnsiTheme="minorHAnsi" w:cstheme="minorBidi"/>
        </w:rPr>
      </w:pPr>
      <w:r w:rsidRPr="00C63860">
        <w:rPr>
          <w:bCs/>
        </w:rPr>
        <w:t>Hospitals that differ in their TTO may be expected to differ in the probability that they will provide ES to a particular patient. We find considerable variation across hospitals in their TTO, even after adjusting for observable characteristics of the patients. T</w:t>
      </w:r>
      <w:r w:rsidRPr="00C63860">
        <w:t>he hospital</w:t>
      </w:r>
      <w:r w:rsidR="00C63860" w:rsidRPr="00C63860">
        <w:rPr>
          <w:color w:val="00B0F0"/>
        </w:rPr>
        <w:t>’</w:t>
      </w:r>
      <w:r w:rsidRPr="00C63860">
        <w:t xml:space="preserve">s TTO was strongly correlated with ES receipt for each of the five conditions, even after controlling for a rich set of covariates, with F-statistics that ranged from 450 (diverticular disease) to 24,517 (cholelithiasis), see </w:t>
      </w:r>
      <w:r w:rsidR="00C63860" w:rsidRPr="00C63860">
        <w:rPr>
          <w:i/>
          <w:color w:val="FF0000"/>
        </w:rPr>
        <w:t xml:space="preserve">Table </w:t>
      </w:r>
      <w:r w:rsidR="00C63860" w:rsidRPr="00C63860">
        <w:rPr>
          <w:i/>
          <w:iCs/>
          <w:color w:val="FF0000"/>
        </w:rPr>
        <w:t>22</w:t>
      </w:r>
      <w:r w:rsidRPr="00C63860">
        <w:t xml:space="preserve"> below. A commonly applied threshold for </w:t>
      </w:r>
      <w:r w:rsidR="00C63860" w:rsidRPr="00C63860">
        <w:rPr>
          <w:color w:val="00B0F0"/>
        </w:rPr>
        <w:t>‘</w:t>
      </w:r>
      <w:r w:rsidR="006F6056" w:rsidRPr="00C63860">
        <w:t>weak</w:t>
      </w:r>
      <w:r w:rsidR="00C63860" w:rsidRPr="00C63860">
        <w:rPr>
          <w:color w:val="00B0F0"/>
        </w:rPr>
        <w:t>’</w:t>
      </w:r>
      <w:r w:rsidRPr="00C63860">
        <w:t xml:space="preserve"> instruments is </w:t>
      </w:r>
      <w:r w:rsidRPr="00C63860">
        <w:rPr>
          <w:highlight w:val="magenta"/>
        </w:rPr>
        <w:t>an F</w:t>
      </w:r>
      <w:r w:rsidRPr="00C63860">
        <w:t>-statistic less than 10.</w:t>
      </w:r>
      <w:r w:rsidRPr="00C63860">
        <w:rPr>
          <w:noProof/>
          <w:vertAlign w:val="superscript"/>
        </w:rPr>
        <w:t>53</w:t>
      </w:r>
      <w:r w:rsidRPr="00C63860">
        <w:t xml:space="preserve"> Thus the hospital</w:t>
      </w:r>
      <w:r w:rsidR="00C63860" w:rsidRPr="00C63860">
        <w:rPr>
          <w:color w:val="00B0F0"/>
        </w:rPr>
        <w:t>’</w:t>
      </w:r>
      <w:r w:rsidRPr="00C63860">
        <w:t>s past preference for ES strongly predicts treatment choice for the current patient.</w:t>
      </w:r>
    </w:p>
    <w:p w14:paraId="51FE03F4" w14:textId="1702754D" w:rsidR="00C63860" w:rsidRPr="00C63860" w:rsidRDefault="00470AE4" w:rsidP="00455F64">
      <w:pPr>
        <w:spacing w:before="240" w:after="240" w:line="276" w:lineRule="auto"/>
      </w:pPr>
      <w:r w:rsidRPr="00C63860">
        <w:t xml:space="preserve">The validity of the </w:t>
      </w:r>
      <w:r w:rsidR="006E540D" w:rsidRPr="00C63860">
        <w:t xml:space="preserve">IV </w:t>
      </w:r>
      <w:r w:rsidRPr="00C63860">
        <w:t>analyses rests on the assumption that, conditional on the included variables, the TTO does not influence the outcomes except through changing the uptake of ES (assumptions (i) and (ii)). To increase the plausibility of this assumption, we adjust for fixed effects (indicators) for each financial year, observable patient characteristics, and proxies for hospital quality, a key unobservable confounder.</w:t>
      </w:r>
      <w:r w:rsidR="00C63860" w:rsidRPr="00C63860">
        <w:t xml:space="preserve"> </w:t>
      </w:r>
      <w:r w:rsidRPr="00C63860">
        <w:t xml:space="preserve">Including hospital fixed effects would result in greatly inflated standard errors since they would remove all between hospital variation. We did not include these fixed effects as they aim to control for time invariant confounders, captured by the proxies for hospital quality (past mortality or readmissions either at baseline or over the </w:t>
      </w:r>
      <w:r w:rsidRPr="00C63860">
        <w:rPr>
          <w:highlight w:val="magenta"/>
        </w:rPr>
        <w:t>preceding</w:t>
      </w:r>
      <w:r w:rsidRPr="00C63860">
        <w:t xml:space="preserve"> year). Moreover, the approach taken, of controlling for baseline and a moving window of mortality and readmissions, reduces the concern that bias may be introduced if sicker patients tend to attend hospitals with a higher (or lower) TTO, since we anticipate that this is captured in the measured covariates including hospital quality. While the assumption that the instrumental variable is not correlated with outcomes or unobserved confounders, conditional on the variables controlled for, is fundamentally untestable, some reassurance is provided if observed covariates do not vary across levels of the instrument.</w:t>
      </w:r>
      <w:r w:rsidR="00C63860" w:rsidRPr="00C63860">
        <w:t xml:space="preserve"> </w:t>
      </w:r>
      <w:r w:rsidR="00C63860" w:rsidRPr="00C63860">
        <w:rPr>
          <w:rFonts w:asciiTheme="minorHAnsi" w:eastAsiaTheme="minorEastAsia" w:hAnsiTheme="minorHAnsi" w:cstheme="minorBidi"/>
          <w:i/>
          <w:color w:val="FF0000"/>
          <w:sz w:val="21"/>
          <w:szCs w:val="21"/>
        </w:rPr>
        <w:t xml:space="preserve">Figure </w:t>
      </w:r>
      <w:r w:rsidR="00C63860" w:rsidRPr="00C63860">
        <w:rPr>
          <w:rFonts w:asciiTheme="minorHAnsi" w:eastAsiaTheme="minorEastAsia" w:hAnsiTheme="minorHAnsi" w:cstheme="minorBidi"/>
          <w:i/>
          <w:iCs/>
          <w:color w:val="FF0000"/>
          <w:sz w:val="21"/>
          <w:szCs w:val="21"/>
        </w:rPr>
        <w:t>29</w:t>
      </w:r>
      <w:r w:rsidRPr="00C63860">
        <w:rPr>
          <w:rFonts w:asciiTheme="minorHAnsi" w:eastAsiaTheme="minorEastAsia" w:hAnsiTheme="minorHAnsi" w:cstheme="minorBidi"/>
          <w:sz w:val="21"/>
          <w:szCs w:val="21"/>
        </w:rPr>
        <w:t xml:space="preserve"> below illustrates that observed confounders are similar across levels of the TTO, which provides support for the underlying assumptions.</w:t>
      </w:r>
    </w:p>
    <w:p w14:paraId="37679E03" w14:textId="3217B16A" w:rsidR="00C63860" w:rsidRPr="00C63860" w:rsidRDefault="00470AE4" w:rsidP="00455F64">
      <w:pPr>
        <w:spacing w:before="240" w:after="240" w:line="276" w:lineRule="auto"/>
        <w:jc w:val="both"/>
        <w:rPr>
          <w:rFonts w:cstheme="minorHAnsi"/>
          <w:b/>
          <w:bCs/>
        </w:rPr>
      </w:pPr>
      <w:r w:rsidRPr="00C63860">
        <w:rPr>
          <w:rFonts w:cstheme="minorHAnsi"/>
          <w:b/>
          <w:bCs/>
        </w:rPr>
        <w:t>A2.2 Person-level instrumental variable approach</w:t>
      </w:r>
    </w:p>
    <w:p w14:paraId="46D30E39" w14:textId="5B783DF8" w:rsidR="00C63860" w:rsidRPr="00C63860" w:rsidRDefault="00470AE4" w:rsidP="00404610">
      <w:pPr>
        <w:spacing w:before="240" w:after="240" w:line="276" w:lineRule="auto"/>
        <w:rPr>
          <w:rFonts w:cstheme="minorBidi"/>
        </w:rPr>
      </w:pPr>
      <w:r w:rsidRPr="00C63860">
        <w:rPr>
          <w:rFonts w:cstheme="minorBidi"/>
        </w:rPr>
        <w:t xml:space="preserve">The </w:t>
      </w:r>
      <w:r w:rsidR="006E540D" w:rsidRPr="00C63860">
        <w:rPr>
          <w:rFonts w:cstheme="minorBidi"/>
        </w:rPr>
        <w:t>IV</w:t>
      </w:r>
      <w:r w:rsidRPr="00C63860">
        <w:rPr>
          <w:rFonts w:cstheme="minorBidi"/>
        </w:rPr>
        <w:t xml:space="preserve"> approach begins by estimating treatment effects for </w:t>
      </w:r>
      <w:r w:rsidR="00C63860" w:rsidRPr="00C63860">
        <w:rPr>
          <w:rFonts w:cstheme="minorBidi"/>
          <w:color w:val="00B0F0"/>
        </w:rPr>
        <w:t>“</w:t>
      </w:r>
      <w:r w:rsidR="006F6056" w:rsidRPr="00C63860">
        <w:rPr>
          <w:rFonts w:cstheme="minorBidi"/>
        </w:rPr>
        <w:t>marginal</w:t>
      </w:r>
      <w:r w:rsidR="00C63860" w:rsidRPr="00C63860">
        <w:rPr>
          <w:rFonts w:cstheme="minorBidi"/>
          <w:color w:val="00B0F0"/>
        </w:rPr>
        <w:t>”</w:t>
      </w:r>
      <w:r w:rsidRPr="00C63860">
        <w:rPr>
          <w:rFonts w:cstheme="minorBidi"/>
        </w:rPr>
        <w:t xml:space="preserve"> patients, those for whom there was equipoise about the ES decision according to these measured characteristics (e.g. age, TTO), as well as those unmeasured in the </w:t>
      </w:r>
      <w:r w:rsidRPr="00C63860">
        <w:rPr>
          <w:rFonts w:cstheme="minorBidi"/>
          <w:highlight w:val="magenta"/>
        </w:rPr>
        <w:t>data</w:t>
      </w:r>
      <w:r w:rsidRPr="00C63860">
        <w:rPr>
          <w:rFonts w:cstheme="minorBidi"/>
        </w:rPr>
        <w:t xml:space="preserve"> (e.g. physiology). For these (hypothetical) marginal patients, the instrumental variable approach estimates treatment effects for patients for whom a small change (or nudge) in the TTO (the instrument), can </w:t>
      </w:r>
      <w:r w:rsidR="006F6056" w:rsidRPr="00C63860">
        <w:rPr>
          <w:rFonts w:cstheme="minorBidi"/>
          <w:color w:val="00B0F0"/>
          <w:highlight w:val="green"/>
        </w:rPr>
        <w:t>‘</w:t>
      </w:r>
      <w:r w:rsidR="006F6056" w:rsidRPr="00C63860">
        <w:rPr>
          <w:rFonts w:cstheme="minorBidi"/>
          <w:highlight w:val="green"/>
        </w:rPr>
        <w:t>tip the balance</w:t>
      </w:r>
      <w:r w:rsidR="006F6056" w:rsidRPr="00C63860">
        <w:rPr>
          <w:rFonts w:cstheme="minorBidi"/>
          <w:color w:val="00B0F0"/>
          <w:highlight w:val="green"/>
        </w:rPr>
        <w:t>’</w:t>
      </w:r>
      <w:r w:rsidRPr="00C63860">
        <w:rPr>
          <w:rFonts w:cstheme="minorBidi"/>
        </w:rPr>
        <w:t xml:space="preserve"> towards ES, but does not change the level of any risk factors, including those that are not unmeasured. Comparing outcomes for patients defined according to small differences in the TTO therefore provides an estimate of the causal effect of ES versus NES for similar patients. By repeating this contrast across different levels of TTO, the study can estimate treatment effects for sets of marginal patients with different combinations of confounders (e.g. frailty levels).</w:t>
      </w:r>
    </w:p>
    <w:p w14:paraId="29E6A67F" w14:textId="7EFD1E89" w:rsidR="00470AE4" w:rsidRPr="00C63860" w:rsidRDefault="00470AE4" w:rsidP="00404610">
      <w:pPr>
        <w:spacing w:before="240" w:after="240" w:line="276" w:lineRule="auto"/>
        <w:rPr>
          <w:rFonts w:cstheme="minorBidi"/>
          <w:bCs/>
        </w:rPr>
      </w:pPr>
      <w:r w:rsidRPr="00C63860">
        <w:rPr>
          <w:rFonts w:cstheme="minorBidi"/>
        </w:rPr>
        <w:t xml:space="preserve">Each individual in the </w:t>
      </w:r>
      <w:r w:rsidR="00C63860" w:rsidRPr="00C63860">
        <w:rPr>
          <w:rFonts w:cstheme="minorBidi"/>
          <w:color w:val="00B0F0"/>
          <w:highlight w:val="magenta"/>
        </w:rPr>
        <w:t>data</w:t>
      </w:r>
      <w:r w:rsidR="00C63860" w:rsidRPr="00C63860">
        <w:rPr>
          <w:rFonts w:cstheme="minorBidi"/>
          <w:color w:val="00B0F0"/>
        </w:rPr>
        <w:t xml:space="preserve"> set</w:t>
      </w:r>
      <w:r w:rsidRPr="00C63860">
        <w:rPr>
          <w:rFonts w:cstheme="minorBidi"/>
        </w:rPr>
        <w:t xml:space="preserve">, given their observed and unobserved confounders, would be a marginal patient at </w:t>
      </w:r>
      <w:r w:rsidRPr="00C63860">
        <w:rPr>
          <w:rFonts w:cstheme="minorBidi"/>
          <w:i/>
        </w:rPr>
        <w:t>some</w:t>
      </w:r>
      <w:r w:rsidRPr="00C63860">
        <w:rPr>
          <w:rFonts w:cstheme="minorBidi"/>
        </w:rPr>
        <w:t xml:space="preserve"> level of the TTO. In the absence of further information, we might simply calculate individual-level treatment effects as the average across all marginal patients with similar characteristics to the individual to obtain an effect estimate for each individual. However, the observed decision on whether or not an individual patient has ES provides some information on the extent to which the levels of unobserved confounders for that individual either encouraged/discouraged ES. For instance, if an individual who according to the observed baseline measures is at low risk, and presents to a hospital with a low TTO, does actually receive ES, we can </w:t>
      </w:r>
      <w:r w:rsidRPr="00C63860">
        <w:rPr>
          <w:rFonts w:cstheme="minorBidi"/>
          <w:highlight w:val="magenta"/>
        </w:rPr>
        <w:t>infer</w:t>
      </w:r>
      <w:r w:rsidRPr="00C63860">
        <w:rPr>
          <w:rFonts w:cstheme="minorBidi"/>
        </w:rPr>
        <w:t xml:space="preserve"> their unobserved characteristics were such that they influenced the decision to have ES. Therefore, for each individual, a treatment effect is obtained by averaging the treatment effects for those marginal patients who share the same observed characteristics, and who has estimated levels of unobserved confounders that are consistent with the observed ES decision, for that individual, g</w:t>
      </w:r>
      <w:r w:rsidRPr="00C63860">
        <w:t>iven the TTO in the hospital that they were admitted to, at the time they were first seen by the surgical team (time zero)</w:t>
      </w:r>
      <w:r w:rsidRPr="00C63860">
        <w:rPr>
          <w:rFonts w:cstheme="minorBidi"/>
        </w:rPr>
        <w:t>. The estimated individual-level treatment effects can then be averaged over any sample characteristics to report the effectiveness of ES at the subgroup-level, or for the full sample to obtain an average treatment effect estimate.</w:t>
      </w:r>
    </w:p>
    <w:p w14:paraId="108E2E2E" w14:textId="7D782732" w:rsidR="00470AE4" w:rsidRPr="00C63860" w:rsidRDefault="00470AE4" w:rsidP="00455F64">
      <w:pPr>
        <w:tabs>
          <w:tab w:val="center" w:pos="4513"/>
          <w:tab w:val="right" w:pos="9026"/>
        </w:tabs>
        <w:suppressAutoHyphens/>
        <w:spacing w:before="240" w:after="240" w:line="276" w:lineRule="auto"/>
        <w:rPr>
          <w:rFonts w:asciiTheme="minorHAnsi" w:hAnsiTheme="minorHAnsi" w:cstheme="minorHAnsi"/>
        </w:rPr>
      </w:pPr>
      <w:r w:rsidRPr="00C63860">
        <w:rPr>
          <w:rFonts w:asciiTheme="minorHAnsi" w:hAnsiTheme="minorHAnsi" w:cstheme="minorHAnsi"/>
        </w:rPr>
        <w:t xml:space="preserve">This </w:t>
      </w:r>
      <w:r w:rsidR="006E540D" w:rsidRPr="00C63860">
        <w:rPr>
          <w:rFonts w:asciiTheme="minorHAnsi" w:hAnsiTheme="minorHAnsi" w:cstheme="minorHAnsi"/>
        </w:rPr>
        <w:t>LIV</w:t>
      </w:r>
      <w:r w:rsidRPr="00C63860">
        <w:rPr>
          <w:rFonts w:asciiTheme="minorHAnsi" w:hAnsiTheme="minorHAnsi" w:cstheme="minorHAnsi"/>
        </w:rPr>
        <w:t xml:space="preserve"> approach was implemented as follows: first, each patient</w:t>
      </w:r>
      <w:r w:rsidR="00C63860" w:rsidRPr="00C63860">
        <w:rPr>
          <w:rFonts w:asciiTheme="minorHAnsi" w:hAnsiTheme="minorHAnsi" w:cstheme="minorHAnsi"/>
          <w:color w:val="00B0F0"/>
        </w:rPr>
        <w:t>’</w:t>
      </w:r>
      <w:r w:rsidRPr="00C63860">
        <w:rPr>
          <w:rFonts w:asciiTheme="minorHAnsi" w:hAnsiTheme="minorHAnsi" w:cstheme="minorHAnsi"/>
        </w:rPr>
        <w:t xml:space="preserve">s propensity for ES was estimated </w:t>
      </w:r>
      <w:r w:rsidR="006E540D" w:rsidRPr="00C63860">
        <w:rPr>
          <w:rFonts w:asciiTheme="minorHAnsi" w:hAnsiTheme="minorHAnsi" w:cstheme="minorHAnsi"/>
        </w:rPr>
        <w:t>a</w:t>
      </w:r>
      <w:r w:rsidRPr="00C63860">
        <w:rPr>
          <w:rFonts w:asciiTheme="minorHAnsi" w:hAnsiTheme="minorHAnsi" w:cstheme="minorHAnsi"/>
        </w:rPr>
        <w:t>ccording to their observed characteristics and the TTO. Second, an outcome model was estimated relating the observed outcome to the individuals</w:t>
      </w:r>
      <w:r w:rsidR="00C63860" w:rsidRPr="00C63860">
        <w:rPr>
          <w:rFonts w:asciiTheme="minorHAnsi" w:hAnsiTheme="minorHAnsi" w:cstheme="minorHAnsi"/>
          <w:color w:val="00B0F0"/>
        </w:rPr>
        <w:t>’</w:t>
      </w:r>
      <w:r w:rsidRPr="00C63860">
        <w:rPr>
          <w:rFonts w:asciiTheme="minorHAnsi" w:hAnsiTheme="minorHAnsi" w:cstheme="minorHAnsi"/>
        </w:rPr>
        <w:t xml:space="preserve"> observed characteristics, and their propensity for ES, along with interactions between them. After estimating the model, the marginal treatment effect was obtained by considering the impact of a marginal change in the propensity for ES on outcomes. Third, numerical integration was used to obtain individual level treatment effects. The steps were bootstrapped 300 times (200 times for sensitivity analyses </w:t>
      </w:r>
      <w:r w:rsidRPr="00C63860">
        <w:rPr>
          <w:rFonts w:asciiTheme="minorHAnsi" w:hAnsiTheme="minorHAnsi" w:cstheme="minorHAnsi"/>
          <w:highlight w:val="magenta"/>
        </w:rPr>
        <w:t>due to</w:t>
      </w:r>
      <w:r w:rsidRPr="00C63860">
        <w:rPr>
          <w:rFonts w:asciiTheme="minorHAnsi" w:hAnsiTheme="minorHAnsi" w:cstheme="minorHAnsi"/>
        </w:rPr>
        <w:t xml:space="preserve"> computational complexity) to obtain standard errors and </w:t>
      </w:r>
      <w:r w:rsidR="00392D93" w:rsidRPr="00C63860">
        <w:rPr>
          <w:rFonts w:asciiTheme="minorHAnsi" w:hAnsiTheme="minorHAnsi" w:cstheme="minorHAnsi"/>
        </w:rPr>
        <w:t>CIs</w:t>
      </w:r>
      <w:r w:rsidRPr="00C63860">
        <w:rPr>
          <w:rFonts w:asciiTheme="minorHAnsi" w:hAnsiTheme="minorHAnsi" w:cstheme="minorHAnsi"/>
        </w:rPr>
        <w:t>.</w:t>
      </w:r>
      <w:r w:rsidR="00C63860" w:rsidRPr="00C63860">
        <w:rPr>
          <w:rFonts w:asciiTheme="minorHAnsi" w:hAnsiTheme="minorHAnsi" w:cstheme="minorHAnsi"/>
        </w:rPr>
        <w:t xml:space="preserve"> </w:t>
      </w:r>
      <w:r w:rsidRPr="00C63860">
        <w:rPr>
          <w:rFonts w:asciiTheme="minorHAnsi" w:hAnsiTheme="minorHAnsi" w:cstheme="minorHAnsi"/>
        </w:rPr>
        <w:t>(For further details on the estimation steps, see Basu, 2015).</w:t>
      </w:r>
      <w:r w:rsidRPr="00C63860">
        <w:rPr>
          <w:rFonts w:asciiTheme="minorHAnsi" w:hAnsiTheme="minorHAnsi" w:cstheme="minorHAnsi"/>
          <w:noProof/>
          <w:vertAlign w:val="superscript"/>
        </w:rPr>
        <w:t>55</w:t>
      </w:r>
    </w:p>
    <w:p w14:paraId="398E5E99" w14:textId="77777777" w:rsidR="00470AE4" w:rsidRPr="00C63860" w:rsidRDefault="00470AE4" w:rsidP="00455F64">
      <w:pPr>
        <w:spacing w:before="240" w:after="240" w:line="276" w:lineRule="auto"/>
        <w:rPr>
          <w:b/>
          <w:bCs/>
          <w:color w:val="201F1E"/>
          <w:bdr w:val="none" w:sz="0" w:space="0" w:color="auto" w:frame="1"/>
        </w:rPr>
      </w:pPr>
      <w:r w:rsidRPr="00C63860">
        <w:rPr>
          <w:b/>
          <w:bCs/>
          <w:color w:val="201F1E"/>
          <w:bdr w:val="none" w:sz="0" w:space="0" w:color="auto" w:frame="1"/>
        </w:rPr>
        <w:t>A2.3 Proxies for the quality of acute care</w:t>
      </w:r>
    </w:p>
    <w:p w14:paraId="7F748B63" w14:textId="1ADC55FE" w:rsidR="00C63860" w:rsidRPr="00C63860" w:rsidRDefault="00470AE4" w:rsidP="00455F64">
      <w:pPr>
        <w:spacing w:before="240" w:after="240" w:line="276" w:lineRule="auto"/>
      </w:pPr>
      <w:r w:rsidRPr="00C63860">
        <w:t xml:space="preserve">The validity of an </w:t>
      </w:r>
      <w:r w:rsidR="006E540D" w:rsidRPr="00C63860">
        <w:t>IV</w:t>
      </w:r>
      <w:r w:rsidRPr="00C63860">
        <w:t xml:space="preserve"> analysis analyses assumes that, conditional on the observed baseline covariates, the </w:t>
      </w:r>
      <w:r w:rsidR="006E540D" w:rsidRPr="00C63860">
        <w:t>IV</w:t>
      </w:r>
      <w:r w:rsidRPr="00C63860">
        <w:t xml:space="preserve"> does not have a direct effect on the outcome except through influencing the receipt of treatment. The requisite assumptions could be violated if the quality of the acute care, which is an unmeasured variable, was associated with the hospital</w:t>
      </w:r>
      <w:r w:rsidR="00C63860" w:rsidRPr="00C63860">
        <w:rPr>
          <w:color w:val="00B0F0"/>
        </w:rPr>
        <w:t>’</w:t>
      </w:r>
      <w:r w:rsidRPr="00C63860">
        <w:t xml:space="preserve">s TTO. Information was therefore collated to proxy the quality of acute care for emergency admissions with each acute condition, by extracting from the HES </w:t>
      </w:r>
      <w:r w:rsidRPr="00C63860">
        <w:rPr>
          <w:highlight w:val="magenta"/>
        </w:rPr>
        <w:t>data</w:t>
      </w:r>
      <w:r w:rsidRPr="00C63860">
        <w:t>, rates of all-cause mortality and emergency readmissions up to 90 days for each hospital. The proxy measures for quality were chosen to adjust for both time-constant differences in quality across hospitals, and those that differed over time. This information was reported for each condition for the 2009</w:t>
      </w:r>
      <w:r w:rsidR="00C63860" w:rsidRPr="00C63860">
        <w:rPr>
          <w:color w:val="00B0F0"/>
        </w:rPr>
        <w:t>–2</w:t>
      </w:r>
      <w:r w:rsidRPr="00C63860">
        <w:t xml:space="preserve">010 financial year, to provide a baseline, time-invariant proxies for care quality in each hospital, and for the </w:t>
      </w:r>
      <w:r w:rsidR="006E540D" w:rsidRPr="00C63860">
        <w:t>one</w:t>
      </w:r>
      <w:r w:rsidRPr="00C63860">
        <w:t xml:space="preserve"> year </w:t>
      </w:r>
      <w:r w:rsidRPr="00C63860">
        <w:rPr>
          <w:highlight w:val="magenta"/>
        </w:rPr>
        <w:t>preceding</w:t>
      </w:r>
      <w:r w:rsidRPr="00C63860">
        <w:t xml:space="preserve"> each qualifying emergency hospital admission, to provide time-varying proxies for care quality.</w:t>
      </w:r>
    </w:p>
    <w:p w14:paraId="68985E6B" w14:textId="77777777" w:rsidR="00C63860" w:rsidRPr="00C63860" w:rsidRDefault="00470AE4" w:rsidP="00455F64">
      <w:pPr>
        <w:spacing w:before="240" w:after="240" w:line="276" w:lineRule="auto"/>
      </w:pPr>
      <w:r w:rsidRPr="00C63860">
        <w:t xml:space="preserve">We chose to include these proxies for care quality rather than hospital fixed effects, to provide a more specific proxy for care quality, and to avoid removing all between-hospital variation in rates of ES which would </w:t>
      </w:r>
      <w:r w:rsidRPr="00C63860">
        <w:rPr>
          <w:highlight w:val="magenta"/>
        </w:rPr>
        <w:t>lead</w:t>
      </w:r>
      <w:r w:rsidRPr="00C63860">
        <w:t xml:space="preserve"> to inflated standard errors in the estimated effectiveness of ES.</w:t>
      </w:r>
    </w:p>
    <w:p w14:paraId="688FB1B1" w14:textId="482B6231" w:rsidR="00470AE4" w:rsidRPr="00C63860" w:rsidRDefault="00470AE4" w:rsidP="00455F64">
      <w:pPr>
        <w:spacing w:before="240" w:after="240" w:line="276" w:lineRule="auto"/>
      </w:pPr>
      <w:r w:rsidRPr="00C63860">
        <w:t xml:space="preserve">As part of the sensitivity analyses, we considered external measures of hospital quality using </w:t>
      </w:r>
      <w:r w:rsidRPr="00C63860">
        <w:rPr>
          <w:highlight w:val="magenta"/>
        </w:rPr>
        <w:t>data</w:t>
      </w:r>
      <w:r w:rsidRPr="00C63860">
        <w:t xml:space="preserve"> from NELA.</w:t>
      </w:r>
      <w:r w:rsidRPr="00C63860">
        <w:rPr>
          <w:noProof/>
          <w:vertAlign w:val="superscript"/>
        </w:rPr>
        <w:t>59</w:t>
      </w:r>
      <w:r w:rsidR="00C63860" w:rsidRPr="00C63860">
        <w:rPr>
          <w:noProof/>
          <w:color w:val="00B0F0"/>
          <w:vertAlign w:val="superscript"/>
        </w:rPr>
        <w:t>–6</w:t>
      </w:r>
      <w:r w:rsidRPr="00C63860">
        <w:rPr>
          <w:noProof/>
          <w:vertAlign w:val="superscript"/>
        </w:rPr>
        <w:t>1</w:t>
      </w:r>
      <w:r w:rsidRPr="00C63860">
        <w:t xml:space="preserve"> Since </w:t>
      </w:r>
      <w:r w:rsidR="00C63860" w:rsidRPr="00C63860">
        <w:rPr>
          <w:color w:val="00B0F0"/>
          <w:highlight w:val="magenta"/>
        </w:rPr>
        <w:t>data</w:t>
      </w:r>
      <w:r w:rsidR="00C63860" w:rsidRPr="00C63860">
        <w:rPr>
          <w:color w:val="00B0F0"/>
        </w:rPr>
        <w:t xml:space="preserve"> were</w:t>
      </w:r>
      <w:r w:rsidRPr="00C63860">
        <w:t xml:space="preserve"> not available for all years of the study and definitions changed over time, we constructed an average (weighted by volume) using </w:t>
      </w:r>
      <w:r w:rsidRPr="00C63860">
        <w:rPr>
          <w:highlight w:val="magenta"/>
        </w:rPr>
        <w:t>data</w:t>
      </w:r>
      <w:r w:rsidRPr="00C63860">
        <w:t xml:space="preserve"> from 2016, 2017 &amp; 2018 for the following seven indicators of quality of peri-operative management for emergency laparotomy patients which we anticipate would capture the influence of any potential time invariant observed confounders associated with hospital quality:</w:t>
      </w:r>
    </w:p>
    <w:p w14:paraId="7E8A50A8" w14:textId="77777777" w:rsidR="00C63860" w:rsidRPr="00C63860" w:rsidRDefault="00470AE4" w:rsidP="00455F64">
      <w:pPr>
        <w:numPr>
          <w:ilvl w:val="0"/>
          <w:numId w:val="23"/>
        </w:numPr>
        <w:spacing w:before="240" w:after="240" w:line="276" w:lineRule="auto"/>
        <w:contextualSpacing/>
      </w:pPr>
      <w:r w:rsidRPr="00C63860">
        <w:t>Adjusted mortality rate</w:t>
      </w:r>
    </w:p>
    <w:p w14:paraId="46F53F07" w14:textId="77777777" w:rsidR="00C63860" w:rsidRPr="00C63860" w:rsidRDefault="00470AE4" w:rsidP="00455F64">
      <w:pPr>
        <w:numPr>
          <w:ilvl w:val="0"/>
          <w:numId w:val="23"/>
        </w:numPr>
        <w:spacing w:before="240" w:after="240" w:line="276" w:lineRule="auto"/>
        <w:contextualSpacing/>
      </w:pPr>
      <w:r w:rsidRPr="00C63860">
        <w:t>Proportion of patients in whom a risk assessment was documented preoperatively</w:t>
      </w:r>
    </w:p>
    <w:p w14:paraId="47D61555" w14:textId="77777777" w:rsidR="00C63860" w:rsidRPr="00C63860" w:rsidRDefault="00470AE4" w:rsidP="00455F64">
      <w:pPr>
        <w:numPr>
          <w:ilvl w:val="0"/>
          <w:numId w:val="23"/>
        </w:numPr>
        <w:spacing w:before="240" w:after="240" w:line="276" w:lineRule="auto"/>
        <w:contextualSpacing/>
      </w:pPr>
      <w:r w:rsidRPr="00C63860">
        <w:t>Proportion of patients arriving in theatre within a time appropriate for the urgency of surgery</w:t>
      </w:r>
    </w:p>
    <w:p w14:paraId="5ED3C513" w14:textId="1AA8AF7F" w:rsidR="00C63860" w:rsidRPr="00C63860" w:rsidRDefault="00470AE4" w:rsidP="00455F64">
      <w:pPr>
        <w:numPr>
          <w:ilvl w:val="0"/>
          <w:numId w:val="23"/>
        </w:numPr>
        <w:autoSpaceDE w:val="0"/>
        <w:autoSpaceDN w:val="0"/>
        <w:spacing w:before="240" w:after="240" w:line="276" w:lineRule="auto"/>
        <w:contextualSpacing/>
      </w:pPr>
      <w:r w:rsidRPr="00C63860">
        <w:t xml:space="preserve">Proportion of patients with a calculated preoperative risk of death </w:t>
      </w:r>
      <w:r w:rsidR="00C63860" w:rsidRPr="00C63860">
        <w:rPr>
          <w:color w:val="00B0F0"/>
        </w:rPr>
        <w:t>&gt; 5</w:t>
      </w:r>
      <w:r w:rsidRPr="00C63860">
        <w:t>% for whom a consultant surgeon and anaesthetist were present in theatre</w:t>
      </w:r>
    </w:p>
    <w:p w14:paraId="0F807959" w14:textId="6D327F68" w:rsidR="00C63860" w:rsidRPr="00C63860" w:rsidRDefault="00470AE4" w:rsidP="00455F64">
      <w:pPr>
        <w:numPr>
          <w:ilvl w:val="0"/>
          <w:numId w:val="23"/>
        </w:numPr>
        <w:spacing w:before="240" w:after="240" w:line="276" w:lineRule="auto"/>
        <w:contextualSpacing/>
      </w:pPr>
      <w:r w:rsidRPr="00C63860">
        <w:t xml:space="preserve">Admission to critical care when risk of death </w:t>
      </w:r>
      <w:r w:rsidR="00C63860" w:rsidRPr="00C63860">
        <w:rPr>
          <w:color w:val="00B0F0"/>
        </w:rPr>
        <w:t>≥ 5</w:t>
      </w:r>
      <w:r w:rsidRPr="00C63860">
        <w:t>%</w:t>
      </w:r>
    </w:p>
    <w:p w14:paraId="1FE87D51" w14:textId="77777777" w:rsidR="00C63860" w:rsidRPr="00C63860" w:rsidRDefault="00470AE4" w:rsidP="00455F64">
      <w:pPr>
        <w:numPr>
          <w:ilvl w:val="0"/>
          <w:numId w:val="23"/>
        </w:numPr>
        <w:spacing w:before="240" w:after="240" w:line="276" w:lineRule="auto"/>
        <w:contextualSpacing/>
      </w:pPr>
      <w:r w:rsidRPr="00C63860">
        <w:t>Unplanned returns to theatre</w:t>
      </w:r>
    </w:p>
    <w:p w14:paraId="75C9D09F" w14:textId="77777777" w:rsidR="00C63860" w:rsidRPr="00C63860" w:rsidRDefault="00470AE4" w:rsidP="00455F64">
      <w:pPr>
        <w:numPr>
          <w:ilvl w:val="0"/>
          <w:numId w:val="23"/>
        </w:numPr>
        <w:spacing w:before="240" w:after="240" w:line="276" w:lineRule="auto"/>
        <w:contextualSpacing/>
      </w:pPr>
      <w:r w:rsidRPr="00C63860">
        <w:t>Unplanned returns to critical care</w:t>
      </w:r>
    </w:p>
    <w:p w14:paraId="16ECB215" w14:textId="18EA7651" w:rsidR="00470AE4" w:rsidRPr="00C63860" w:rsidRDefault="00470AE4" w:rsidP="00455F64">
      <w:pPr>
        <w:tabs>
          <w:tab w:val="center" w:pos="4513"/>
          <w:tab w:val="right" w:pos="9026"/>
        </w:tabs>
        <w:spacing w:before="240" w:after="240" w:line="276" w:lineRule="auto"/>
        <w:rPr>
          <w:b/>
          <w:bCs/>
          <w:color w:val="201F1E"/>
          <w:bdr w:val="none" w:sz="0" w:space="0" w:color="auto" w:frame="1"/>
        </w:rPr>
      </w:pPr>
      <w:r w:rsidRPr="00C63860">
        <w:rPr>
          <w:b/>
          <w:bCs/>
          <w:color w:val="201F1E"/>
          <w:bdr w:val="none" w:sz="0" w:space="0" w:color="auto" w:frame="1"/>
        </w:rPr>
        <w:t>A2.4 Sensitivity Analyses</w:t>
      </w:r>
    </w:p>
    <w:p w14:paraId="11788356" w14:textId="75565878" w:rsidR="00470AE4" w:rsidRPr="00C63860" w:rsidRDefault="00470AE4" w:rsidP="00455F64">
      <w:pPr>
        <w:spacing w:before="240" w:after="240" w:line="276" w:lineRule="auto"/>
        <w:rPr>
          <w:color w:val="201F1E"/>
          <w:bdr w:val="none" w:sz="0" w:space="0" w:color="auto" w:frame="1"/>
        </w:rPr>
      </w:pPr>
      <w:r w:rsidRPr="00C63860">
        <w:rPr>
          <w:color w:val="201F1E"/>
          <w:bdr w:val="none" w:sz="0" w:space="0" w:color="auto" w:frame="1"/>
        </w:rPr>
        <w:t xml:space="preserve">We assessed the extent to which the findings from the main analyses were sensitive to alternative definitions and assumptions. We consider alternative definitions of ES, by considering a more conservative panel definition of ES (SA1), and a reduced time window for the procedure to qualify as ES, by considering only procedures that occurred before the </w:t>
      </w:r>
      <w:r w:rsidRPr="00C63860">
        <w:rPr>
          <w:rFonts w:cstheme="minorHAnsi"/>
        </w:rPr>
        <w:t>7</w:t>
      </w:r>
      <w:r w:rsidR="00C63860" w:rsidRPr="00C63860">
        <w:rPr>
          <w:rFonts w:cstheme="minorHAnsi"/>
          <w:color w:val="00B0F0"/>
        </w:rPr>
        <w:t>5th</w:t>
      </w:r>
      <w:r w:rsidRPr="00C63860">
        <w:rPr>
          <w:rFonts w:cstheme="minorHAnsi"/>
        </w:rPr>
        <w:t xml:space="preserve"> percentile of the time of ES used in the main analysis </w:t>
      </w:r>
      <w:r w:rsidRPr="00C63860">
        <w:rPr>
          <w:color w:val="201F1E"/>
          <w:bdr w:val="none" w:sz="0" w:space="0" w:color="auto" w:frame="1"/>
        </w:rPr>
        <w:t>(SA2)</w:t>
      </w:r>
      <w:r w:rsidRPr="00C63860">
        <w:rPr>
          <w:rFonts w:cstheme="minorHAnsi"/>
        </w:rPr>
        <w:t>.</w:t>
      </w:r>
      <w:r w:rsidR="00C63860" w:rsidRPr="00C63860">
        <w:rPr>
          <w:rFonts w:cstheme="minorHAnsi"/>
        </w:rPr>
        <w:t xml:space="preserve"> </w:t>
      </w:r>
      <w:r w:rsidRPr="00C63860">
        <w:rPr>
          <w:color w:val="201F1E"/>
          <w:bdr w:val="none" w:sz="0" w:space="0" w:color="auto" w:frame="1"/>
        </w:rPr>
        <w:t>We explored the sensitivity of the findings to alternative proxies for hospital quality (SA3) by using an external proxy for hospital quality</w:t>
      </w:r>
      <w:r w:rsidR="00C63860" w:rsidRPr="00C63860">
        <w:rPr>
          <w:color w:val="00B0F0"/>
          <w:bdr w:val="none" w:sz="0" w:space="0" w:color="auto" w:frame="1"/>
        </w:rPr>
        <w:t xml:space="preserve"> – </w:t>
      </w:r>
      <w:r w:rsidRPr="00C63860">
        <w:rPr>
          <w:color w:val="201F1E"/>
          <w:bdr w:val="none" w:sz="0" w:space="0" w:color="auto" w:frame="1"/>
        </w:rPr>
        <w:t>the NELA quality measures. We also considered the impact of removing hospitals with low volume for the procedures of interest (SA4). We exclude hospitals whose volume of eligible procedures is less that thresholds of one interquartile range below the median, which in this sensitivity analysis led to the exclusion of 22 (Appendicitis), 23 (Cholelithiasis), 27 (Diverticular disease) 25 (Hernia) or 16 (Intestinal obstruction) hospitals, and between 2.84% (Intestinal obstruction) and (6.25% Diverticular disease) of observations. We considered alternative definition of the primary outcome, DAOH (SA5), which weights the</w:t>
      </w:r>
      <w:r w:rsidRPr="00C63860">
        <w:t xml:space="preserve"> DAOH prior to death for those who died before day 90.</w:t>
      </w:r>
      <w:r w:rsidRPr="00C63860">
        <w:rPr>
          <w:noProof/>
          <w:vertAlign w:val="superscript"/>
        </w:rPr>
        <w:t>62</w:t>
      </w:r>
      <w:r w:rsidRPr="00C63860">
        <w:t xml:space="preserve"> </w:t>
      </w:r>
      <w:r w:rsidRPr="00C63860">
        <w:rPr>
          <w:color w:val="201F1E"/>
          <w:bdr w:val="none" w:sz="0" w:space="0" w:color="auto" w:frame="1"/>
        </w:rPr>
        <w:t>Finally, we use regression adjustment to report estimates of relative effectiveness under the assumption of no unobserved confounding (SA6)</w:t>
      </w:r>
    </w:p>
    <w:p w14:paraId="3CA09427" w14:textId="204E6780" w:rsidR="00EF6699" w:rsidRPr="00C63860" w:rsidRDefault="00C63860" w:rsidP="00EF6699">
      <w:pPr>
        <w:pStyle w:val="Caption"/>
        <w:rPr>
          <w:rFonts w:asciiTheme="minorHAnsi" w:hAnsiTheme="minorHAnsi" w:cstheme="minorHAnsi"/>
          <w:b/>
          <w:bCs/>
          <w:color w:val="auto"/>
          <w:sz w:val="22"/>
          <w:szCs w:val="22"/>
        </w:rPr>
      </w:pPr>
      <w:bookmarkStart w:id="106" w:name="_Toc86670794"/>
      <w:r w:rsidRPr="00C63860">
        <w:rPr>
          <w:b/>
          <w:bCs/>
          <w:color w:val="FF0000"/>
          <w:sz w:val="22"/>
          <w:szCs w:val="22"/>
        </w:rPr>
        <w:t xml:space="preserve">Table </w:t>
      </w:r>
      <w:r w:rsidRPr="00C63860">
        <w:rPr>
          <w:b/>
          <w:bCs/>
          <w:noProof/>
          <w:color w:val="FF0000"/>
          <w:sz w:val="22"/>
          <w:szCs w:val="22"/>
        </w:rPr>
        <w:t>22</w:t>
      </w:r>
      <w:r w:rsidR="00EF6699" w:rsidRPr="00C63860">
        <w:rPr>
          <w:b/>
          <w:bCs/>
          <w:color w:val="auto"/>
          <w:sz w:val="22"/>
          <w:szCs w:val="22"/>
        </w:rPr>
        <w:t xml:space="preserve">: Instrumental Variable strength for the hospital-level tendency-to-operate (TTO) within the HES </w:t>
      </w:r>
      <w:r w:rsidR="00EF6699" w:rsidRPr="00C63860">
        <w:rPr>
          <w:b/>
          <w:bCs/>
          <w:color w:val="auto"/>
          <w:sz w:val="22"/>
          <w:szCs w:val="22"/>
          <w:highlight w:val="magenta"/>
        </w:rPr>
        <w:t>data</w:t>
      </w:r>
      <w:r w:rsidR="00EF6699" w:rsidRPr="00C63860">
        <w:rPr>
          <w:b/>
          <w:bCs/>
          <w:color w:val="auto"/>
          <w:sz w:val="22"/>
          <w:szCs w:val="22"/>
        </w:rPr>
        <w:t xml:space="preserve"> (2009</w:t>
      </w:r>
      <w:r w:rsidRPr="00C63860">
        <w:rPr>
          <w:b/>
          <w:bCs/>
          <w:color w:val="00B0F0"/>
          <w:sz w:val="22"/>
          <w:szCs w:val="22"/>
        </w:rPr>
        <w:t>–1</w:t>
      </w:r>
      <w:r w:rsidR="00EF6699" w:rsidRPr="00C63860">
        <w:rPr>
          <w:b/>
          <w:bCs/>
          <w:color w:val="auto"/>
          <w:sz w:val="22"/>
          <w:szCs w:val="22"/>
        </w:rPr>
        <w:t>9) for emergency admissions that met the ESORT study inclusion criteria for each of the five conditions</w:t>
      </w:r>
      <w:bookmarkEnd w:id="106"/>
    </w:p>
    <w:tbl>
      <w:tblPr>
        <w:tblW w:w="0" w:type="auto"/>
        <w:tblInd w:w="-5" w:type="dxa"/>
        <w:tblCellMar>
          <w:top w:w="40" w:type="dxa"/>
          <w:left w:w="60" w:type="dxa"/>
          <w:bottom w:w="40" w:type="dxa"/>
          <w:right w:w="60" w:type="dxa"/>
        </w:tblCellMar>
        <w:tblLook w:val="04A0" w:firstRow="1" w:lastRow="0" w:firstColumn="1" w:lastColumn="0" w:noHBand="0" w:noVBand="1"/>
      </w:tblPr>
      <w:tblGrid>
        <w:gridCol w:w="1960"/>
        <w:gridCol w:w="4020"/>
      </w:tblGrid>
      <w:tr w:rsidR="00C475F9" w:rsidRPr="00C63860" w14:paraId="3008227F" w14:textId="77777777" w:rsidTr="00C63860">
        <w:trPr>
          <w:cantSplit/>
        </w:trPr>
        <w:tc>
          <w:tcPr>
            <w:tcW w:w="0" w:type="auto"/>
            <w:shd w:val="clear" w:color="auto" w:fill="auto"/>
            <w:noWrap/>
            <w:vAlign w:val="bottom"/>
            <w:hideMark/>
          </w:tcPr>
          <w:p w14:paraId="6F8BD02B" w14:textId="77777777" w:rsidR="00470AE4" w:rsidRPr="00C63860" w:rsidRDefault="00470AE4" w:rsidP="00470AE4">
            <w:pPr>
              <w:rPr>
                <w:rFonts w:cstheme="minorHAnsi"/>
                <w:b/>
                <w:bCs/>
              </w:rPr>
            </w:pPr>
          </w:p>
        </w:tc>
        <w:tc>
          <w:tcPr>
            <w:tcW w:w="0" w:type="auto"/>
            <w:shd w:val="clear" w:color="auto" w:fill="auto"/>
            <w:noWrap/>
            <w:vAlign w:val="bottom"/>
            <w:hideMark/>
          </w:tcPr>
          <w:p w14:paraId="61BDE918" w14:textId="77777777" w:rsidR="00470AE4" w:rsidRPr="00C63860" w:rsidRDefault="00470AE4" w:rsidP="00470AE4">
            <w:pPr>
              <w:jc w:val="center"/>
              <w:rPr>
                <w:b/>
                <w:bCs/>
              </w:rPr>
            </w:pPr>
            <w:r w:rsidRPr="00C63860">
              <w:rPr>
                <w:b/>
                <w:bCs/>
              </w:rPr>
              <w:t>Montiel-Pflueger robust weak instrument test</w:t>
            </w:r>
          </w:p>
          <w:p w14:paraId="4DA43813" w14:textId="77777777" w:rsidR="00470AE4" w:rsidRPr="00C63860" w:rsidRDefault="00470AE4" w:rsidP="00470AE4">
            <w:pPr>
              <w:jc w:val="center"/>
              <w:rPr>
                <w:b/>
                <w:bCs/>
              </w:rPr>
            </w:pPr>
            <w:r w:rsidRPr="00C63860">
              <w:rPr>
                <w:b/>
                <w:bCs/>
              </w:rPr>
              <w:t>F-Statistic</w:t>
            </w:r>
          </w:p>
        </w:tc>
      </w:tr>
      <w:tr w:rsidR="00A76011" w:rsidRPr="00C63860" w14:paraId="66D33196" w14:textId="77777777" w:rsidTr="00C63860">
        <w:trPr>
          <w:cantSplit/>
        </w:trPr>
        <w:tc>
          <w:tcPr>
            <w:tcW w:w="0" w:type="auto"/>
            <w:shd w:val="clear" w:color="auto" w:fill="auto"/>
            <w:noWrap/>
            <w:vAlign w:val="bottom"/>
            <w:hideMark/>
          </w:tcPr>
          <w:p w14:paraId="432023B3" w14:textId="77777777" w:rsidR="00470AE4" w:rsidRPr="00C63860" w:rsidRDefault="00470AE4" w:rsidP="00470AE4">
            <w:pPr>
              <w:rPr>
                <w:color w:val="000000"/>
              </w:rPr>
            </w:pPr>
            <w:r w:rsidRPr="00C63860">
              <w:rPr>
                <w:b/>
                <w:bCs/>
              </w:rPr>
              <w:t>Appendicitis</w:t>
            </w:r>
          </w:p>
        </w:tc>
        <w:tc>
          <w:tcPr>
            <w:tcW w:w="0" w:type="auto"/>
            <w:shd w:val="clear" w:color="auto" w:fill="auto"/>
            <w:noWrap/>
            <w:vAlign w:val="bottom"/>
            <w:hideMark/>
          </w:tcPr>
          <w:p w14:paraId="43066165" w14:textId="77777777" w:rsidR="00470AE4" w:rsidRPr="00C63860" w:rsidRDefault="00470AE4" w:rsidP="00470AE4">
            <w:pPr>
              <w:ind w:right="2446"/>
              <w:jc w:val="right"/>
            </w:pPr>
            <w:r w:rsidRPr="00C63860">
              <w:t>6,207</w:t>
            </w:r>
          </w:p>
        </w:tc>
      </w:tr>
      <w:tr w:rsidR="00A76011" w:rsidRPr="00C63860" w14:paraId="4ABE65C3" w14:textId="77777777" w:rsidTr="00C63860">
        <w:trPr>
          <w:cantSplit/>
        </w:trPr>
        <w:tc>
          <w:tcPr>
            <w:tcW w:w="0" w:type="auto"/>
            <w:shd w:val="clear" w:color="auto" w:fill="auto"/>
            <w:noWrap/>
            <w:vAlign w:val="bottom"/>
            <w:hideMark/>
          </w:tcPr>
          <w:p w14:paraId="4F2235C9" w14:textId="77777777" w:rsidR="00470AE4" w:rsidRPr="00C63860" w:rsidRDefault="00470AE4" w:rsidP="00470AE4">
            <w:pPr>
              <w:rPr>
                <w:color w:val="000000"/>
              </w:rPr>
            </w:pPr>
            <w:r w:rsidRPr="00C63860">
              <w:rPr>
                <w:b/>
                <w:bCs/>
              </w:rPr>
              <w:t>Cholelithiasis</w:t>
            </w:r>
          </w:p>
        </w:tc>
        <w:tc>
          <w:tcPr>
            <w:tcW w:w="0" w:type="auto"/>
            <w:shd w:val="clear" w:color="auto" w:fill="auto"/>
            <w:noWrap/>
            <w:vAlign w:val="bottom"/>
            <w:hideMark/>
          </w:tcPr>
          <w:p w14:paraId="6E76483E" w14:textId="77777777" w:rsidR="00470AE4" w:rsidRPr="00C63860" w:rsidRDefault="00470AE4" w:rsidP="00470AE4">
            <w:pPr>
              <w:ind w:right="2446"/>
              <w:jc w:val="right"/>
            </w:pPr>
            <w:r w:rsidRPr="00C63860">
              <w:t>24,517</w:t>
            </w:r>
          </w:p>
        </w:tc>
      </w:tr>
      <w:tr w:rsidR="00A76011" w:rsidRPr="00C63860" w14:paraId="7ECF69EF" w14:textId="77777777" w:rsidTr="00C63860">
        <w:trPr>
          <w:cantSplit/>
        </w:trPr>
        <w:tc>
          <w:tcPr>
            <w:tcW w:w="0" w:type="auto"/>
            <w:shd w:val="clear" w:color="auto" w:fill="auto"/>
            <w:noWrap/>
            <w:vAlign w:val="bottom"/>
            <w:hideMark/>
          </w:tcPr>
          <w:p w14:paraId="0552D1C5" w14:textId="77777777" w:rsidR="00470AE4" w:rsidRPr="00C63860" w:rsidRDefault="00470AE4" w:rsidP="00470AE4">
            <w:pPr>
              <w:rPr>
                <w:color w:val="000000"/>
              </w:rPr>
            </w:pPr>
            <w:r w:rsidRPr="00C63860">
              <w:rPr>
                <w:b/>
                <w:bCs/>
              </w:rPr>
              <w:t>Diverticular disease</w:t>
            </w:r>
          </w:p>
        </w:tc>
        <w:tc>
          <w:tcPr>
            <w:tcW w:w="0" w:type="auto"/>
            <w:shd w:val="clear" w:color="auto" w:fill="auto"/>
            <w:noWrap/>
            <w:vAlign w:val="bottom"/>
            <w:hideMark/>
          </w:tcPr>
          <w:p w14:paraId="55462392" w14:textId="77777777" w:rsidR="00470AE4" w:rsidRPr="00C63860" w:rsidRDefault="00470AE4" w:rsidP="00470AE4">
            <w:pPr>
              <w:ind w:right="2446"/>
              <w:jc w:val="right"/>
            </w:pPr>
            <w:r w:rsidRPr="00C63860">
              <w:t>450</w:t>
            </w:r>
          </w:p>
        </w:tc>
      </w:tr>
      <w:tr w:rsidR="00A76011" w:rsidRPr="00C63860" w14:paraId="6C0C0793" w14:textId="77777777" w:rsidTr="00C63860">
        <w:trPr>
          <w:cantSplit/>
        </w:trPr>
        <w:tc>
          <w:tcPr>
            <w:tcW w:w="0" w:type="auto"/>
            <w:shd w:val="clear" w:color="auto" w:fill="auto"/>
            <w:noWrap/>
            <w:vAlign w:val="bottom"/>
            <w:hideMark/>
          </w:tcPr>
          <w:p w14:paraId="761FE41E" w14:textId="77777777" w:rsidR="00470AE4" w:rsidRPr="00C63860" w:rsidRDefault="00470AE4" w:rsidP="00470AE4">
            <w:pPr>
              <w:rPr>
                <w:color w:val="000000"/>
              </w:rPr>
            </w:pPr>
            <w:r w:rsidRPr="00C63860">
              <w:rPr>
                <w:b/>
                <w:bCs/>
              </w:rPr>
              <w:t>Hernia</w:t>
            </w:r>
          </w:p>
        </w:tc>
        <w:tc>
          <w:tcPr>
            <w:tcW w:w="0" w:type="auto"/>
            <w:shd w:val="clear" w:color="auto" w:fill="auto"/>
            <w:noWrap/>
            <w:vAlign w:val="bottom"/>
            <w:hideMark/>
          </w:tcPr>
          <w:p w14:paraId="407F3B20" w14:textId="77777777" w:rsidR="00470AE4" w:rsidRPr="00C63860" w:rsidRDefault="00470AE4" w:rsidP="00470AE4">
            <w:pPr>
              <w:ind w:right="2446"/>
              <w:jc w:val="right"/>
            </w:pPr>
            <w:r w:rsidRPr="00C63860">
              <w:t>1,664</w:t>
            </w:r>
          </w:p>
        </w:tc>
      </w:tr>
      <w:tr w:rsidR="00A76011" w:rsidRPr="00C63860" w14:paraId="1D3B76CB" w14:textId="77777777" w:rsidTr="00C63860">
        <w:trPr>
          <w:cantSplit/>
        </w:trPr>
        <w:tc>
          <w:tcPr>
            <w:tcW w:w="0" w:type="auto"/>
            <w:shd w:val="clear" w:color="auto" w:fill="auto"/>
            <w:noWrap/>
            <w:vAlign w:val="bottom"/>
            <w:hideMark/>
          </w:tcPr>
          <w:p w14:paraId="248B8126" w14:textId="6C149E93" w:rsidR="00470AE4" w:rsidRPr="00C63860" w:rsidRDefault="00470AE4" w:rsidP="00470AE4">
            <w:pPr>
              <w:rPr>
                <w:color w:val="000000"/>
              </w:rPr>
            </w:pPr>
            <w:r w:rsidRPr="00C63860">
              <w:rPr>
                <w:b/>
                <w:bCs/>
              </w:rPr>
              <w:t>Intestinal obstruction</w:t>
            </w:r>
            <w:r w:rsidR="00C63860" w:rsidRPr="00C63860">
              <w:rPr>
                <w:b/>
                <w:bCs/>
              </w:rPr>
              <w:t xml:space="preserve"> </w:t>
            </w:r>
          </w:p>
        </w:tc>
        <w:tc>
          <w:tcPr>
            <w:tcW w:w="0" w:type="auto"/>
            <w:shd w:val="clear" w:color="auto" w:fill="auto"/>
            <w:noWrap/>
            <w:vAlign w:val="bottom"/>
            <w:hideMark/>
          </w:tcPr>
          <w:p w14:paraId="16E65444" w14:textId="77777777" w:rsidR="00470AE4" w:rsidRPr="00C63860" w:rsidRDefault="00470AE4" w:rsidP="00470AE4">
            <w:pPr>
              <w:ind w:right="2446"/>
              <w:jc w:val="right"/>
            </w:pPr>
            <w:r w:rsidRPr="00C63860">
              <w:t>526</w:t>
            </w:r>
          </w:p>
        </w:tc>
      </w:tr>
    </w:tbl>
    <w:p w14:paraId="5A5563BD" w14:textId="77777777" w:rsidR="00C63860" w:rsidRPr="00C63860" w:rsidRDefault="00C63860" w:rsidP="00470AE4">
      <w:pPr>
        <w:spacing w:line="360" w:lineRule="auto"/>
        <w:jc w:val="both"/>
        <w:rPr>
          <w:rFonts w:cstheme="minorHAnsi"/>
          <w:b/>
          <w:bCs/>
        </w:rPr>
      </w:pPr>
    </w:p>
    <w:p w14:paraId="4967E31A" w14:textId="6DF624F3" w:rsidR="00C63860" w:rsidRPr="00C63860" w:rsidRDefault="00C63860" w:rsidP="00455F64">
      <w:pPr>
        <w:spacing w:after="160" w:line="259" w:lineRule="auto"/>
        <w:rPr>
          <w:rFonts w:cstheme="minorHAnsi"/>
          <w:b/>
          <w:bCs/>
        </w:rPr>
      </w:pPr>
      <w:bookmarkStart w:id="107" w:name="_Toc86670868"/>
      <w:r w:rsidRPr="00C63860">
        <w:rPr>
          <w:b/>
          <w:bCs/>
          <w:i/>
          <w:color w:val="FF0000"/>
        </w:rPr>
        <w:t xml:space="preserve">Figure </w:t>
      </w:r>
      <w:r w:rsidRPr="00C63860">
        <w:rPr>
          <w:b/>
          <w:bCs/>
          <w:i/>
          <w:noProof/>
          <w:color w:val="FF0000"/>
        </w:rPr>
        <w:t>28</w:t>
      </w:r>
      <w:r w:rsidR="009817BB" w:rsidRPr="00C63860">
        <w:rPr>
          <w:b/>
          <w:bCs/>
        </w:rPr>
        <w:t>: Variation in the tendency-to-operate (TTO) across 175 NHS hospitals in the one year prior to emergency hospitals admissions that meet the inclusion criteria for each of the five acute conditions (2009</w:t>
      </w:r>
      <w:r w:rsidRPr="00C63860">
        <w:rPr>
          <w:b/>
          <w:bCs/>
          <w:color w:val="00B0F0"/>
        </w:rPr>
        <w:t>–2</w:t>
      </w:r>
      <w:r w:rsidR="009817BB" w:rsidRPr="00C63860">
        <w:rPr>
          <w:b/>
          <w:bCs/>
        </w:rPr>
        <w:t>019)</w:t>
      </w:r>
      <w:bookmarkEnd w:id="107"/>
      <w:r w:rsidR="00AA6ED2" w:rsidRPr="00C63860">
        <w:rPr>
          <w:b/>
          <w:bCs/>
        </w:rPr>
        <w:t xml:space="preserve">. </w:t>
      </w:r>
      <w:r w:rsidR="00AA6ED2" w:rsidRPr="00C63860">
        <w:rPr>
          <w:b/>
          <w:bCs/>
          <w:sz w:val="22"/>
          <w:szCs w:val="22"/>
        </w:rPr>
        <w:t>(a) A</w:t>
      </w:r>
      <w:r w:rsidR="00AA6ED2" w:rsidRPr="00C63860">
        <w:rPr>
          <w:b/>
          <w:bCs/>
        </w:rPr>
        <w:t xml:space="preserve">cute </w:t>
      </w:r>
      <w:r w:rsidR="00AA6ED2" w:rsidRPr="00C63860">
        <w:rPr>
          <w:b/>
          <w:bCs/>
          <w:sz w:val="22"/>
          <w:szCs w:val="22"/>
        </w:rPr>
        <w:t xml:space="preserve">ppendictis; (b) cholelithiasis; (c) diverticular disease; (d) </w:t>
      </w:r>
      <w:r w:rsidR="00AA6ED2" w:rsidRPr="00C63860">
        <w:rPr>
          <w:b/>
          <w:bCs/>
        </w:rPr>
        <w:t xml:space="preserve">abdominal wall </w:t>
      </w:r>
      <w:r w:rsidR="00AA6ED2" w:rsidRPr="00C63860">
        <w:rPr>
          <w:b/>
          <w:bCs/>
          <w:sz w:val="22"/>
          <w:szCs w:val="22"/>
        </w:rPr>
        <w:t>hernia; and (e) intestinal obstruction.</w:t>
      </w:r>
    </w:p>
    <w:p w14:paraId="796119F1" w14:textId="44CF2D89" w:rsidR="00C63860" w:rsidRPr="00C63860" w:rsidRDefault="00C63860" w:rsidP="007D5E77">
      <w:pPr>
        <w:pStyle w:val="Caption"/>
        <w:rPr>
          <w:rFonts w:ascii="Calibri-Bold" w:hAnsi="Calibri-Bold" w:cs="Calibri-Bold"/>
          <w:b/>
          <w:bCs/>
          <w:color w:val="auto"/>
          <w:sz w:val="22"/>
          <w:szCs w:val="22"/>
        </w:rPr>
      </w:pPr>
      <w:bookmarkStart w:id="108" w:name="_Toc86670869"/>
      <w:r w:rsidRPr="00C63860">
        <w:rPr>
          <w:b/>
          <w:bCs/>
          <w:color w:val="FF0000"/>
          <w:sz w:val="22"/>
          <w:szCs w:val="22"/>
        </w:rPr>
        <w:t xml:space="preserve">Figure </w:t>
      </w:r>
      <w:r w:rsidRPr="00C63860">
        <w:rPr>
          <w:b/>
          <w:bCs/>
          <w:noProof/>
          <w:color w:val="FF0000"/>
          <w:sz w:val="22"/>
          <w:szCs w:val="22"/>
        </w:rPr>
        <w:t>29</w:t>
      </w:r>
      <w:r w:rsidR="007D5E77" w:rsidRPr="00C63860">
        <w:rPr>
          <w:b/>
          <w:bCs/>
          <w:color w:val="auto"/>
          <w:sz w:val="22"/>
          <w:szCs w:val="22"/>
        </w:rPr>
        <w:t>: Mean level of rescaled baseline covariates according to the level of the instrumental variable</w:t>
      </w:r>
      <w:bookmarkEnd w:id="108"/>
      <w:r w:rsidR="00566966" w:rsidRPr="00C63860">
        <w:rPr>
          <w:b/>
          <w:bCs/>
          <w:color w:val="auto"/>
          <w:sz w:val="22"/>
          <w:szCs w:val="22"/>
        </w:rPr>
        <w:t>. (a) Acute ppendictis; (b) cholelithiasis; (c) diverticular disease; (d) abdominal wall hernia; and (e) intestinal obstruction.</w:t>
      </w:r>
    </w:p>
    <w:p w14:paraId="2F548529" w14:textId="77777777" w:rsidR="00C63860" w:rsidRPr="00C63860" w:rsidRDefault="00470AE4" w:rsidP="00D66487">
      <w:pPr>
        <w:pStyle w:val="Heading1"/>
        <w:rPr>
          <w:bdr w:val="none" w:sz="0" w:space="0" w:color="auto" w:frame="1"/>
        </w:rPr>
      </w:pPr>
      <w:bookmarkStart w:id="109" w:name="_Toc86673005"/>
      <w:r w:rsidRPr="00C63860">
        <w:t>Appendix 3</w:t>
      </w:r>
      <w:r w:rsidR="00D66487" w:rsidRPr="00C63860">
        <w:t xml:space="preserve">: </w:t>
      </w:r>
      <w:r w:rsidRPr="00C63860">
        <w:rPr>
          <w:bdr w:val="none" w:sz="0" w:space="0" w:color="auto" w:frame="1"/>
        </w:rPr>
        <w:t>Additional notes on resource use and cost calculation</w:t>
      </w:r>
      <w:bookmarkEnd w:id="109"/>
    </w:p>
    <w:p w14:paraId="5B5BC696" w14:textId="78DB875E" w:rsidR="00D238AB" w:rsidRPr="00C63860" w:rsidRDefault="00C63860" w:rsidP="00D238AB">
      <w:pPr>
        <w:pStyle w:val="Caption"/>
        <w:rPr>
          <w:rFonts w:asciiTheme="minorHAnsi" w:hAnsiTheme="minorHAnsi"/>
          <w:b/>
          <w:bCs/>
          <w:color w:val="auto"/>
          <w:sz w:val="22"/>
          <w:szCs w:val="22"/>
        </w:rPr>
      </w:pPr>
      <w:bookmarkStart w:id="110" w:name="_Toc86670795"/>
      <w:r w:rsidRPr="00C63860">
        <w:rPr>
          <w:b/>
          <w:bCs/>
          <w:color w:val="FF0000"/>
          <w:sz w:val="22"/>
          <w:szCs w:val="22"/>
        </w:rPr>
        <w:t xml:space="preserve">Table </w:t>
      </w:r>
      <w:r w:rsidRPr="00C63860">
        <w:rPr>
          <w:b/>
          <w:bCs/>
          <w:noProof/>
          <w:color w:val="FF0000"/>
          <w:sz w:val="22"/>
          <w:szCs w:val="22"/>
        </w:rPr>
        <w:t>23</w:t>
      </w:r>
      <w:r w:rsidR="00D238AB" w:rsidRPr="00C63860">
        <w:rPr>
          <w:b/>
          <w:bCs/>
          <w:color w:val="auto"/>
          <w:sz w:val="22"/>
          <w:szCs w:val="22"/>
        </w:rPr>
        <w:t>: Resource use categories for operative procedures in emergency surgery (ES) window</w:t>
      </w:r>
      <w:bookmarkEnd w:id="110"/>
    </w:p>
    <w:tbl>
      <w:tblPr>
        <w:tblStyle w:val="PlainTable21"/>
        <w:tblW w:w="0" w:type="auto"/>
        <w:tblInd w:w="-1134" w:type="dxa"/>
        <w:tblBorders>
          <w:top w:val="none" w:sz="0" w:space="0" w:color="auto"/>
          <w:bottom w:val="none" w:sz="0" w:space="0" w:color="auto"/>
        </w:tblBorders>
        <w:tblCellMar>
          <w:top w:w="40" w:type="dxa"/>
          <w:left w:w="60" w:type="dxa"/>
          <w:bottom w:w="40" w:type="dxa"/>
          <w:right w:w="60" w:type="dxa"/>
        </w:tblCellMar>
        <w:tblLook w:val="04A0" w:firstRow="1" w:lastRow="0" w:firstColumn="1" w:lastColumn="0" w:noHBand="0" w:noVBand="1"/>
      </w:tblPr>
      <w:tblGrid>
        <w:gridCol w:w="718"/>
        <w:gridCol w:w="619"/>
        <w:gridCol w:w="802"/>
        <w:gridCol w:w="950"/>
        <w:gridCol w:w="971"/>
        <w:gridCol w:w="908"/>
        <w:gridCol w:w="1196"/>
        <w:gridCol w:w="799"/>
        <w:gridCol w:w="761"/>
        <w:gridCol w:w="859"/>
        <w:gridCol w:w="697"/>
        <w:gridCol w:w="880"/>
      </w:tblGrid>
      <w:tr w:rsidR="008F2396" w:rsidRPr="00C63860" w14:paraId="73E13470" w14:textId="77777777" w:rsidTr="00C6386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gridSpan w:val="2"/>
            <w:tcBorders>
              <w:bottom w:val="none" w:sz="0" w:space="0" w:color="auto"/>
            </w:tcBorders>
            <w:shd w:val="clear" w:color="auto" w:fill="auto"/>
          </w:tcPr>
          <w:p w14:paraId="61973BB9" w14:textId="77777777" w:rsidR="00470AE4" w:rsidRPr="00C63860" w:rsidRDefault="00470AE4" w:rsidP="00470AE4">
            <w:pPr>
              <w:contextualSpacing/>
            </w:pPr>
          </w:p>
        </w:tc>
        <w:tc>
          <w:tcPr>
            <w:tcW w:w="0" w:type="auto"/>
            <w:gridSpan w:val="2"/>
            <w:tcBorders>
              <w:bottom w:val="none" w:sz="0" w:space="0" w:color="auto"/>
            </w:tcBorders>
            <w:shd w:val="clear" w:color="auto" w:fill="auto"/>
          </w:tcPr>
          <w:p w14:paraId="01DB148F" w14:textId="77777777" w:rsidR="00470AE4" w:rsidRPr="00C63860" w:rsidRDefault="00470AE4" w:rsidP="00470AE4">
            <w:pPr>
              <w:spacing w:after="12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63860">
              <w:rPr>
                <w:rFonts w:asciiTheme="minorHAnsi" w:hAnsiTheme="minorHAnsi" w:cstheme="minorHAnsi"/>
              </w:rPr>
              <w:t>Appendicitis</w:t>
            </w:r>
          </w:p>
        </w:tc>
        <w:tc>
          <w:tcPr>
            <w:tcW w:w="0" w:type="auto"/>
            <w:gridSpan w:val="2"/>
            <w:tcBorders>
              <w:bottom w:val="none" w:sz="0" w:space="0" w:color="auto"/>
            </w:tcBorders>
            <w:shd w:val="clear" w:color="auto" w:fill="auto"/>
          </w:tcPr>
          <w:p w14:paraId="4CB05816" w14:textId="77777777" w:rsidR="00470AE4" w:rsidRPr="00C63860" w:rsidRDefault="00470AE4" w:rsidP="00470AE4">
            <w:pPr>
              <w:spacing w:after="12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63860">
              <w:rPr>
                <w:rFonts w:asciiTheme="minorHAnsi" w:hAnsiTheme="minorHAnsi" w:cstheme="minorHAnsi"/>
              </w:rPr>
              <w:t>Cholelithiasis</w:t>
            </w:r>
          </w:p>
        </w:tc>
        <w:tc>
          <w:tcPr>
            <w:tcW w:w="0" w:type="auto"/>
            <w:gridSpan w:val="2"/>
            <w:tcBorders>
              <w:bottom w:val="none" w:sz="0" w:space="0" w:color="auto"/>
            </w:tcBorders>
            <w:shd w:val="clear" w:color="auto" w:fill="auto"/>
          </w:tcPr>
          <w:p w14:paraId="24302F4B" w14:textId="77777777" w:rsidR="00470AE4" w:rsidRPr="00C63860" w:rsidRDefault="00470AE4" w:rsidP="00470AE4">
            <w:pPr>
              <w:spacing w:after="12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63860">
              <w:rPr>
                <w:rFonts w:asciiTheme="minorHAnsi" w:hAnsiTheme="minorHAnsi" w:cstheme="minorHAnsi"/>
              </w:rPr>
              <w:t>Diverticular disease</w:t>
            </w:r>
          </w:p>
        </w:tc>
        <w:tc>
          <w:tcPr>
            <w:tcW w:w="0" w:type="auto"/>
            <w:gridSpan w:val="2"/>
            <w:tcBorders>
              <w:bottom w:val="none" w:sz="0" w:space="0" w:color="auto"/>
            </w:tcBorders>
            <w:shd w:val="clear" w:color="auto" w:fill="auto"/>
          </w:tcPr>
          <w:p w14:paraId="67931EEB" w14:textId="77777777" w:rsidR="00470AE4" w:rsidRPr="00C63860" w:rsidRDefault="00470AE4" w:rsidP="00470AE4">
            <w:pPr>
              <w:spacing w:after="12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63860">
              <w:rPr>
                <w:rFonts w:asciiTheme="minorHAnsi" w:hAnsiTheme="minorHAnsi" w:cstheme="minorHAnsi"/>
              </w:rPr>
              <w:t>Hernia</w:t>
            </w:r>
          </w:p>
        </w:tc>
        <w:tc>
          <w:tcPr>
            <w:tcW w:w="0" w:type="auto"/>
            <w:gridSpan w:val="2"/>
            <w:tcBorders>
              <w:bottom w:val="none" w:sz="0" w:space="0" w:color="auto"/>
            </w:tcBorders>
            <w:shd w:val="clear" w:color="auto" w:fill="auto"/>
          </w:tcPr>
          <w:p w14:paraId="121612F0" w14:textId="77777777" w:rsidR="00470AE4" w:rsidRPr="00C63860" w:rsidRDefault="00470AE4" w:rsidP="00470AE4">
            <w:pPr>
              <w:spacing w:after="12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63860">
              <w:rPr>
                <w:rFonts w:asciiTheme="minorHAnsi" w:hAnsiTheme="minorHAnsi" w:cstheme="minorHAnsi"/>
              </w:rPr>
              <w:t>Intestinal obstruction</w:t>
            </w:r>
          </w:p>
        </w:tc>
      </w:tr>
      <w:tr w:rsidR="00C63860" w:rsidRPr="00C63860" w14:paraId="0CFBCE56"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1A58FD2" w14:textId="77777777" w:rsidR="00470AE4" w:rsidRPr="00C63860" w:rsidRDefault="00470AE4" w:rsidP="00470AE4"/>
        </w:tc>
        <w:tc>
          <w:tcPr>
            <w:tcW w:w="0" w:type="auto"/>
            <w:shd w:val="clear" w:color="auto" w:fill="auto"/>
          </w:tcPr>
          <w:p w14:paraId="678B2AC0" w14:textId="77777777" w:rsidR="00470AE4" w:rsidRPr="00C63860" w:rsidRDefault="00470AE4" w:rsidP="00470AE4">
            <w:pPr>
              <w:spacing w:after="120"/>
              <w:contextualSpacing/>
              <w:jc w:val="center"/>
              <w:cnfStyle w:val="000000100000" w:firstRow="0" w:lastRow="0" w:firstColumn="0" w:lastColumn="0" w:oddVBand="0" w:evenVBand="0" w:oddHBand="1" w:evenHBand="0" w:firstRowFirstColumn="0" w:firstRowLastColumn="0" w:lastRowFirstColumn="0" w:lastRowLastColumn="0"/>
              <w:rPr>
                <w:b/>
                <w:bCs/>
              </w:rPr>
            </w:pPr>
          </w:p>
        </w:tc>
        <w:tc>
          <w:tcPr>
            <w:tcW w:w="0" w:type="auto"/>
            <w:shd w:val="clear" w:color="auto" w:fill="auto"/>
          </w:tcPr>
          <w:p w14:paraId="60F4022E"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C63860">
              <w:rPr>
                <w:rFonts w:asciiTheme="minorHAnsi" w:hAnsiTheme="minorHAnsi" w:cstheme="minorHAnsi"/>
                <w:b/>
              </w:rPr>
              <w:t>ES</w:t>
            </w:r>
          </w:p>
        </w:tc>
        <w:tc>
          <w:tcPr>
            <w:tcW w:w="0" w:type="auto"/>
            <w:shd w:val="clear" w:color="auto" w:fill="auto"/>
          </w:tcPr>
          <w:p w14:paraId="0C049746"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C63860">
              <w:rPr>
                <w:rFonts w:asciiTheme="minorHAnsi" w:hAnsiTheme="minorHAnsi" w:cstheme="minorHAnsi"/>
                <w:b/>
              </w:rPr>
              <w:t>NES</w:t>
            </w:r>
          </w:p>
        </w:tc>
        <w:tc>
          <w:tcPr>
            <w:tcW w:w="0" w:type="auto"/>
            <w:shd w:val="clear" w:color="auto" w:fill="auto"/>
          </w:tcPr>
          <w:p w14:paraId="272C15DF"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C63860">
              <w:rPr>
                <w:rFonts w:asciiTheme="minorHAnsi" w:hAnsiTheme="minorHAnsi" w:cstheme="minorHAnsi"/>
                <w:b/>
              </w:rPr>
              <w:t>ES</w:t>
            </w:r>
          </w:p>
        </w:tc>
        <w:tc>
          <w:tcPr>
            <w:tcW w:w="0" w:type="auto"/>
            <w:shd w:val="clear" w:color="auto" w:fill="auto"/>
          </w:tcPr>
          <w:p w14:paraId="614FE3C0"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C63860">
              <w:rPr>
                <w:rFonts w:asciiTheme="minorHAnsi" w:hAnsiTheme="minorHAnsi" w:cstheme="minorHAnsi"/>
                <w:b/>
              </w:rPr>
              <w:t>NES</w:t>
            </w:r>
          </w:p>
        </w:tc>
        <w:tc>
          <w:tcPr>
            <w:tcW w:w="0" w:type="auto"/>
            <w:shd w:val="clear" w:color="auto" w:fill="auto"/>
          </w:tcPr>
          <w:p w14:paraId="50E1317D"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C63860">
              <w:rPr>
                <w:rFonts w:asciiTheme="minorHAnsi" w:hAnsiTheme="minorHAnsi" w:cstheme="minorHAnsi"/>
                <w:b/>
              </w:rPr>
              <w:t>ES</w:t>
            </w:r>
          </w:p>
        </w:tc>
        <w:tc>
          <w:tcPr>
            <w:tcW w:w="0" w:type="auto"/>
            <w:shd w:val="clear" w:color="auto" w:fill="auto"/>
          </w:tcPr>
          <w:p w14:paraId="6A346219"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C63860">
              <w:rPr>
                <w:rFonts w:asciiTheme="minorHAnsi" w:hAnsiTheme="minorHAnsi" w:cstheme="minorHAnsi"/>
                <w:b/>
              </w:rPr>
              <w:t>NES</w:t>
            </w:r>
          </w:p>
        </w:tc>
        <w:tc>
          <w:tcPr>
            <w:tcW w:w="0" w:type="auto"/>
            <w:shd w:val="clear" w:color="auto" w:fill="auto"/>
          </w:tcPr>
          <w:p w14:paraId="76A4432D"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C63860">
              <w:rPr>
                <w:rFonts w:asciiTheme="minorHAnsi" w:hAnsiTheme="minorHAnsi" w:cstheme="minorHAnsi"/>
                <w:b/>
              </w:rPr>
              <w:t>ES</w:t>
            </w:r>
          </w:p>
        </w:tc>
        <w:tc>
          <w:tcPr>
            <w:tcW w:w="0" w:type="auto"/>
            <w:shd w:val="clear" w:color="auto" w:fill="auto"/>
          </w:tcPr>
          <w:p w14:paraId="16B21D58"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C63860">
              <w:rPr>
                <w:rFonts w:asciiTheme="minorHAnsi" w:hAnsiTheme="minorHAnsi" w:cstheme="minorHAnsi"/>
                <w:b/>
              </w:rPr>
              <w:t>NES</w:t>
            </w:r>
          </w:p>
        </w:tc>
        <w:tc>
          <w:tcPr>
            <w:tcW w:w="0" w:type="auto"/>
            <w:shd w:val="clear" w:color="auto" w:fill="auto"/>
          </w:tcPr>
          <w:p w14:paraId="4A1C8685"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C63860">
              <w:rPr>
                <w:rFonts w:asciiTheme="minorHAnsi" w:hAnsiTheme="minorHAnsi" w:cstheme="minorHAnsi"/>
                <w:b/>
              </w:rPr>
              <w:t>ES</w:t>
            </w:r>
          </w:p>
        </w:tc>
        <w:tc>
          <w:tcPr>
            <w:tcW w:w="0" w:type="auto"/>
            <w:shd w:val="clear" w:color="auto" w:fill="auto"/>
          </w:tcPr>
          <w:p w14:paraId="43617615"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C63860">
              <w:rPr>
                <w:rFonts w:asciiTheme="minorHAnsi" w:hAnsiTheme="minorHAnsi" w:cstheme="minorHAnsi"/>
                <w:b/>
              </w:rPr>
              <w:t>NES</w:t>
            </w:r>
          </w:p>
        </w:tc>
      </w:tr>
      <w:tr w:rsidR="00C63860" w:rsidRPr="00C63860" w14:paraId="13F03976"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3277064" w14:textId="77777777" w:rsidR="00470AE4" w:rsidRPr="00C63860" w:rsidRDefault="00470AE4" w:rsidP="00470AE4">
            <w:pPr>
              <w:spacing w:after="100" w:afterAutospacing="1"/>
              <w:contextualSpacing/>
              <w:jc w:val="center"/>
              <w:rPr>
                <w:b w:val="0"/>
              </w:rPr>
            </w:pPr>
            <w:r w:rsidRPr="00C63860">
              <w:rPr>
                <w:b w:val="0"/>
              </w:rPr>
              <w:t>Most common operative procedures in each arm in ES window</w:t>
            </w:r>
          </w:p>
        </w:tc>
        <w:tc>
          <w:tcPr>
            <w:tcW w:w="0" w:type="auto"/>
            <w:shd w:val="clear" w:color="auto" w:fill="auto"/>
            <w:vAlign w:val="center"/>
          </w:tcPr>
          <w:p w14:paraId="0B0F7A2F"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w:t>
            </w:r>
          </w:p>
        </w:tc>
        <w:tc>
          <w:tcPr>
            <w:tcW w:w="0" w:type="auto"/>
            <w:shd w:val="clear" w:color="auto" w:fill="auto"/>
            <w:vAlign w:val="center"/>
          </w:tcPr>
          <w:p w14:paraId="6BCF05FC"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Emergency excision of abnormal appendix</w:t>
            </w:r>
          </w:p>
        </w:tc>
        <w:tc>
          <w:tcPr>
            <w:tcW w:w="0" w:type="auto"/>
            <w:shd w:val="clear" w:color="auto" w:fill="auto"/>
            <w:vAlign w:val="center"/>
          </w:tcPr>
          <w:p w14:paraId="00257522"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Interval appendicectomy</w:t>
            </w:r>
          </w:p>
        </w:tc>
        <w:tc>
          <w:tcPr>
            <w:tcW w:w="0" w:type="auto"/>
            <w:shd w:val="clear" w:color="auto" w:fill="auto"/>
            <w:vAlign w:val="center"/>
          </w:tcPr>
          <w:p w14:paraId="380B5213"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t>Total cholecystectomy</w:t>
            </w:r>
          </w:p>
        </w:tc>
        <w:tc>
          <w:tcPr>
            <w:tcW w:w="0" w:type="auto"/>
            <w:shd w:val="clear" w:color="auto" w:fill="auto"/>
            <w:vAlign w:val="center"/>
          </w:tcPr>
          <w:p w14:paraId="255869A3"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t>Endoscopic sphincterotomy of sphincter of Oddi and removal of calculus</w:t>
            </w:r>
          </w:p>
        </w:tc>
        <w:tc>
          <w:tcPr>
            <w:tcW w:w="0" w:type="auto"/>
            <w:shd w:val="clear" w:color="auto" w:fill="auto"/>
            <w:vAlign w:val="center"/>
          </w:tcPr>
          <w:p w14:paraId="4BD9660F"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Rectosigmoidectomy and closure of rectal stump and exteriorisation of bowel</w:t>
            </w:r>
          </w:p>
        </w:tc>
        <w:tc>
          <w:tcPr>
            <w:tcW w:w="0" w:type="auto"/>
            <w:shd w:val="clear" w:color="auto" w:fill="auto"/>
            <w:vAlign w:val="center"/>
          </w:tcPr>
          <w:p w14:paraId="6E2D311A"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Fibreoptic endoscopic snare resection of lesion of colon</w:t>
            </w:r>
          </w:p>
        </w:tc>
        <w:tc>
          <w:tcPr>
            <w:tcW w:w="0" w:type="auto"/>
            <w:shd w:val="clear" w:color="auto" w:fill="auto"/>
            <w:vAlign w:val="center"/>
          </w:tcPr>
          <w:p w14:paraId="56C1A29D"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Primary repair of inguinal hernia using insert of prosthetic material</w:t>
            </w:r>
          </w:p>
        </w:tc>
        <w:tc>
          <w:tcPr>
            <w:tcW w:w="0" w:type="auto"/>
            <w:shd w:val="clear" w:color="auto" w:fill="auto"/>
            <w:vAlign w:val="center"/>
          </w:tcPr>
          <w:p w14:paraId="5D8837BA"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Unspecified urethral catheterisation of bladder</w:t>
            </w:r>
          </w:p>
        </w:tc>
        <w:tc>
          <w:tcPr>
            <w:tcW w:w="0" w:type="auto"/>
            <w:shd w:val="clear" w:color="auto" w:fill="auto"/>
            <w:vAlign w:val="center"/>
          </w:tcPr>
          <w:p w14:paraId="4DCEBA7A"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Freeing of adhesions of peritoneum</w:t>
            </w:r>
          </w:p>
        </w:tc>
        <w:tc>
          <w:tcPr>
            <w:tcW w:w="0" w:type="auto"/>
            <w:shd w:val="clear" w:color="auto" w:fill="auto"/>
            <w:vAlign w:val="center"/>
          </w:tcPr>
          <w:p w14:paraId="0ED4C758"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Other specified other therapeutic endoscopic operations on lower bowel using fibreoptic sigmoidoscope</w:t>
            </w:r>
          </w:p>
        </w:tc>
      </w:tr>
      <w:tr w:rsidR="00C63860" w:rsidRPr="00C63860" w14:paraId="466885AC"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1D92A14" w14:textId="1FD7B91D" w:rsidR="00470AE4" w:rsidRPr="00C63860" w:rsidRDefault="00470AE4" w:rsidP="00470AE4">
            <w:pPr>
              <w:spacing w:after="100" w:afterAutospacing="1"/>
              <w:contextualSpacing/>
              <w:jc w:val="center"/>
              <w:rPr>
                <w:b w:val="0"/>
              </w:rPr>
            </w:pPr>
            <w:r w:rsidRPr="00C63860">
              <w:rPr>
                <w:b w:val="0"/>
              </w:rPr>
              <w:t>Duration of surgery (source</w:t>
            </w:r>
            <w:r w:rsidR="00C63860" w:rsidRPr="00C63860">
              <w:rPr>
                <w:b w:val="0"/>
                <w:color w:val="00B0F0"/>
              </w:rPr>
              <w:t>)</w:t>
            </w:r>
          </w:p>
        </w:tc>
        <w:tc>
          <w:tcPr>
            <w:tcW w:w="0" w:type="auto"/>
            <w:shd w:val="clear" w:color="auto" w:fill="auto"/>
            <w:vAlign w:val="center"/>
          </w:tcPr>
          <w:p w14:paraId="032FFC50"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Literature</w:t>
            </w:r>
          </w:p>
        </w:tc>
        <w:tc>
          <w:tcPr>
            <w:tcW w:w="0" w:type="auto"/>
            <w:shd w:val="clear" w:color="auto" w:fill="auto"/>
            <w:vAlign w:val="center"/>
          </w:tcPr>
          <w:p w14:paraId="0596A579" w14:textId="77777777" w:rsidR="00C63860"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70</w:t>
            </w:r>
          </w:p>
          <w:p w14:paraId="0FB5DA03" w14:textId="4613EDCD"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w:t>
            </w:r>
            <w:r w:rsidRPr="00C63860">
              <w:rPr>
                <w:noProof/>
              </w:rPr>
              <w:t>Javanmard-Emamghissi</w:t>
            </w:r>
            <w:r w:rsidRPr="00C63860">
              <w:rPr>
                <w:bCs/>
                <w:i/>
                <w:color w:val="00B0F0"/>
              </w:rPr>
              <w:t xml:space="preserve"> et al</w:t>
            </w:r>
            <w:r w:rsidRPr="00C63860">
              <w:rPr>
                <w:bCs/>
              </w:rPr>
              <w:t>. 2021)</w:t>
            </w:r>
            <w:r w:rsidRPr="00C63860">
              <w:rPr>
                <w:bCs/>
                <w:noProof/>
                <w:vertAlign w:val="superscript"/>
              </w:rPr>
              <w:t>21</w:t>
            </w:r>
          </w:p>
        </w:tc>
        <w:tc>
          <w:tcPr>
            <w:tcW w:w="0" w:type="auto"/>
            <w:shd w:val="clear" w:color="auto" w:fill="auto"/>
            <w:vAlign w:val="center"/>
          </w:tcPr>
          <w:p w14:paraId="3CD6DB37" w14:textId="77777777" w:rsidR="00C63860"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70</w:t>
            </w:r>
          </w:p>
          <w:p w14:paraId="21B493ED" w14:textId="7F56B7D1"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w:t>
            </w:r>
            <w:r w:rsidRPr="00C63860">
              <w:rPr>
                <w:noProof/>
              </w:rPr>
              <w:t>Javanmard-Emamghissi</w:t>
            </w:r>
            <w:r w:rsidRPr="00C63860">
              <w:rPr>
                <w:bCs/>
                <w:i/>
                <w:color w:val="00B0F0"/>
              </w:rPr>
              <w:t xml:space="preserve"> et al</w:t>
            </w:r>
            <w:r w:rsidRPr="00C63860">
              <w:rPr>
                <w:bCs/>
              </w:rPr>
              <w:t>. 2021)</w:t>
            </w:r>
            <w:r w:rsidRPr="00C63860">
              <w:rPr>
                <w:bCs/>
                <w:noProof/>
                <w:vertAlign w:val="superscript"/>
              </w:rPr>
              <w:t>21</w:t>
            </w:r>
          </w:p>
        </w:tc>
        <w:tc>
          <w:tcPr>
            <w:tcW w:w="0" w:type="auto"/>
            <w:shd w:val="clear" w:color="auto" w:fill="auto"/>
            <w:vAlign w:val="center"/>
          </w:tcPr>
          <w:p w14:paraId="5C449C19" w14:textId="77777777" w:rsidR="00C63860"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90</w:t>
            </w:r>
          </w:p>
          <w:p w14:paraId="1A1C0830" w14:textId="19A4A46D"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(American College of Surgeons, 2021)</w:t>
            </w:r>
            <w:r w:rsidRPr="00C63860">
              <w:rPr>
                <w:bCs/>
                <w:noProof/>
                <w:vertAlign w:val="superscript"/>
              </w:rPr>
              <w:t>125</w:t>
            </w:r>
          </w:p>
        </w:tc>
        <w:tc>
          <w:tcPr>
            <w:tcW w:w="0" w:type="auto"/>
            <w:shd w:val="clear" w:color="auto" w:fill="auto"/>
            <w:vAlign w:val="center"/>
          </w:tcPr>
          <w:p w14:paraId="66448736" w14:textId="77777777" w:rsidR="00C63860"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90</w:t>
            </w:r>
          </w:p>
          <w:p w14:paraId="0F06A05D" w14:textId="4F255541"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(Silva</w:t>
            </w:r>
            <w:r w:rsidRPr="00C63860">
              <w:rPr>
                <w:bCs/>
                <w:i/>
                <w:color w:val="00B0F0"/>
              </w:rPr>
              <w:t xml:space="preserve"> et al</w:t>
            </w:r>
            <w:r w:rsidRPr="00C63860">
              <w:rPr>
                <w:bCs/>
              </w:rPr>
              <w:t>. 2016)</w:t>
            </w:r>
            <w:r w:rsidRPr="00C63860">
              <w:rPr>
                <w:bCs/>
                <w:noProof/>
                <w:vertAlign w:val="superscript"/>
              </w:rPr>
              <w:t>126</w:t>
            </w:r>
          </w:p>
        </w:tc>
        <w:tc>
          <w:tcPr>
            <w:tcW w:w="0" w:type="auto"/>
            <w:shd w:val="clear" w:color="auto" w:fill="auto"/>
            <w:vAlign w:val="center"/>
          </w:tcPr>
          <w:p w14:paraId="0C42D206"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135</w:t>
            </w:r>
            <w:r w:rsidRPr="00C63860">
              <w:rPr>
                <w:bCs/>
                <w:vertAlign w:val="superscript"/>
              </w:rPr>
              <w:t>a</w:t>
            </w:r>
          </w:p>
          <w:p w14:paraId="7A7FF988" w14:textId="13C859AD"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(Heah</w:t>
            </w:r>
            <w:r w:rsidRPr="00C63860">
              <w:rPr>
                <w:bCs/>
                <w:i/>
                <w:color w:val="00B0F0"/>
              </w:rPr>
              <w:t xml:space="preserve"> et al</w:t>
            </w:r>
            <w:r w:rsidRPr="00C63860">
              <w:rPr>
                <w:bCs/>
              </w:rPr>
              <w:t>. 1995)</w:t>
            </w:r>
            <w:r w:rsidRPr="00C63860">
              <w:rPr>
                <w:bCs/>
                <w:noProof/>
                <w:vertAlign w:val="superscript"/>
              </w:rPr>
              <w:t>127</w:t>
            </w:r>
          </w:p>
        </w:tc>
        <w:tc>
          <w:tcPr>
            <w:tcW w:w="0" w:type="auto"/>
            <w:shd w:val="clear" w:color="auto" w:fill="auto"/>
            <w:vAlign w:val="center"/>
          </w:tcPr>
          <w:p w14:paraId="2D40406A" w14:textId="77777777" w:rsidR="00C63860"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25</w:t>
            </w:r>
          </w:p>
          <w:p w14:paraId="59FA1C01" w14:textId="6E041255"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w:t>
            </w:r>
            <w:r w:rsidRPr="00C63860">
              <w:rPr>
                <w:noProof/>
              </w:rPr>
              <w:t>Teramoto</w:t>
            </w:r>
            <w:r w:rsidRPr="00C63860">
              <w:rPr>
                <w:i/>
                <w:noProof/>
                <w:color w:val="00B0F0"/>
              </w:rPr>
              <w:t xml:space="preserve"> et al</w:t>
            </w:r>
            <w:r w:rsidRPr="00C63860">
              <w:rPr>
                <w:noProof/>
              </w:rPr>
              <w:t>. 2020</w:t>
            </w:r>
            <w:r w:rsidRPr="00C63860">
              <w:rPr>
                <w:bCs/>
              </w:rPr>
              <w:t>)</w:t>
            </w:r>
            <w:r w:rsidRPr="00C63860">
              <w:rPr>
                <w:bCs/>
                <w:noProof/>
                <w:vertAlign w:val="superscript"/>
              </w:rPr>
              <w:t>128</w:t>
            </w:r>
          </w:p>
        </w:tc>
        <w:tc>
          <w:tcPr>
            <w:tcW w:w="0" w:type="auto"/>
            <w:shd w:val="clear" w:color="auto" w:fill="auto"/>
            <w:vAlign w:val="center"/>
          </w:tcPr>
          <w:p w14:paraId="6CFCCCD5" w14:textId="77777777" w:rsidR="00C63860"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60</w:t>
            </w:r>
          </w:p>
          <w:p w14:paraId="0C583E63" w14:textId="14F3EDF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(Wu</w:t>
            </w:r>
            <w:r w:rsidRPr="00C63860">
              <w:rPr>
                <w:bCs/>
                <w:i/>
                <w:color w:val="00B0F0"/>
              </w:rPr>
              <w:t xml:space="preserve"> et al</w:t>
            </w:r>
            <w:r w:rsidRPr="00C63860">
              <w:rPr>
                <w:bCs/>
              </w:rPr>
              <w:t>. 2016)</w:t>
            </w:r>
            <w:r w:rsidRPr="00C63860">
              <w:rPr>
                <w:bCs/>
                <w:noProof/>
                <w:vertAlign w:val="superscript"/>
              </w:rPr>
              <w:t>129</w:t>
            </w:r>
          </w:p>
        </w:tc>
        <w:tc>
          <w:tcPr>
            <w:tcW w:w="0" w:type="auto"/>
            <w:shd w:val="clear" w:color="auto" w:fill="auto"/>
            <w:vAlign w:val="center"/>
          </w:tcPr>
          <w:p w14:paraId="0C358A7C" w14:textId="77777777" w:rsidR="00C63860"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15</w:t>
            </w:r>
          </w:p>
          <w:p w14:paraId="22807F5D" w14:textId="394AF8BF"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(Wilson 2009)</w:t>
            </w:r>
            <w:r w:rsidRPr="00C63860">
              <w:rPr>
                <w:bCs/>
                <w:noProof/>
                <w:vertAlign w:val="superscript"/>
              </w:rPr>
              <w:t>130</w:t>
            </w:r>
          </w:p>
        </w:tc>
        <w:tc>
          <w:tcPr>
            <w:tcW w:w="0" w:type="auto"/>
            <w:shd w:val="clear" w:color="auto" w:fill="auto"/>
            <w:vAlign w:val="center"/>
          </w:tcPr>
          <w:p w14:paraId="36A2DF70"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50</w:t>
            </w:r>
          </w:p>
          <w:p w14:paraId="21629E8F" w14:textId="306C61F1"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(Sallinen</w:t>
            </w:r>
            <w:r w:rsidRPr="00C63860">
              <w:rPr>
                <w:bCs/>
                <w:i/>
                <w:color w:val="00B0F0"/>
              </w:rPr>
              <w:t xml:space="preserve"> et al</w:t>
            </w:r>
            <w:r w:rsidRPr="00C63860">
              <w:rPr>
                <w:bCs/>
              </w:rPr>
              <w:t>. 2019)</w:t>
            </w:r>
            <w:r w:rsidRPr="00C63860">
              <w:rPr>
                <w:bCs/>
                <w:noProof/>
                <w:vertAlign w:val="superscript"/>
              </w:rPr>
              <w:t>131</w:t>
            </w:r>
          </w:p>
        </w:tc>
        <w:tc>
          <w:tcPr>
            <w:tcW w:w="0" w:type="auto"/>
            <w:shd w:val="clear" w:color="auto" w:fill="auto"/>
            <w:vAlign w:val="center"/>
          </w:tcPr>
          <w:p w14:paraId="5F69A9BE"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50</w:t>
            </w:r>
          </w:p>
          <w:p w14:paraId="73A1B709" w14:textId="08FC8F59"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(Sallinen</w:t>
            </w:r>
            <w:r w:rsidRPr="00C63860">
              <w:rPr>
                <w:bCs/>
                <w:i/>
                <w:color w:val="00B0F0"/>
              </w:rPr>
              <w:t xml:space="preserve"> et al</w:t>
            </w:r>
            <w:r w:rsidRPr="00C63860">
              <w:rPr>
                <w:bCs/>
              </w:rPr>
              <w:t>. 2019)</w:t>
            </w:r>
            <w:r w:rsidRPr="00C63860">
              <w:rPr>
                <w:bCs/>
                <w:noProof/>
                <w:vertAlign w:val="superscript"/>
              </w:rPr>
              <w:t>131</w:t>
            </w:r>
          </w:p>
          <w:p w14:paraId="1DF7CC62"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p>
        </w:tc>
      </w:tr>
      <w:tr w:rsidR="00C63860" w:rsidRPr="00C63860" w14:paraId="77B0B767"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2DCE88F" w14:textId="77777777" w:rsidR="00470AE4" w:rsidRPr="00C63860" w:rsidRDefault="00470AE4" w:rsidP="00470AE4">
            <w:pPr>
              <w:spacing w:after="100" w:afterAutospacing="1"/>
              <w:contextualSpacing/>
              <w:jc w:val="center"/>
              <w:rPr>
                <w:b w:val="0"/>
              </w:rPr>
            </w:pPr>
            <w:r w:rsidRPr="00C63860">
              <w:rPr>
                <w:b w:val="0"/>
              </w:rPr>
              <w:t>Staffing levels</w:t>
            </w:r>
          </w:p>
        </w:tc>
        <w:tc>
          <w:tcPr>
            <w:tcW w:w="0" w:type="auto"/>
            <w:shd w:val="clear" w:color="auto" w:fill="auto"/>
            <w:vAlign w:val="center"/>
          </w:tcPr>
          <w:p w14:paraId="5FD27DF4"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Expert opinion</w:t>
            </w:r>
          </w:p>
        </w:tc>
        <w:tc>
          <w:tcPr>
            <w:tcW w:w="0" w:type="auto"/>
            <w:shd w:val="clear" w:color="auto" w:fill="auto"/>
            <w:vAlign w:val="center"/>
          </w:tcPr>
          <w:p w14:paraId="2936E8D6"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S1</w:t>
            </w:r>
          </w:p>
        </w:tc>
        <w:tc>
          <w:tcPr>
            <w:tcW w:w="0" w:type="auto"/>
            <w:shd w:val="clear" w:color="auto" w:fill="auto"/>
            <w:vAlign w:val="center"/>
          </w:tcPr>
          <w:p w14:paraId="3A8F2280"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S1</w:t>
            </w:r>
          </w:p>
        </w:tc>
        <w:tc>
          <w:tcPr>
            <w:tcW w:w="0" w:type="auto"/>
            <w:shd w:val="clear" w:color="auto" w:fill="auto"/>
            <w:vAlign w:val="center"/>
          </w:tcPr>
          <w:p w14:paraId="202B4A4A"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S1</w:t>
            </w:r>
          </w:p>
        </w:tc>
        <w:tc>
          <w:tcPr>
            <w:tcW w:w="0" w:type="auto"/>
            <w:shd w:val="clear" w:color="auto" w:fill="auto"/>
            <w:vAlign w:val="center"/>
          </w:tcPr>
          <w:p w14:paraId="37CDBECB"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S3</w:t>
            </w:r>
          </w:p>
        </w:tc>
        <w:tc>
          <w:tcPr>
            <w:tcW w:w="0" w:type="auto"/>
            <w:shd w:val="clear" w:color="auto" w:fill="auto"/>
            <w:vAlign w:val="center"/>
          </w:tcPr>
          <w:p w14:paraId="6B1D3747"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S1</w:t>
            </w:r>
          </w:p>
        </w:tc>
        <w:tc>
          <w:tcPr>
            <w:tcW w:w="0" w:type="auto"/>
            <w:shd w:val="clear" w:color="auto" w:fill="auto"/>
            <w:vAlign w:val="center"/>
          </w:tcPr>
          <w:p w14:paraId="5ADE8E36"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S1</w:t>
            </w:r>
          </w:p>
        </w:tc>
        <w:tc>
          <w:tcPr>
            <w:tcW w:w="0" w:type="auto"/>
            <w:shd w:val="clear" w:color="auto" w:fill="auto"/>
            <w:vAlign w:val="center"/>
          </w:tcPr>
          <w:p w14:paraId="27028B5B"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S1</w:t>
            </w:r>
          </w:p>
        </w:tc>
        <w:tc>
          <w:tcPr>
            <w:tcW w:w="0" w:type="auto"/>
            <w:shd w:val="clear" w:color="auto" w:fill="auto"/>
            <w:vAlign w:val="center"/>
          </w:tcPr>
          <w:p w14:paraId="27A8DE74"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S2</w:t>
            </w:r>
          </w:p>
        </w:tc>
        <w:tc>
          <w:tcPr>
            <w:tcW w:w="0" w:type="auto"/>
            <w:shd w:val="clear" w:color="auto" w:fill="auto"/>
            <w:vAlign w:val="center"/>
          </w:tcPr>
          <w:p w14:paraId="146ACB0E"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S1</w:t>
            </w:r>
          </w:p>
        </w:tc>
        <w:tc>
          <w:tcPr>
            <w:tcW w:w="0" w:type="auto"/>
            <w:shd w:val="clear" w:color="auto" w:fill="auto"/>
            <w:vAlign w:val="center"/>
          </w:tcPr>
          <w:p w14:paraId="5FFC936D"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S3</w:t>
            </w:r>
          </w:p>
        </w:tc>
      </w:tr>
      <w:tr w:rsidR="00C63860" w:rsidRPr="00C63860" w14:paraId="44A3E548"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5178DF75" w14:textId="77777777" w:rsidR="00470AE4" w:rsidRPr="00C63860" w:rsidRDefault="00470AE4" w:rsidP="00470AE4">
            <w:pPr>
              <w:spacing w:after="100" w:afterAutospacing="1"/>
              <w:contextualSpacing/>
              <w:jc w:val="center"/>
              <w:rPr>
                <w:b w:val="0"/>
              </w:rPr>
            </w:pPr>
            <w:r w:rsidRPr="00C63860">
              <w:rPr>
                <w:b w:val="0"/>
              </w:rPr>
              <w:t>Instruments</w:t>
            </w:r>
          </w:p>
        </w:tc>
        <w:tc>
          <w:tcPr>
            <w:tcW w:w="0" w:type="auto"/>
            <w:shd w:val="clear" w:color="auto" w:fill="auto"/>
            <w:vAlign w:val="center"/>
          </w:tcPr>
          <w:p w14:paraId="25215ADB"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Expert opinion</w:t>
            </w:r>
          </w:p>
        </w:tc>
        <w:tc>
          <w:tcPr>
            <w:tcW w:w="0" w:type="auto"/>
            <w:shd w:val="clear" w:color="auto" w:fill="auto"/>
            <w:vAlign w:val="center"/>
          </w:tcPr>
          <w:p w14:paraId="0BA744C0"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Laparoscopic set</w:t>
            </w:r>
          </w:p>
        </w:tc>
        <w:tc>
          <w:tcPr>
            <w:tcW w:w="0" w:type="auto"/>
            <w:shd w:val="clear" w:color="auto" w:fill="auto"/>
            <w:vAlign w:val="center"/>
          </w:tcPr>
          <w:p w14:paraId="2B052E47"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Laparoscopic set</w:t>
            </w:r>
          </w:p>
        </w:tc>
        <w:tc>
          <w:tcPr>
            <w:tcW w:w="0" w:type="auto"/>
            <w:shd w:val="clear" w:color="auto" w:fill="auto"/>
            <w:vAlign w:val="center"/>
          </w:tcPr>
          <w:p w14:paraId="00CD19F0"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Laparoscopic set</w:t>
            </w:r>
          </w:p>
        </w:tc>
        <w:tc>
          <w:tcPr>
            <w:tcW w:w="0" w:type="auto"/>
            <w:shd w:val="clear" w:color="auto" w:fill="auto"/>
            <w:vAlign w:val="center"/>
          </w:tcPr>
          <w:p w14:paraId="5768ABE2"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w:t>
            </w:r>
          </w:p>
        </w:tc>
        <w:tc>
          <w:tcPr>
            <w:tcW w:w="0" w:type="auto"/>
            <w:shd w:val="clear" w:color="auto" w:fill="auto"/>
            <w:vAlign w:val="center"/>
          </w:tcPr>
          <w:p w14:paraId="6596D092"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Major general set</w:t>
            </w:r>
          </w:p>
        </w:tc>
        <w:tc>
          <w:tcPr>
            <w:tcW w:w="0" w:type="auto"/>
            <w:shd w:val="clear" w:color="auto" w:fill="auto"/>
            <w:vAlign w:val="center"/>
          </w:tcPr>
          <w:p w14:paraId="65CC63AD"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Polypectomy set</w:t>
            </w:r>
          </w:p>
        </w:tc>
        <w:tc>
          <w:tcPr>
            <w:tcW w:w="0" w:type="auto"/>
            <w:shd w:val="clear" w:color="auto" w:fill="auto"/>
            <w:vAlign w:val="center"/>
          </w:tcPr>
          <w:p w14:paraId="6D18E09A"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Minor general set</w:t>
            </w:r>
          </w:p>
        </w:tc>
        <w:tc>
          <w:tcPr>
            <w:tcW w:w="0" w:type="auto"/>
            <w:shd w:val="clear" w:color="auto" w:fill="auto"/>
            <w:vAlign w:val="center"/>
          </w:tcPr>
          <w:p w14:paraId="6E6D5E57"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w:t>
            </w:r>
          </w:p>
        </w:tc>
        <w:tc>
          <w:tcPr>
            <w:tcW w:w="0" w:type="auto"/>
            <w:shd w:val="clear" w:color="auto" w:fill="auto"/>
            <w:vAlign w:val="center"/>
          </w:tcPr>
          <w:p w14:paraId="74C92D1C"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Major general set</w:t>
            </w:r>
          </w:p>
        </w:tc>
        <w:tc>
          <w:tcPr>
            <w:tcW w:w="0" w:type="auto"/>
            <w:shd w:val="clear" w:color="auto" w:fill="auto"/>
            <w:vAlign w:val="center"/>
          </w:tcPr>
          <w:p w14:paraId="64D46E9A"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w:t>
            </w:r>
          </w:p>
        </w:tc>
      </w:tr>
      <w:tr w:rsidR="00C63860" w:rsidRPr="00C63860" w14:paraId="042A6E5B"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5E9FE51A" w14:textId="77777777" w:rsidR="00470AE4" w:rsidRPr="00C63860" w:rsidRDefault="00470AE4" w:rsidP="00470AE4">
            <w:pPr>
              <w:spacing w:after="100" w:afterAutospacing="1"/>
              <w:contextualSpacing/>
              <w:jc w:val="center"/>
              <w:rPr>
                <w:b w:val="0"/>
              </w:rPr>
            </w:pPr>
            <w:r w:rsidRPr="00C63860">
              <w:rPr>
                <w:b w:val="0"/>
              </w:rPr>
              <w:t>Equipment</w:t>
            </w:r>
          </w:p>
        </w:tc>
        <w:tc>
          <w:tcPr>
            <w:tcW w:w="0" w:type="auto"/>
            <w:shd w:val="clear" w:color="auto" w:fill="auto"/>
            <w:vAlign w:val="center"/>
          </w:tcPr>
          <w:p w14:paraId="37251081"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Expert opinion</w:t>
            </w:r>
          </w:p>
        </w:tc>
        <w:tc>
          <w:tcPr>
            <w:tcW w:w="0" w:type="auto"/>
            <w:shd w:val="clear" w:color="auto" w:fill="auto"/>
            <w:vAlign w:val="center"/>
          </w:tcPr>
          <w:p w14:paraId="23F6FA95"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Laparoscope, cable and tray</w:t>
            </w:r>
          </w:p>
        </w:tc>
        <w:tc>
          <w:tcPr>
            <w:tcW w:w="0" w:type="auto"/>
            <w:shd w:val="clear" w:color="auto" w:fill="auto"/>
            <w:vAlign w:val="center"/>
          </w:tcPr>
          <w:p w14:paraId="54F7F82D"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Laparoscope, cable and tray</w:t>
            </w:r>
          </w:p>
        </w:tc>
        <w:tc>
          <w:tcPr>
            <w:tcW w:w="0" w:type="auto"/>
            <w:shd w:val="clear" w:color="auto" w:fill="auto"/>
            <w:vAlign w:val="center"/>
          </w:tcPr>
          <w:p w14:paraId="47F8AC37"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Laparoscope, cable and tray</w:t>
            </w:r>
          </w:p>
        </w:tc>
        <w:tc>
          <w:tcPr>
            <w:tcW w:w="0" w:type="auto"/>
            <w:shd w:val="clear" w:color="auto" w:fill="auto"/>
            <w:vAlign w:val="center"/>
          </w:tcPr>
          <w:p w14:paraId="29F399F7"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Laparoscope, cable and tray</w:t>
            </w:r>
          </w:p>
        </w:tc>
        <w:tc>
          <w:tcPr>
            <w:tcW w:w="0" w:type="auto"/>
            <w:shd w:val="clear" w:color="auto" w:fill="auto"/>
            <w:vAlign w:val="center"/>
          </w:tcPr>
          <w:p w14:paraId="0166665C"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w:t>
            </w:r>
          </w:p>
        </w:tc>
        <w:tc>
          <w:tcPr>
            <w:tcW w:w="0" w:type="auto"/>
            <w:shd w:val="clear" w:color="auto" w:fill="auto"/>
            <w:vAlign w:val="center"/>
          </w:tcPr>
          <w:p w14:paraId="507191CA"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Laparoscope, cable and tray</w:t>
            </w:r>
          </w:p>
        </w:tc>
        <w:tc>
          <w:tcPr>
            <w:tcW w:w="0" w:type="auto"/>
            <w:shd w:val="clear" w:color="auto" w:fill="auto"/>
            <w:vAlign w:val="center"/>
          </w:tcPr>
          <w:p w14:paraId="2FF2DF55"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w:t>
            </w:r>
          </w:p>
        </w:tc>
        <w:tc>
          <w:tcPr>
            <w:tcW w:w="0" w:type="auto"/>
            <w:shd w:val="clear" w:color="auto" w:fill="auto"/>
            <w:vAlign w:val="center"/>
          </w:tcPr>
          <w:p w14:paraId="136E82DE"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w:t>
            </w:r>
          </w:p>
        </w:tc>
        <w:tc>
          <w:tcPr>
            <w:tcW w:w="0" w:type="auto"/>
            <w:shd w:val="clear" w:color="auto" w:fill="auto"/>
            <w:vAlign w:val="center"/>
          </w:tcPr>
          <w:p w14:paraId="119F40F7"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w:t>
            </w:r>
          </w:p>
        </w:tc>
        <w:tc>
          <w:tcPr>
            <w:tcW w:w="0" w:type="auto"/>
            <w:shd w:val="clear" w:color="auto" w:fill="auto"/>
            <w:vAlign w:val="center"/>
          </w:tcPr>
          <w:p w14:paraId="258BEDB1" w14:textId="77777777" w:rsidR="00470AE4" w:rsidRPr="00C63860"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63860">
              <w:rPr>
                <w:bCs/>
              </w:rPr>
              <w:t>Laparoscope, cable and tray</w:t>
            </w:r>
          </w:p>
        </w:tc>
      </w:tr>
      <w:tr w:rsidR="00C63860" w:rsidRPr="00C63860" w14:paraId="4B22B1B6"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AD83E5F" w14:textId="77777777" w:rsidR="00470AE4" w:rsidRPr="00C63860" w:rsidRDefault="00470AE4" w:rsidP="00470AE4">
            <w:pPr>
              <w:spacing w:after="100" w:afterAutospacing="1"/>
              <w:contextualSpacing/>
              <w:jc w:val="center"/>
              <w:rPr>
                <w:b w:val="0"/>
              </w:rPr>
            </w:pPr>
            <w:r w:rsidRPr="00C63860">
              <w:rPr>
                <w:b w:val="0"/>
              </w:rPr>
              <w:t>Main disposables</w:t>
            </w:r>
          </w:p>
        </w:tc>
        <w:tc>
          <w:tcPr>
            <w:tcW w:w="0" w:type="auto"/>
            <w:shd w:val="clear" w:color="auto" w:fill="auto"/>
            <w:vAlign w:val="center"/>
          </w:tcPr>
          <w:p w14:paraId="04DDADE3"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Expert opinion</w:t>
            </w:r>
          </w:p>
        </w:tc>
        <w:tc>
          <w:tcPr>
            <w:tcW w:w="0" w:type="auto"/>
            <w:shd w:val="clear" w:color="auto" w:fill="auto"/>
            <w:vAlign w:val="center"/>
          </w:tcPr>
          <w:p w14:paraId="47649C2E"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Loops for stump closure</w:t>
            </w:r>
          </w:p>
        </w:tc>
        <w:tc>
          <w:tcPr>
            <w:tcW w:w="0" w:type="auto"/>
            <w:shd w:val="clear" w:color="auto" w:fill="auto"/>
            <w:vAlign w:val="center"/>
          </w:tcPr>
          <w:p w14:paraId="79C86BD2"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Loops for stump closure</w:t>
            </w:r>
          </w:p>
        </w:tc>
        <w:tc>
          <w:tcPr>
            <w:tcW w:w="0" w:type="auto"/>
            <w:shd w:val="clear" w:color="auto" w:fill="auto"/>
            <w:vAlign w:val="center"/>
          </w:tcPr>
          <w:p w14:paraId="18DD52B3"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w:t>
            </w:r>
          </w:p>
        </w:tc>
        <w:tc>
          <w:tcPr>
            <w:tcW w:w="0" w:type="auto"/>
            <w:shd w:val="clear" w:color="auto" w:fill="auto"/>
            <w:vAlign w:val="center"/>
          </w:tcPr>
          <w:p w14:paraId="7DBA56CB"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w:t>
            </w:r>
          </w:p>
        </w:tc>
        <w:tc>
          <w:tcPr>
            <w:tcW w:w="0" w:type="auto"/>
            <w:shd w:val="clear" w:color="auto" w:fill="auto"/>
            <w:vAlign w:val="center"/>
          </w:tcPr>
          <w:p w14:paraId="70A0ABAB"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Linear stapler and reload</w:t>
            </w:r>
          </w:p>
        </w:tc>
        <w:tc>
          <w:tcPr>
            <w:tcW w:w="0" w:type="auto"/>
            <w:shd w:val="clear" w:color="auto" w:fill="auto"/>
            <w:vAlign w:val="center"/>
          </w:tcPr>
          <w:p w14:paraId="5EE6BE1F"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w:t>
            </w:r>
          </w:p>
        </w:tc>
        <w:tc>
          <w:tcPr>
            <w:tcW w:w="0" w:type="auto"/>
            <w:shd w:val="clear" w:color="auto" w:fill="auto"/>
            <w:vAlign w:val="center"/>
          </w:tcPr>
          <w:p w14:paraId="5518A6F8"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Biosynthetic mesh</w:t>
            </w:r>
          </w:p>
        </w:tc>
        <w:tc>
          <w:tcPr>
            <w:tcW w:w="0" w:type="auto"/>
            <w:shd w:val="clear" w:color="auto" w:fill="auto"/>
            <w:vAlign w:val="center"/>
          </w:tcPr>
          <w:p w14:paraId="2DCA4DAA"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Foyle catheterisation kit</w:t>
            </w:r>
          </w:p>
        </w:tc>
        <w:tc>
          <w:tcPr>
            <w:tcW w:w="0" w:type="auto"/>
            <w:shd w:val="clear" w:color="auto" w:fill="auto"/>
            <w:vAlign w:val="center"/>
          </w:tcPr>
          <w:p w14:paraId="451236DE"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w:t>
            </w:r>
          </w:p>
        </w:tc>
        <w:tc>
          <w:tcPr>
            <w:tcW w:w="0" w:type="auto"/>
            <w:shd w:val="clear" w:color="auto" w:fill="auto"/>
            <w:vAlign w:val="center"/>
          </w:tcPr>
          <w:p w14:paraId="66CFC0C2" w14:textId="77777777" w:rsidR="00470AE4" w:rsidRPr="00C63860"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63860">
              <w:rPr>
                <w:bCs/>
              </w:rPr>
              <w:t>-</w:t>
            </w:r>
          </w:p>
        </w:tc>
      </w:tr>
    </w:tbl>
    <w:p w14:paraId="17847BA9" w14:textId="77777777" w:rsidR="00C63860" w:rsidRPr="00C63860" w:rsidRDefault="00470AE4" w:rsidP="00470AE4">
      <w:pPr>
        <w:spacing w:after="160" w:line="259" w:lineRule="auto"/>
        <w:rPr>
          <w:rFonts w:asciiTheme="minorHAnsi" w:hAnsiTheme="minorHAnsi"/>
          <w:sz w:val="18"/>
          <w:szCs w:val="18"/>
        </w:rPr>
      </w:pPr>
      <w:r w:rsidRPr="00C63860">
        <w:rPr>
          <w:rFonts w:asciiTheme="minorHAnsi" w:hAnsiTheme="minorHAnsi"/>
          <w:sz w:val="18"/>
          <w:szCs w:val="18"/>
        </w:rPr>
        <w:t xml:space="preserve">Table includes exemplar </w:t>
      </w:r>
      <w:r w:rsidRPr="00C63860">
        <w:rPr>
          <w:rFonts w:asciiTheme="minorHAnsi" w:hAnsiTheme="minorHAnsi"/>
          <w:sz w:val="18"/>
          <w:szCs w:val="18"/>
          <w:highlight w:val="magenta"/>
        </w:rPr>
        <w:t>data</w:t>
      </w:r>
      <w:r w:rsidRPr="00C63860">
        <w:rPr>
          <w:rFonts w:asciiTheme="minorHAnsi" w:hAnsiTheme="minorHAnsi"/>
          <w:sz w:val="18"/>
          <w:szCs w:val="18"/>
        </w:rPr>
        <w:t xml:space="preserve"> for most common operative procedures in ES window.</w:t>
      </w:r>
    </w:p>
    <w:p w14:paraId="70DB09F1" w14:textId="06BA5F45" w:rsidR="0098769A" w:rsidRPr="00C63860" w:rsidRDefault="00470AE4" w:rsidP="0098769A">
      <w:pPr>
        <w:pStyle w:val="Caption"/>
        <w:rPr>
          <w:b/>
          <w:bCs/>
          <w:color w:val="auto"/>
          <w:sz w:val="22"/>
          <w:szCs w:val="22"/>
        </w:rPr>
      </w:pPr>
      <w:r w:rsidRPr="00C63860">
        <w:rPr>
          <w:rFonts w:asciiTheme="minorHAnsi" w:hAnsiTheme="minorHAnsi"/>
          <w:vertAlign w:val="superscript"/>
        </w:rPr>
        <w:t>a</w:t>
      </w:r>
      <w:r w:rsidRPr="00C63860">
        <w:rPr>
          <w:rFonts w:asciiTheme="minorHAnsi" w:hAnsiTheme="minorHAnsi"/>
        </w:rPr>
        <w:t>If the procedure appeared with operative codes for loop colostomy, other specified other exteriorisation of colon, or unspecified other exteriorisation of colon, the duration was assumed to be 205 minutes. S1 considered: 1 consultant surgeon, 1 registrar surgeon, 2 band 5 nurses, 1 band 6 nurse, 1 operating department practitioner, 1 consultant anaesthetist, 1 registrar anaesthetist. S2 considered 1 band 5 nurse. S3 considered: 1 consultant anaesthetist, 1 endoscopist and 2 band 5 nurses.</w:t>
      </w:r>
      <w:r w:rsidR="00C63860" w:rsidRPr="00C63860">
        <w:rPr>
          <w:b/>
          <w:bCs/>
        </w:rPr>
        <w:t xml:space="preserve"> </w:t>
      </w:r>
      <w:bookmarkStart w:id="111" w:name="_Toc86670796"/>
      <w:r w:rsidR="00C63860" w:rsidRPr="00C63860">
        <w:rPr>
          <w:b/>
          <w:bCs/>
          <w:color w:val="FF0000"/>
          <w:sz w:val="22"/>
          <w:szCs w:val="22"/>
        </w:rPr>
        <w:t xml:space="preserve">Table </w:t>
      </w:r>
      <w:r w:rsidR="00C63860" w:rsidRPr="00C63860">
        <w:rPr>
          <w:b/>
          <w:bCs/>
          <w:noProof/>
          <w:color w:val="FF0000"/>
          <w:sz w:val="22"/>
          <w:szCs w:val="22"/>
        </w:rPr>
        <w:t>24</w:t>
      </w:r>
      <w:r w:rsidR="0098769A" w:rsidRPr="00C63860">
        <w:rPr>
          <w:b/>
          <w:bCs/>
          <w:color w:val="auto"/>
          <w:sz w:val="22"/>
          <w:szCs w:val="22"/>
        </w:rPr>
        <w:t>: Unit costs (£GBP 2019/20) for potential cost drivers</w:t>
      </w:r>
      <w:bookmarkEnd w:id="111"/>
    </w:p>
    <w:tbl>
      <w:tblPr>
        <w:tblStyle w:val="PlainTable2"/>
        <w:tblW w:w="0" w:type="auto"/>
        <w:tblBorders>
          <w:top w:val="none" w:sz="0" w:space="0" w:color="auto"/>
          <w:bottom w:val="none" w:sz="0" w:space="0" w:color="auto"/>
        </w:tblBorders>
        <w:tblCellMar>
          <w:top w:w="40" w:type="dxa"/>
          <w:left w:w="60" w:type="dxa"/>
          <w:bottom w:w="40" w:type="dxa"/>
          <w:right w:w="60" w:type="dxa"/>
        </w:tblCellMar>
        <w:tblLook w:val="04A0" w:firstRow="1" w:lastRow="0" w:firstColumn="1" w:lastColumn="0" w:noHBand="0" w:noVBand="1"/>
      </w:tblPr>
      <w:tblGrid>
        <w:gridCol w:w="2875"/>
        <w:gridCol w:w="1047"/>
        <w:gridCol w:w="654"/>
        <w:gridCol w:w="4450"/>
      </w:tblGrid>
      <w:tr w:rsidR="00470AE4" w:rsidRPr="00C63860" w14:paraId="0189FCAF" w14:textId="77777777" w:rsidTr="00C6386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shd w:val="clear" w:color="auto" w:fill="auto"/>
            <w:vAlign w:val="center"/>
          </w:tcPr>
          <w:p w14:paraId="12D42666" w14:textId="77777777" w:rsidR="00470AE4" w:rsidRPr="00C63860" w:rsidRDefault="00470AE4" w:rsidP="00470AE4">
            <w:pPr>
              <w:contextualSpacing/>
              <w:rPr>
                <w:sz w:val="22"/>
                <w:szCs w:val="22"/>
              </w:rPr>
            </w:pPr>
            <w:r w:rsidRPr="00C63860">
              <w:rPr>
                <w:sz w:val="22"/>
                <w:szCs w:val="22"/>
              </w:rPr>
              <w:t>Item</w:t>
            </w:r>
          </w:p>
        </w:tc>
        <w:tc>
          <w:tcPr>
            <w:tcW w:w="0" w:type="auto"/>
            <w:tcBorders>
              <w:bottom w:val="none" w:sz="0" w:space="0" w:color="auto"/>
            </w:tcBorders>
            <w:shd w:val="clear" w:color="auto" w:fill="auto"/>
            <w:vAlign w:val="center"/>
          </w:tcPr>
          <w:p w14:paraId="6FD1C941" w14:textId="77777777" w:rsidR="00470AE4" w:rsidRPr="00C63860" w:rsidRDefault="00470AE4" w:rsidP="00470AE4">
            <w:pPr>
              <w:contextualSpacing/>
              <w:jc w:val="center"/>
              <w:cnfStyle w:val="100000000000" w:firstRow="1" w:lastRow="0" w:firstColumn="0" w:lastColumn="0" w:oddVBand="0" w:evenVBand="0" w:oddHBand="0" w:evenHBand="0" w:firstRowFirstColumn="0" w:firstRowLastColumn="0" w:lastRowFirstColumn="0" w:lastRowLastColumn="0"/>
              <w:rPr>
                <w:sz w:val="22"/>
                <w:szCs w:val="22"/>
              </w:rPr>
            </w:pPr>
            <w:r w:rsidRPr="00C63860">
              <w:rPr>
                <w:sz w:val="22"/>
                <w:szCs w:val="22"/>
              </w:rPr>
              <w:t>Unit</w:t>
            </w:r>
          </w:p>
        </w:tc>
        <w:tc>
          <w:tcPr>
            <w:tcW w:w="0" w:type="auto"/>
            <w:tcBorders>
              <w:bottom w:val="none" w:sz="0" w:space="0" w:color="auto"/>
            </w:tcBorders>
            <w:shd w:val="clear" w:color="auto" w:fill="auto"/>
            <w:vAlign w:val="center"/>
          </w:tcPr>
          <w:p w14:paraId="5E22B746" w14:textId="77777777" w:rsidR="00470AE4" w:rsidRPr="00C63860" w:rsidRDefault="00470AE4" w:rsidP="00470AE4">
            <w:pPr>
              <w:contextualSpacing/>
              <w:jc w:val="center"/>
              <w:cnfStyle w:val="100000000000" w:firstRow="1" w:lastRow="0" w:firstColumn="0" w:lastColumn="0" w:oddVBand="0" w:evenVBand="0" w:oddHBand="0" w:evenHBand="0" w:firstRowFirstColumn="0" w:firstRowLastColumn="0" w:lastRowFirstColumn="0" w:lastRowLastColumn="0"/>
              <w:rPr>
                <w:sz w:val="22"/>
                <w:szCs w:val="22"/>
              </w:rPr>
            </w:pPr>
            <w:r w:rsidRPr="00C63860">
              <w:rPr>
                <w:sz w:val="22"/>
                <w:szCs w:val="22"/>
              </w:rPr>
              <w:t>Unit cost</w:t>
            </w:r>
          </w:p>
        </w:tc>
        <w:tc>
          <w:tcPr>
            <w:tcW w:w="0" w:type="auto"/>
            <w:tcBorders>
              <w:bottom w:val="none" w:sz="0" w:space="0" w:color="auto"/>
            </w:tcBorders>
            <w:shd w:val="clear" w:color="auto" w:fill="auto"/>
            <w:vAlign w:val="center"/>
          </w:tcPr>
          <w:p w14:paraId="74DDF196" w14:textId="77777777" w:rsidR="00470AE4" w:rsidRPr="00C63860" w:rsidRDefault="00470AE4" w:rsidP="00470AE4">
            <w:pPr>
              <w:contextualSpacing/>
              <w:jc w:val="center"/>
              <w:cnfStyle w:val="100000000000" w:firstRow="1" w:lastRow="0" w:firstColumn="0" w:lastColumn="0" w:oddVBand="0" w:evenVBand="0" w:oddHBand="0" w:evenHBand="0" w:firstRowFirstColumn="0" w:firstRowLastColumn="0" w:lastRowFirstColumn="0" w:lastRowLastColumn="0"/>
              <w:rPr>
                <w:sz w:val="22"/>
                <w:szCs w:val="22"/>
              </w:rPr>
            </w:pPr>
            <w:r w:rsidRPr="00C63860">
              <w:rPr>
                <w:sz w:val="22"/>
                <w:szCs w:val="22"/>
              </w:rPr>
              <w:t>Source, definitions and assumptions</w:t>
            </w:r>
          </w:p>
        </w:tc>
      </w:tr>
      <w:tr w:rsidR="00470AE4" w:rsidRPr="00C63860" w14:paraId="21494FB4"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25AF7C59" w14:textId="77777777" w:rsidR="00470AE4" w:rsidRPr="00C63860" w:rsidRDefault="00470AE4" w:rsidP="00470AE4">
            <w:pPr>
              <w:contextualSpacing/>
              <w:rPr>
                <w:b w:val="0"/>
                <w:sz w:val="22"/>
                <w:szCs w:val="22"/>
              </w:rPr>
            </w:pPr>
            <w:r w:rsidRPr="00C63860">
              <w:rPr>
                <w:b w:val="0"/>
                <w:sz w:val="22"/>
                <w:szCs w:val="22"/>
              </w:rPr>
              <w:t>Inpatient stay</w:t>
            </w:r>
          </w:p>
        </w:tc>
        <w:tc>
          <w:tcPr>
            <w:tcW w:w="0" w:type="auto"/>
            <w:tcBorders>
              <w:top w:val="none" w:sz="0" w:space="0" w:color="auto"/>
              <w:bottom w:val="none" w:sz="0" w:space="0" w:color="auto"/>
            </w:tcBorders>
            <w:shd w:val="clear" w:color="auto" w:fill="auto"/>
            <w:vAlign w:val="center"/>
          </w:tcPr>
          <w:p w14:paraId="584233B4"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0" w:type="auto"/>
            <w:tcBorders>
              <w:top w:val="none" w:sz="0" w:space="0" w:color="auto"/>
              <w:bottom w:val="none" w:sz="0" w:space="0" w:color="auto"/>
            </w:tcBorders>
            <w:shd w:val="clear" w:color="auto" w:fill="auto"/>
            <w:vAlign w:val="center"/>
          </w:tcPr>
          <w:p w14:paraId="7EC66FC5"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0" w:type="auto"/>
            <w:tcBorders>
              <w:top w:val="none" w:sz="0" w:space="0" w:color="auto"/>
              <w:bottom w:val="none" w:sz="0" w:space="0" w:color="auto"/>
            </w:tcBorders>
            <w:shd w:val="clear" w:color="auto" w:fill="auto"/>
          </w:tcPr>
          <w:p w14:paraId="1DBAC5F7"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470AE4" w:rsidRPr="00C63860" w14:paraId="5032DCB7"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14835DFF" w14:textId="77777777" w:rsidR="00470AE4" w:rsidRPr="00C63860" w:rsidRDefault="00470AE4" w:rsidP="00470AE4">
            <w:pPr>
              <w:contextualSpacing/>
              <w:rPr>
                <w:b w:val="0"/>
                <w:i/>
                <w:sz w:val="22"/>
                <w:szCs w:val="22"/>
              </w:rPr>
            </w:pPr>
            <w:r w:rsidRPr="00C63860">
              <w:rPr>
                <w:b w:val="0"/>
                <w:i/>
                <w:sz w:val="22"/>
                <w:szCs w:val="22"/>
              </w:rPr>
              <w:t>General ward</w:t>
            </w:r>
          </w:p>
        </w:tc>
        <w:tc>
          <w:tcPr>
            <w:tcW w:w="0" w:type="auto"/>
            <w:shd w:val="clear" w:color="auto" w:fill="auto"/>
            <w:vAlign w:val="center"/>
          </w:tcPr>
          <w:p w14:paraId="0EB9BC8F"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Day</w:t>
            </w:r>
          </w:p>
        </w:tc>
        <w:tc>
          <w:tcPr>
            <w:tcW w:w="0" w:type="auto"/>
            <w:shd w:val="clear" w:color="auto" w:fill="auto"/>
            <w:vAlign w:val="center"/>
          </w:tcPr>
          <w:p w14:paraId="068360EA"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347</w:t>
            </w:r>
          </w:p>
        </w:tc>
        <w:tc>
          <w:tcPr>
            <w:tcW w:w="0" w:type="auto"/>
            <w:shd w:val="clear" w:color="auto" w:fill="auto"/>
            <w:vAlign w:val="center"/>
          </w:tcPr>
          <w:p w14:paraId="7929B5DD" w14:textId="271DD4E3"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NHS Reference costs 2017/18. Weighted average of codes FD0</w:t>
            </w:r>
            <w:r w:rsidR="00C63860" w:rsidRPr="00C63860">
              <w:rPr>
                <w:color w:val="00B0F0"/>
                <w:sz w:val="22"/>
                <w:szCs w:val="22"/>
              </w:rPr>
              <w:t xml:space="preserve">5 A </w:t>
            </w:r>
            <w:r w:rsidRPr="00C63860">
              <w:rPr>
                <w:sz w:val="22"/>
                <w:szCs w:val="22"/>
              </w:rPr>
              <w:t xml:space="preserve">(Abdominal Pain with Interventions) and FD05B (Abdominal Pain without Interventions) in non-elective excess </w:t>
            </w:r>
            <w:r w:rsidR="00C63860" w:rsidRPr="00C63860">
              <w:rPr>
                <w:color w:val="00B0F0"/>
                <w:sz w:val="22"/>
                <w:szCs w:val="22"/>
              </w:rPr>
              <w:t>bed-day</w:t>
            </w:r>
            <w:r w:rsidRPr="00C63860">
              <w:rPr>
                <w:sz w:val="22"/>
                <w:szCs w:val="22"/>
              </w:rPr>
              <w:t>s sheet</w:t>
            </w:r>
            <w:r w:rsidRPr="00C63860">
              <w:rPr>
                <w:noProof/>
                <w:sz w:val="22"/>
                <w:szCs w:val="22"/>
                <w:vertAlign w:val="superscript"/>
              </w:rPr>
              <w:t>81</w:t>
            </w:r>
            <w:r w:rsidRPr="00C63860">
              <w:rPr>
                <w:sz w:val="22"/>
                <w:szCs w:val="22"/>
              </w:rPr>
              <w:t xml:space="preserve"> </w:t>
            </w:r>
          </w:p>
        </w:tc>
      </w:tr>
      <w:tr w:rsidR="00470AE4" w:rsidRPr="00C63860" w14:paraId="3304AAEE"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4A4A3504" w14:textId="77777777" w:rsidR="00470AE4" w:rsidRPr="00C63860" w:rsidRDefault="00470AE4" w:rsidP="00470AE4">
            <w:pPr>
              <w:contextualSpacing/>
              <w:rPr>
                <w:b w:val="0"/>
                <w:i/>
                <w:sz w:val="22"/>
                <w:szCs w:val="22"/>
              </w:rPr>
            </w:pPr>
            <w:r w:rsidRPr="00C63860">
              <w:rPr>
                <w:b w:val="0"/>
                <w:i/>
                <w:sz w:val="22"/>
                <w:szCs w:val="22"/>
              </w:rPr>
              <w:t xml:space="preserve">ICU ward </w:t>
            </w:r>
          </w:p>
        </w:tc>
        <w:tc>
          <w:tcPr>
            <w:tcW w:w="0" w:type="auto"/>
            <w:tcBorders>
              <w:top w:val="none" w:sz="0" w:space="0" w:color="auto"/>
              <w:bottom w:val="none" w:sz="0" w:space="0" w:color="auto"/>
            </w:tcBorders>
            <w:shd w:val="clear" w:color="auto" w:fill="auto"/>
            <w:vAlign w:val="center"/>
          </w:tcPr>
          <w:p w14:paraId="1BE0C0CF"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0" w:type="auto"/>
            <w:tcBorders>
              <w:top w:val="none" w:sz="0" w:space="0" w:color="auto"/>
              <w:bottom w:val="none" w:sz="0" w:space="0" w:color="auto"/>
            </w:tcBorders>
            <w:shd w:val="clear" w:color="auto" w:fill="auto"/>
            <w:vAlign w:val="center"/>
          </w:tcPr>
          <w:p w14:paraId="18517D53"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0" w:type="auto"/>
            <w:tcBorders>
              <w:top w:val="none" w:sz="0" w:space="0" w:color="auto"/>
              <w:bottom w:val="none" w:sz="0" w:space="0" w:color="auto"/>
            </w:tcBorders>
            <w:shd w:val="clear" w:color="auto" w:fill="auto"/>
            <w:vAlign w:val="center"/>
          </w:tcPr>
          <w:p w14:paraId="09418E81" w14:textId="77777777"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p>
        </w:tc>
      </w:tr>
      <w:tr w:rsidR="00470AE4" w:rsidRPr="00C63860" w14:paraId="36286355"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551E2B8D" w14:textId="7C8D06AC" w:rsidR="00470AE4" w:rsidRPr="00C63860" w:rsidRDefault="00470AE4" w:rsidP="00470AE4">
            <w:pPr>
              <w:ind w:firstLine="170"/>
              <w:contextualSpacing/>
              <w:rPr>
                <w:b w:val="0"/>
                <w:sz w:val="22"/>
                <w:szCs w:val="22"/>
              </w:rPr>
            </w:pPr>
            <w:r w:rsidRPr="00C63860">
              <w:rPr>
                <w:b w:val="0"/>
                <w:sz w:val="22"/>
                <w:szCs w:val="22"/>
              </w:rPr>
              <w:t xml:space="preserve">Level 2 </w:t>
            </w:r>
            <w:r w:rsidR="00A00C0D" w:rsidRPr="00C63860">
              <w:rPr>
                <w:b w:val="0"/>
                <w:sz w:val="22"/>
                <w:szCs w:val="22"/>
              </w:rPr>
              <w:t>ICU</w:t>
            </w:r>
          </w:p>
        </w:tc>
        <w:tc>
          <w:tcPr>
            <w:tcW w:w="0" w:type="auto"/>
            <w:shd w:val="clear" w:color="auto" w:fill="auto"/>
            <w:vAlign w:val="center"/>
          </w:tcPr>
          <w:p w14:paraId="017997D1"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Day</w:t>
            </w:r>
          </w:p>
        </w:tc>
        <w:tc>
          <w:tcPr>
            <w:tcW w:w="0" w:type="auto"/>
            <w:shd w:val="clear" w:color="auto" w:fill="auto"/>
            <w:vAlign w:val="center"/>
          </w:tcPr>
          <w:p w14:paraId="30C1ED5E"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1,190</w:t>
            </w:r>
          </w:p>
        </w:tc>
        <w:tc>
          <w:tcPr>
            <w:tcW w:w="0" w:type="auto"/>
            <w:shd w:val="clear" w:color="auto" w:fill="auto"/>
            <w:vAlign w:val="center"/>
          </w:tcPr>
          <w:p w14:paraId="1ABBEAB8" w14:textId="4F8C8202"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NHS Reference costs 2017/18. XC06Z (Adult Critical Care, 1 organ supported)</w:t>
            </w:r>
            <w:r w:rsidRPr="00C63860">
              <w:rPr>
                <w:noProof/>
                <w:sz w:val="22"/>
                <w:szCs w:val="22"/>
                <w:vertAlign w:val="superscript"/>
              </w:rPr>
              <w:t>81</w:t>
            </w:r>
          </w:p>
        </w:tc>
      </w:tr>
      <w:tr w:rsidR="00470AE4" w:rsidRPr="00C63860" w14:paraId="452960AA"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467784D7" w14:textId="77777777" w:rsidR="00470AE4" w:rsidRPr="00C63860" w:rsidRDefault="00470AE4" w:rsidP="00470AE4">
            <w:pPr>
              <w:ind w:firstLine="170"/>
              <w:contextualSpacing/>
              <w:rPr>
                <w:b w:val="0"/>
                <w:sz w:val="22"/>
                <w:szCs w:val="22"/>
              </w:rPr>
            </w:pPr>
            <w:r w:rsidRPr="00C63860">
              <w:rPr>
                <w:b w:val="0"/>
                <w:sz w:val="22"/>
                <w:szCs w:val="22"/>
              </w:rPr>
              <w:t>Level 3 ICU</w:t>
            </w:r>
          </w:p>
        </w:tc>
        <w:tc>
          <w:tcPr>
            <w:tcW w:w="0" w:type="auto"/>
            <w:tcBorders>
              <w:top w:val="none" w:sz="0" w:space="0" w:color="auto"/>
              <w:bottom w:val="none" w:sz="0" w:space="0" w:color="auto"/>
            </w:tcBorders>
            <w:shd w:val="clear" w:color="auto" w:fill="auto"/>
            <w:vAlign w:val="center"/>
          </w:tcPr>
          <w:p w14:paraId="722FFCE0"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Day</w:t>
            </w:r>
          </w:p>
        </w:tc>
        <w:tc>
          <w:tcPr>
            <w:tcW w:w="0" w:type="auto"/>
            <w:tcBorders>
              <w:top w:val="none" w:sz="0" w:space="0" w:color="auto"/>
              <w:bottom w:val="none" w:sz="0" w:space="0" w:color="auto"/>
            </w:tcBorders>
            <w:shd w:val="clear" w:color="auto" w:fill="auto"/>
            <w:vAlign w:val="center"/>
          </w:tcPr>
          <w:p w14:paraId="3605163C"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1,890</w:t>
            </w:r>
          </w:p>
        </w:tc>
        <w:tc>
          <w:tcPr>
            <w:tcW w:w="0" w:type="auto"/>
            <w:tcBorders>
              <w:top w:val="none" w:sz="0" w:space="0" w:color="auto"/>
              <w:bottom w:val="none" w:sz="0" w:space="0" w:color="auto"/>
            </w:tcBorders>
            <w:shd w:val="clear" w:color="auto" w:fill="auto"/>
            <w:vAlign w:val="center"/>
          </w:tcPr>
          <w:p w14:paraId="7C32D52F" w14:textId="5BD2ED7E"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NHS Reference costs 2017/18. Weighted average of codes XC01Z (Adult Critical Care, 6 or more Organs Supported) to XC05Z (Adult Critical Care, 2 Organs Supported).</w:t>
            </w:r>
            <w:r w:rsidRPr="00C63860">
              <w:rPr>
                <w:noProof/>
                <w:sz w:val="22"/>
                <w:szCs w:val="22"/>
                <w:vertAlign w:val="superscript"/>
              </w:rPr>
              <w:t>81</w:t>
            </w:r>
            <w:r w:rsidRPr="00C63860">
              <w:rPr>
                <w:sz w:val="22"/>
                <w:szCs w:val="22"/>
                <w:vertAlign w:val="superscript"/>
              </w:rPr>
              <w:t xml:space="preserve"> </w:t>
            </w:r>
          </w:p>
        </w:tc>
      </w:tr>
      <w:tr w:rsidR="00470AE4" w:rsidRPr="00C63860" w14:paraId="1990D43D"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F6E2582" w14:textId="77777777" w:rsidR="00470AE4" w:rsidRPr="00C63860" w:rsidRDefault="00470AE4" w:rsidP="00470AE4">
            <w:pPr>
              <w:contextualSpacing/>
              <w:rPr>
                <w:b w:val="0"/>
                <w:sz w:val="22"/>
                <w:szCs w:val="22"/>
              </w:rPr>
            </w:pPr>
            <w:r w:rsidRPr="00C63860">
              <w:rPr>
                <w:b w:val="0"/>
                <w:sz w:val="22"/>
                <w:szCs w:val="22"/>
              </w:rPr>
              <w:t>Diagnostic procedures</w:t>
            </w:r>
          </w:p>
        </w:tc>
        <w:tc>
          <w:tcPr>
            <w:tcW w:w="0" w:type="auto"/>
            <w:shd w:val="clear" w:color="auto" w:fill="auto"/>
            <w:vAlign w:val="center"/>
          </w:tcPr>
          <w:p w14:paraId="1FA1DE92"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0" w:type="auto"/>
            <w:shd w:val="clear" w:color="auto" w:fill="auto"/>
            <w:vAlign w:val="center"/>
          </w:tcPr>
          <w:p w14:paraId="1FE4418F"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0" w:type="auto"/>
            <w:shd w:val="clear" w:color="auto" w:fill="auto"/>
            <w:vAlign w:val="center"/>
          </w:tcPr>
          <w:p w14:paraId="12B3DF79" w14:textId="77777777"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p>
        </w:tc>
      </w:tr>
      <w:tr w:rsidR="00470AE4" w:rsidRPr="00C63860" w14:paraId="5EC24526"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gridSpan w:val="4"/>
            <w:tcBorders>
              <w:top w:val="none" w:sz="0" w:space="0" w:color="auto"/>
              <w:bottom w:val="none" w:sz="0" w:space="0" w:color="auto"/>
            </w:tcBorders>
            <w:shd w:val="clear" w:color="auto" w:fill="auto"/>
            <w:vAlign w:val="center"/>
          </w:tcPr>
          <w:p w14:paraId="642AF33D" w14:textId="77777777" w:rsidR="00470AE4" w:rsidRPr="00C63860" w:rsidRDefault="00470AE4" w:rsidP="00470AE4">
            <w:pPr>
              <w:contextualSpacing/>
              <w:rPr>
                <w:b w:val="0"/>
                <w:i/>
                <w:sz w:val="22"/>
                <w:szCs w:val="22"/>
              </w:rPr>
            </w:pPr>
            <w:r w:rsidRPr="00C63860">
              <w:rPr>
                <w:b w:val="0"/>
                <w:i/>
                <w:iCs/>
                <w:sz w:val="22"/>
                <w:szCs w:val="22"/>
              </w:rPr>
              <w:t>More common diagnostic procedures for acute appendicitis</w:t>
            </w:r>
          </w:p>
        </w:tc>
      </w:tr>
      <w:tr w:rsidR="00470AE4" w:rsidRPr="00C63860" w14:paraId="38AE6748"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5DE3A269" w14:textId="77777777" w:rsidR="00470AE4" w:rsidRPr="00C63860" w:rsidRDefault="00470AE4" w:rsidP="00470AE4">
            <w:pPr>
              <w:ind w:left="170"/>
              <w:contextualSpacing/>
              <w:rPr>
                <w:b w:val="0"/>
                <w:sz w:val="22"/>
                <w:szCs w:val="22"/>
              </w:rPr>
            </w:pPr>
            <w:r w:rsidRPr="00C63860">
              <w:rPr>
                <w:b w:val="0"/>
                <w:sz w:val="22"/>
                <w:szCs w:val="22"/>
              </w:rPr>
              <w:t>Computed tomography</w:t>
            </w:r>
          </w:p>
        </w:tc>
        <w:tc>
          <w:tcPr>
            <w:tcW w:w="0" w:type="auto"/>
            <w:shd w:val="clear" w:color="auto" w:fill="auto"/>
            <w:vAlign w:val="center"/>
          </w:tcPr>
          <w:p w14:paraId="00DA8DA9"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Procedure</w:t>
            </w:r>
          </w:p>
        </w:tc>
        <w:tc>
          <w:tcPr>
            <w:tcW w:w="0" w:type="auto"/>
            <w:shd w:val="clear" w:color="auto" w:fill="auto"/>
            <w:vAlign w:val="center"/>
          </w:tcPr>
          <w:p w14:paraId="5B793501"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83</w:t>
            </w:r>
          </w:p>
        </w:tc>
        <w:tc>
          <w:tcPr>
            <w:tcW w:w="0" w:type="auto"/>
            <w:shd w:val="clear" w:color="auto" w:fill="auto"/>
            <w:vAlign w:val="center"/>
          </w:tcPr>
          <w:p w14:paraId="53F35270" w14:textId="2B76767C"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NHS Reference costs 2017/18. RD2</w:t>
            </w:r>
            <w:r w:rsidR="00C63860" w:rsidRPr="00C63860">
              <w:rPr>
                <w:color w:val="00B0F0"/>
                <w:sz w:val="22"/>
                <w:szCs w:val="22"/>
              </w:rPr>
              <w:t>0 A:</w:t>
            </w:r>
            <w:r w:rsidRPr="00C63860">
              <w:rPr>
                <w:sz w:val="22"/>
                <w:szCs w:val="22"/>
              </w:rPr>
              <w:t xml:space="preserve"> Computerised Tomography Scan of One Area, without Contrast, 19 years and over (IMAG)</w:t>
            </w:r>
            <w:r w:rsidRPr="00C63860">
              <w:rPr>
                <w:noProof/>
                <w:sz w:val="22"/>
                <w:szCs w:val="22"/>
                <w:vertAlign w:val="superscript"/>
              </w:rPr>
              <w:t>81</w:t>
            </w:r>
            <w:r w:rsidRPr="00C63860">
              <w:rPr>
                <w:sz w:val="22"/>
                <w:szCs w:val="22"/>
              </w:rPr>
              <w:t xml:space="preserve"> </w:t>
            </w:r>
          </w:p>
        </w:tc>
      </w:tr>
      <w:tr w:rsidR="00470AE4" w:rsidRPr="00C63860" w14:paraId="2D554689"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15BD11C5" w14:textId="77777777" w:rsidR="00470AE4" w:rsidRPr="00C63860" w:rsidRDefault="00470AE4" w:rsidP="00470AE4">
            <w:pPr>
              <w:ind w:left="170"/>
              <w:contextualSpacing/>
              <w:rPr>
                <w:b w:val="0"/>
                <w:sz w:val="22"/>
                <w:szCs w:val="22"/>
              </w:rPr>
            </w:pPr>
            <w:r w:rsidRPr="00C63860">
              <w:rPr>
                <w:b w:val="0"/>
                <w:sz w:val="22"/>
                <w:szCs w:val="22"/>
              </w:rPr>
              <w:t>Unspecified diagnostic endoscopic examination of colon</w:t>
            </w:r>
          </w:p>
        </w:tc>
        <w:tc>
          <w:tcPr>
            <w:tcW w:w="0" w:type="auto"/>
            <w:tcBorders>
              <w:top w:val="none" w:sz="0" w:space="0" w:color="auto"/>
              <w:bottom w:val="none" w:sz="0" w:space="0" w:color="auto"/>
            </w:tcBorders>
            <w:shd w:val="clear" w:color="auto" w:fill="auto"/>
            <w:vAlign w:val="center"/>
          </w:tcPr>
          <w:p w14:paraId="115F7987"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63860">
              <w:rPr>
                <w:sz w:val="22"/>
                <w:szCs w:val="22"/>
              </w:rPr>
              <w:t>Procedure</w:t>
            </w:r>
          </w:p>
        </w:tc>
        <w:tc>
          <w:tcPr>
            <w:tcW w:w="0" w:type="auto"/>
            <w:tcBorders>
              <w:top w:val="none" w:sz="0" w:space="0" w:color="auto"/>
              <w:bottom w:val="none" w:sz="0" w:space="0" w:color="auto"/>
            </w:tcBorders>
            <w:shd w:val="clear" w:color="auto" w:fill="auto"/>
            <w:vAlign w:val="center"/>
          </w:tcPr>
          <w:p w14:paraId="16C5E40C"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206</w:t>
            </w:r>
          </w:p>
        </w:tc>
        <w:tc>
          <w:tcPr>
            <w:tcW w:w="0" w:type="auto"/>
            <w:tcBorders>
              <w:top w:val="none" w:sz="0" w:space="0" w:color="auto"/>
              <w:bottom w:val="none" w:sz="0" w:space="0" w:color="auto"/>
            </w:tcBorders>
            <w:shd w:val="clear" w:color="auto" w:fill="auto"/>
            <w:vAlign w:val="center"/>
          </w:tcPr>
          <w:p w14:paraId="40CA5615" w14:textId="7FFA9DC1"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NHS Reference costs 2017/18. FE31Z: Diagnostic Colonoscopy with Biopsy, 19 years and over (NES). Mean bed-day costs of general ward subtracted to avoid double-counting</w:t>
            </w:r>
            <w:r w:rsidRPr="00C63860">
              <w:rPr>
                <w:noProof/>
                <w:sz w:val="22"/>
                <w:szCs w:val="22"/>
                <w:vertAlign w:val="superscript"/>
              </w:rPr>
              <w:t>81</w:t>
            </w:r>
          </w:p>
        </w:tc>
      </w:tr>
      <w:tr w:rsidR="00470AE4" w:rsidRPr="00C63860" w14:paraId="664F9CC7"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B7FC69E" w14:textId="77777777" w:rsidR="00470AE4" w:rsidRPr="00C63860" w:rsidRDefault="00470AE4" w:rsidP="00470AE4">
            <w:pPr>
              <w:ind w:left="170"/>
              <w:contextualSpacing/>
              <w:rPr>
                <w:b w:val="0"/>
                <w:sz w:val="22"/>
                <w:szCs w:val="22"/>
              </w:rPr>
            </w:pPr>
            <w:r w:rsidRPr="00C63860">
              <w:rPr>
                <w:b w:val="0"/>
                <w:sz w:val="22"/>
                <w:szCs w:val="22"/>
              </w:rPr>
              <w:t>Fibreoptic endoscopic examination of upper gastrointestinal tract and biopsy of lesion of upper gastrointestinal tract</w:t>
            </w:r>
          </w:p>
        </w:tc>
        <w:tc>
          <w:tcPr>
            <w:tcW w:w="0" w:type="auto"/>
            <w:shd w:val="clear" w:color="auto" w:fill="auto"/>
            <w:vAlign w:val="center"/>
          </w:tcPr>
          <w:p w14:paraId="2FF374DD"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Procedure</w:t>
            </w:r>
          </w:p>
        </w:tc>
        <w:tc>
          <w:tcPr>
            <w:tcW w:w="0" w:type="auto"/>
            <w:shd w:val="clear" w:color="auto" w:fill="auto"/>
            <w:vAlign w:val="center"/>
          </w:tcPr>
          <w:p w14:paraId="29D7177B"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197</w:t>
            </w:r>
          </w:p>
        </w:tc>
        <w:tc>
          <w:tcPr>
            <w:tcW w:w="0" w:type="auto"/>
            <w:shd w:val="clear" w:color="auto" w:fill="auto"/>
            <w:vAlign w:val="center"/>
          </w:tcPr>
          <w:p w14:paraId="3BAC9151" w14:textId="2B1EEE6B"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NHS Reference costs 2017/18. FE21Z: Diagnostic Endoscopic Upper Gastrointestinal Tract Procedures with Biopsy, 19 years and over (NES). Mean bed-day costs of general ward subtracted to avoid double-counting</w:t>
            </w:r>
            <w:r w:rsidRPr="00C63860">
              <w:rPr>
                <w:noProof/>
                <w:sz w:val="22"/>
                <w:szCs w:val="22"/>
                <w:vertAlign w:val="superscript"/>
              </w:rPr>
              <w:t>81</w:t>
            </w:r>
          </w:p>
        </w:tc>
      </w:tr>
      <w:tr w:rsidR="00470AE4" w:rsidRPr="00C63860" w14:paraId="2C777ACD"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173E5BA8" w14:textId="77777777" w:rsidR="00470AE4" w:rsidRPr="00C63860" w:rsidRDefault="00470AE4" w:rsidP="00470AE4">
            <w:pPr>
              <w:ind w:left="170"/>
              <w:contextualSpacing/>
              <w:rPr>
                <w:b w:val="0"/>
                <w:sz w:val="22"/>
                <w:szCs w:val="22"/>
              </w:rPr>
            </w:pPr>
            <w:r w:rsidRPr="00C63860">
              <w:rPr>
                <w:b w:val="0"/>
                <w:sz w:val="22"/>
                <w:szCs w:val="22"/>
              </w:rPr>
              <w:t>Diagnostic fibreoptic endoscopic examination of colon and biopsy of lesion of colon</w:t>
            </w:r>
          </w:p>
        </w:tc>
        <w:tc>
          <w:tcPr>
            <w:tcW w:w="0" w:type="auto"/>
            <w:tcBorders>
              <w:top w:val="none" w:sz="0" w:space="0" w:color="auto"/>
              <w:bottom w:val="none" w:sz="0" w:space="0" w:color="auto"/>
            </w:tcBorders>
            <w:shd w:val="clear" w:color="auto" w:fill="auto"/>
            <w:vAlign w:val="center"/>
          </w:tcPr>
          <w:p w14:paraId="4E4EFBF2"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Procedure</w:t>
            </w:r>
          </w:p>
        </w:tc>
        <w:tc>
          <w:tcPr>
            <w:tcW w:w="0" w:type="auto"/>
            <w:tcBorders>
              <w:top w:val="none" w:sz="0" w:space="0" w:color="auto"/>
              <w:bottom w:val="none" w:sz="0" w:space="0" w:color="auto"/>
            </w:tcBorders>
            <w:shd w:val="clear" w:color="auto" w:fill="auto"/>
            <w:vAlign w:val="center"/>
          </w:tcPr>
          <w:p w14:paraId="47244A6E"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277</w:t>
            </w:r>
          </w:p>
        </w:tc>
        <w:tc>
          <w:tcPr>
            <w:tcW w:w="0" w:type="auto"/>
            <w:tcBorders>
              <w:top w:val="none" w:sz="0" w:space="0" w:color="auto"/>
              <w:bottom w:val="none" w:sz="0" w:space="0" w:color="auto"/>
            </w:tcBorders>
            <w:shd w:val="clear" w:color="auto" w:fill="auto"/>
            <w:vAlign w:val="center"/>
          </w:tcPr>
          <w:p w14:paraId="56483DCB" w14:textId="20B21C7C"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NHS Reference costs 2017/18. FE31Z: Diagnostic Colonoscopy with Biopsy, 19 years and over (NES). Mean bed-day costs of general ward subtracted to avoid double-counting</w:t>
            </w:r>
            <w:r w:rsidRPr="00C63860">
              <w:rPr>
                <w:noProof/>
                <w:sz w:val="22"/>
                <w:szCs w:val="22"/>
                <w:vertAlign w:val="superscript"/>
              </w:rPr>
              <w:t>81</w:t>
            </w:r>
          </w:p>
        </w:tc>
      </w:tr>
      <w:tr w:rsidR="00470AE4" w:rsidRPr="00C63860" w14:paraId="163417A0"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7EAECD15" w14:textId="77777777" w:rsidR="00470AE4" w:rsidRPr="00C63860" w:rsidRDefault="00470AE4" w:rsidP="00470AE4">
            <w:pPr>
              <w:ind w:left="170"/>
              <w:contextualSpacing/>
              <w:rPr>
                <w:b w:val="0"/>
                <w:sz w:val="22"/>
                <w:szCs w:val="22"/>
              </w:rPr>
            </w:pPr>
            <w:r w:rsidRPr="00C63860">
              <w:rPr>
                <w:b w:val="0"/>
                <w:sz w:val="22"/>
                <w:szCs w:val="22"/>
              </w:rPr>
              <w:t>Computed tomography of head</w:t>
            </w:r>
          </w:p>
        </w:tc>
        <w:tc>
          <w:tcPr>
            <w:tcW w:w="0" w:type="auto"/>
            <w:shd w:val="clear" w:color="auto" w:fill="auto"/>
            <w:vAlign w:val="center"/>
          </w:tcPr>
          <w:p w14:paraId="12FE8AD4"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Procedure</w:t>
            </w:r>
          </w:p>
        </w:tc>
        <w:tc>
          <w:tcPr>
            <w:tcW w:w="0" w:type="auto"/>
            <w:shd w:val="clear" w:color="auto" w:fill="auto"/>
            <w:vAlign w:val="center"/>
          </w:tcPr>
          <w:p w14:paraId="4A20A595"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83</w:t>
            </w:r>
          </w:p>
        </w:tc>
        <w:tc>
          <w:tcPr>
            <w:tcW w:w="0" w:type="auto"/>
            <w:shd w:val="clear" w:color="auto" w:fill="auto"/>
            <w:vAlign w:val="center"/>
          </w:tcPr>
          <w:p w14:paraId="617D124E" w14:textId="0E1FC69D"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NHS Reference costs 2017/18. RD20: Computerised Tomography Scan of One Area, without Contrast, 19 years and over (IMAG)</w:t>
            </w:r>
            <w:r w:rsidRPr="00C63860">
              <w:rPr>
                <w:noProof/>
                <w:sz w:val="22"/>
                <w:szCs w:val="22"/>
                <w:vertAlign w:val="superscript"/>
              </w:rPr>
              <w:t>81</w:t>
            </w:r>
          </w:p>
        </w:tc>
      </w:tr>
      <w:tr w:rsidR="00470AE4" w:rsidRPr="00C63860" w14:paraId="76D7A42C"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gridSpan w:val="4"/>
            <w:tcBorders>
              <w:top w:val="none" w:sz="0" w:space="0" w:color="auto"/>
              <w:bottom w:val="none" w:sz="0" w:space="0" w:color="auto"/>
            </w:tcBorders>
            <w:shd w:val="clear" w:color="auto" w:fill="auto"/>
            <w:vAlign w:val="center"/>
          </w:tcPr>
          <w:p w14:paraId="677B0E12" w14:textId="77777777" w:rsidR="00470AE4" w:rsidRPr="00C63860" w:rsidRDefault="00470AE4" w:rsidP="00470AE4">
            <w:pPr>
              <w:contextualSpacing/>
              <w:rPr>
                <w:b w:val="0"/>
                <w:i/>
                <w:sz w:val="22"/>
                <w:szCs w:val="22"/>
              </w:rPr>
            </w:pPr>
            <w:r w:rsidRPr="00C63860">
              <w:rPr>
                <w:b w:val="0"/>
                <w:i/>
                <w:iCs/>
                <w:sz w:val="22"/>
                <w:szCs w:val="22"/>
              </w:rPr>
              <w:t>More common diagnostic procedures for diverticular disease</w:t>
            </w:r>
          </w:p>
        </w:tc>
      </w:tr>
      <w:tr w:rsidR="00470AE4" w:rsidRPr="00C63860" w14:paraId="0D596AF8"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9C231CE" w14:textId="77777777" w:rsidR="00470AE4" w:rsidRPr="00C63860" w:rsidRDefault="00470AE4" w:rsidP="00470AE4">
            <w:pPr>
              <w:ind w:left="170"/>
              <w:contextualSpacing/>
              <w:rPr>
                <w:b w:val="0"/>
                <w:i/>
                <w:iCs/>
                <w:sz w:val="22"/>
                <w:szCs w:val="22"/>
              </w:rPr>
            </w:pPr>
            <w:r w:rsidRPr="00C63860">
              <w:rPr>
                <w:b w:val="0"/>
                <w:sz w:val="22"/>
                <w:szCs w:val="22"/>
              </w:rPr>
              <w:t>Computed tomography</w:t>
            </w:r>
          </w:p>
        </w:tc>
        <w:tc>
          <w:tcPr>
            <w:tcW w:w="0" w:type="auto"/>
            <w:shd w:val="clear" w:color="auto" w:fill="auto"/>
            <w:vAlign w:val="center"/>
          </w:tcPr>
          <w:p w14:paraId="39FD958F"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Procedure</w:t>
            </w:r>
          </w:p>
        </w:tc>
        <w:tc>
          <w:tcPr>
            <w:tcW w:w="0" w:type="auto"/>
            <w:shd w:val="clear" w:color="auto" w:fill="auto"/>
            <w:vAlign w:val="center"/>
          </w:tcPr>
          <w:p w14:paraId="505F741A"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83</w:t>
            </w:r>
          </w:p>
        </w:tc>
        <w:tc>
          <w:tcPr>
            <w:tcW w:w="0" w:type="auto"/>
            <w:shd w:val="clear" w:color="auto" w:fill="auto"/>
            <w:vAlign w:val="center"/>
          </w:tcPr>
          <w:p w14:paraId="78F5EB86" w14:textId="4E5036E8"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NHS Reference costs 2017/18. RD20: Computerised Tomography Scan of One Area, without Contrast, 19 years and over (IMAG)</w:t>
            </w:r>
            <w:r w:rsidRPr="00C63860">
              <w:rPr>
                <w:noProof/>
                <w:sz w:val="22"/>
                <w:szCs w:val="22"/>
                <w:vertAlign w:val="superscript"/>
              </w:rPr>
              <w:t>81</w:t>
            </w:r>
            <w:r w:rsidRPr="00C63860">
              <w:rPr>
                <w:sz w:val="22"/>
                <w:szCs w:val="22"/>
              </w:rPr>
              <w:t xml:space="preserve"> </w:t>
            </w:r>
          </w:p>
        </w:tc>
      </w:tr>
      <w:tr w:rsidR="00470AE4" w:rsidRPr="00C63860" w14:paraId="685BFB3C"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3A69662A" w14:textId="77777777" w:rsidR="00470AE4" w:rsidRPr="00C63860" w:rsidRDefault="00470AE4" w:rsidP="00470AE4">
            <w:pPr>
              <w:ind w:left="170"/>
              <w:contextualSpacing/>
              <w:rPr>
                <w:b w:val="0"/>
                <w:sz w:val="22"/>
                <w:szCs w:val="22"/>
              </w:rPr>
            </w:pPr>
            <w:r w:rsidRPr="00C63860">
              <w:rPr>
                <w:b w:val="0"/>
                <w:sz w:val="22"/>
                <w:szCs w:val="22"/>
              </w:rPr>
              <w:t>Unspecified diagnostic endoscopic examination of lower bowel using fibreoptic sigmoidoscope</w:t>
            </w:r>
          </w:p>
        </w:tc>
        <w:tc>
          <w:tcPr>
            <w:tcW w:w="0" w:type="auto"/>
            <w:tcBorders>
              <w:top w:val="none" w:sz="0" w:space="0" w:color="auto"/>
              <w:bottom w:val="none" w:sz="0" w:space="0" w:color="auto"/>
            </w:tcBorders>
            <w:shd w:val="clear" w:color="auto" w:fill="auto"/>
            <w:vAlign w:val="center"/>
          </w:tcPr>
          <w:p w14:paraId="78812A54"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63860">
              <w:rPr>
                <w:sz w:val="22"/>
                <w:szCs w:val="22"/>
              </w:rPr>
              <w:t>Procedure</w:t>
            </w:r>
          </w:p>
        </w:tc>
        <w:tc>
          <w:tcPr>
            <w:tcW w:w="0" w:type="auto"/>
            <w:tcBorders>
              <w:top w:val="none" w:sz="0" w:space="0" w:color="auto"/>
              <w:bottom w:val="none" w:sz="0" w:space="0" w:color="auto"/>
            </w:tcBorders>
            <w:shd w:val="clear" w:color="auto" w:fill="auto"/>
            <w:vAlign w:val="center"/>
          </w:tcPr>
          <w:p w14:paraId="0E41C6E3"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143</w:t>
            </w:r>
          </w:p>
        </w:tc>
        <w:tc>
          <w:tcPr>
            <w:tcW w:w="0" w:type="auto"/>
            <w:tcBorders>
              <w:top w:val="none" w:sz="0" w:space="0" w:color="auto"/>
              <w:bottom w:val="none" w:sz="0" w:space="0" w:color="auto"/>
            </w:tcBorders>
            <w:shd w:val="clear" w:color="auto" w:fill="auto"/>
            <w:vAlign w:val="center"/>
          </w:tcPr>
          <w:p w14:paraId="0C77BB60" w14:textId="6E497795"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NHS Reference costs 2017/18. FE35Z: Diagnostic Flexible Sigmoidoscopy, 19 years and over (NES). Mean bed-day costs of general ward subtracted to avoid double-counting</w:t>
            </w:r>
            <w:r w:rsidRPr="00C63860">
              <w:rPr>
                <w:noProof/>
                <w:sz w:val="22"/>
                <w:szCs w:val="22"/>
                <w:vertAlign w:val="superscript"/>
              </w:rPr>
              <w:t>81</w:t>
            </w:r>
          </w:p>
        </w:tc>
      </w:tr>
      <w:tr w:rsidR="00470AE4" w:rsidRPr="00C63860" w14:paraId="5DB9B8F4"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BC210D4" w14:textId="77777777" w:rsidR="00470AE4" w:rsidRPr="00C63860" w:rsidRDefault="00470AE4" w:rsidP="00470AE4">
            <w:pPr>
              <w:ind w:left="170"/>
              <w:contextualSpacing/>
              <w:rPr>
                <w:b w:val="0"/>
                <w:sz w:val="22"/>
                <w:szCs w:val="22"/>
              </w:rPr>
            </w:pPr>
            <w:r w:rsidRPr="00C63860">
              <w:rPr>
                <w:b w:val="0"/>
                <w:sz w:val="22"/>
                <w:szCs w:val="22"/>
              </w:rPr>
              <w:t>Unspecified diagnostic endoscopic examination of colon</w:t>
            </w:r>
          </w:p>
        </w:tc>
        <w:tc>
          <w:tcPr>
            <w:tcW w:w="0" w:type="auto"/>
            <w:shd w:val="clear" w:color="auto" w:fill="auto"/>
            <w:vAlign w:val="center"/>
          </w:tcPr>
          <w:p w14:paraId="4F0C5B4C"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63860">
              <w:rPr>
                <w:sz w:val="22"/>
                <w:szCs w:val="22"/>
              </w:rPr>
              <w:t>Procedure</w:t>
            </w:r>
          </w:p>
        </w:tc>
        <w:tc>
          <w:tcPr>
            <w:tcW w:w="0" w:type="auto"/>
            <w:shd w:val="clear" w:color="auto" w:fill="auto"/>
            <w:vAlign w:val="center"/>
          </w:tcPr>
          <w:p w14:paraId="28175AFC"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206</w:t>
            </w:r>
          </w:p>
        </w:tc>
        <w:tc>
          <w:tcPr>
            <w:tcW w:w="0" w:type="auto"/>
            <w:shd w:val="clear" w:color="auto" w:fill="auto"/>
            <w:vAlign w:val="center"/>
          </w:tcPr>
          <w:p w14:paraId="230A505D" w14:textId="2C2DB453"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NHS Reference costs 2017/18. FE32Z: Diagnostic Colonoscopy, 19 years and over (NES). Mean bed-day costs of general ward subtracted to avoid double-counting</w:t>
            </w:r>
            <w:r w:rsidRPr="00C63860">
              <w:rPr>
                <w:noProof/>
                <w:sz w:val="22"/>
                <w:szCs w:val="22"/>
                <w:vertAlign w:val="superscript"/>
              </w:rPr>
              <w:t>81</w:t>
            </w:r>
          </w:p>
        </w:tc>
      </w:tr>
      <w:tr w:rsidR="00470AE4" w:rsidRPr="00C63860" w14:paraId="5AD1FAEC"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38F9592F" w14:textId="77777777" w:rsidR="00470AE4" w:rsidRPr="00C63860" w:rsidRDefault="00470AE4" w:rsidP="00470AE4">
            <w:pPr>
              <w:ind w:left="170"/>
              <w:contextualSpacing/>
              <w:rPr>
                <w:b w:val="0"/>
                <w:sz w:val="22"/>
                <w:szCs w:val="22"/>
              </w:rPr>
            </w:pPr>
            <w:r w:rsidRPr="00C63860">
              <w:rPr>
                <w:b w:val="0"/>
                <w:sz w:val="22"/>
                <w:szCs w:val="22"/>
              </w:rPr>
              <w:t>Unspecified diagnostic fibreoptic endoscopic examination of upper gastrointestinal tract</w:t>
            </w:r>
          </w:p>
        </w:tc>
        <w:tc>
          <w:tcPr>
            <w:tcW w:w="0" w:type="auto"/>
            <w:tcBorders>
              <w:top w:val="none" w:sz="0" w:space="0" w:color="auto"/>
              <w:bottom w:val="none" w:sz="0" w:space="0" w:color="auto"/>
            </w:tcBorders>
            <w:shd w:val="clear" w:color="auto" w:fill="auto"/>
            <w:vAlign w:val="center"/>
          </w:tcPr>
          <w:p w14:paraId="50DF332B"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63860">
              <w:rPr>
                <w:sz w:val="22"/>
                <w:szCs w:val="22"/>
              </w:rPr>
              <w:t>Procedure</w:t>
            </w:r>
          </w:p>
        </w:tc>
        <w:tc>
          <w:tcPr>
            <w:tcW w:w="0" w:type="auto"/>
            <w:tcBorders>
              <w:top w:val="none" w:sz="0" w:space="0" w:color="auto"/>
              <w:bottom w:val="none" w:sz="0" w:space="0" w:color="auto"/>
            </w:tcBorders>
            <w:shd w:val="clear" w:color="auto" w:fill="auto"/>
            <w:vAlign w:val="center"/>
          </w:tcPr>
          <w:p w14:paraId="1DBAE352"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277</w:t>
            </w:r>
          </w:p>
        </w:tc>
        <w:tc>
          <w:tcPr>
            <w:tcW w:w="0" w:type="auto"/>
            <w:tcBorders>
              <w:top w:val="none" w:sz="0" w:space="0" w:color="auto"/>
              <w:bottom w:val="none" w:sz="0" w:space="0" w:color="auto"/>
            </w:tcBorders>
            <w:shd w:val="clear" w:color="auto" w:fill="auto"/>
            <w:vAlign w:val="center"/>
          </w:tcPr>
          <w:p w14:paraId="25AF8D71" w14:textId="2592ADF4"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NHS Reference costs 2017/18. FE31Z: Diagnostic Colonoscopy with Biopsy, 19 years and over (NES). Mean bed-day costs of general ward subtracted to avoid double-counting</w:t>
            </w:r>
            <w:r w:rsidRPr="00C63860">
              <w:rPr>
                <w:noProof/>
                <w:sz w:val="22"/>
                <w:szCs w:val="22"/>
                <w:vertAlign w:val="superscript"/>
              </w:rPr>
              <w:t>81</w:t>
            </w:r>
          </w:p>
        </w:tc>
      </w:tr>
      <w:tr w:rsidR="00470AE4" w:rsidRPr="00C63860" w14:paraId="0AFFB6A8"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4940587" w14:textId="77777777" w:rsidR="00470AE4" w:rsidRPr="00C63860" w:rsidRDefault="00470AE4" w:rsidP="00470AE4">
            <w:pPr>
              <w:ind w:left="170"/>
              <w:contextualSpacing/>
              <w:rPr>
                <w:b w:val="0"/>
                <w:sz w:val="22"/>
                <w:szCs w:val="22"/>
              </w:rPr>
            </w:pPr>
            <w:r w:rsidRPr="00C63860">
              <w:rPr>
                <w:b w:val="0"/>
                <w:sz w:val="22"/>
                <w:szCs w:val="22"/>
              </w:rPr>
              <w:t>Diagnostic endoscopic examination of lower bowel and biopsy of lesion of lower bowel using fibreoptic sigmoidoscope</w:t>
            </w:r>
          </w:p>
        </w:tc>
        <w:tc>
          <w:tcPr>
            <w:tcW w:w="0" w:type="auto"/>
            <w:shd w:val="clear" w:color="auto" w:fill="auto"/>
            <w:vAlign w:val="center"/>
          </w:tcPr>
          <w:p w14:paraId="7DA4E50E"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63860">
              <w:rPr>
                <w:sz w:val="22"/>
                <w:szCs w:val="22"/>
              </w:rPr>
              <w:t>Procedure</w:t>
            </w:r>
          </w:p>
        </w:tc>
        <w:tc>
          <w:tcPr>
            <w:tcW w:w="0" w:type="auto"/>
            <w:shd w:val="clear" w:color="auto" w:fill="auto"/>
            <w:vAlign w:val="center"/>
          </w:tcPr>
          <w:p w14:paraId="39F44232"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205</w:t>
            </w:r>
          </w:p>
        </w:tc>
        <w:tc>
          <w:tcPr>
            <w:tcW w:w="0" w:type="auto"/>
            <w:shd w:val="clear" w:color="auto" w:fill="auto"/>
            <w:vAlign w:val="center"/>
          </w:tcPr>
          <w:p w14:paraId="6A9C5898" w14:textId="4C8EF195"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NHS Reference costs 2017/18. FE34Z: Diagnostic Flexible Sigmoidoscopy with Biopsy, 19 years and over (NES). Mean bed-day costs of general ward (see above) subtracted to avoid double-counting</w:t>
            </w:r>
            <w:r w:rsidRPr="00C63860">
              <w:rPr>
                <w:noProof/>
                <w:sz w:val="22"/>
                <w:szCs w:val="22"/>
                <w:vertAlign w:val="superscript"/>
              </w:rPr>
              <w:t>81</w:t>
            </w:r>
          </w:p>
        </w:tc>
      </w:tr>
      <w:tr w:rsidR="00470AE4" w:rsidRPr="00C63860" w14:paraId="505A2F76"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gridSpan w:val="4"/>
            <w:tcBorders>
              <w:top w:val="none" w:sz="0" w:space="0" w:color="auto"/>
              <w:bottom w:val="none" w:sz="0" w:space="0" w:color="auto"/>
            </w:tcBorders>
            <w:shd w:val="clear" w:color="auto" w:fill="auto"/>
            <w:vAlign w:val="center"/>
          </w:tcPr>
          <w:p w14:paraId="0F0F130A" w14:textId="77777777" w:rsidR="00470AE4" w:rsidRPr="00C63860" w:rsidRDefault="00470AE4" w:rsidP="00470AE4">
            <w:pPr>
              <w:contextualSpacing/>
              <w:rPr>
                <w:b w:val="0"/>
                <w:i/>
                <w:sz w:val="22"/>
                <w:szCs w:val="22"/>
              </w:rPr>
            </w:pPr>
            <w:r w:rsidRPr="00C63860">
              <w:rPr>
                <w:b w:val="0"/>
                <w:i/>
                <w:iCs/>
                <w:sz w:val="22"/>
                <w:szCs w:val="22"/>
              </w:rPr>
              <w:t>More common diagnostic procedures for hernia</w:t>
            </w:r>
          </w:p>
        </w:tc>
      </w:tr>
      <w:tr w:rsidR="00470AE4" w:rsidRPr="00C63860" w14:paraId="60D32D43"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EDBB0FD" w14:textId="77777777" w:rsidR="00470AE4" w:rsidRPr="00C63860" w:rsidRDefault="00470AE4" w:rsidP="00470AE4">
            <w:pPr>
              <w:ind w:left="170"/>
              <w:contextualSpacing/>
              <w:rPr>
                <w:b w:val="0"/>
                <w:sz w:val="22"/>
                <w:szCs w:val="22"/>
              </w:rPr>
            </w:pPr>
            <w:r w:rsidRPr="00C63860">
              <w:rPr>
                <w:b w:val="0"/>
                <w:sz w:val="22"/>
                <w:szCs w:val="22"/>
              </w:rPr>
              <w:t>Computed tomography</w:t>
            </w:r>
          </w:p>
        </w:tc>
        <w:tc>
          <w:tcPr>
            <w:tcW w:w="0" w:type="auto"/>
            <w:shd w:val="clear" w:color="auto" w:fill="auto"/>
            <w:vAlign w:val="center"/>
          </w:tcPr>
          <w:p w14:paraId="3D219BB3"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Procedure</w:t>
            </w:r>
          </w:p>
        </w:tc>
        <w:tc>
          <w:tcPr>
            <w:tcW w:w="0" w:type="auto"/>
            <w:shd w:val="clear" w:color="auto" w:fill="auto"/>
            <w:vAlign w:val="center"/>
          </w:tcPr>
          <w:p w14:paraId="4D5EE7EF"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83</w:t>
            </w:r>
          </w:p>
        </w:tc>
        <w:tc>
          <w:tcPr>
            <w:tcW w:w="0" w:type="auto"/>
            <w:shd w:val="clear" w:color="auto" w:fill="auto"/>
            <w:vAlign w:val="center"/>
          </w:tcPr>
          <w:p w14:paraId="4CF4A7B8" w14:textId="729A8632"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NHS Reference costs 2017/18. RD2</w:t>
            </w:r>
            <w:r w:rsidR="00C63860" w:rsidRPr="00C63860">
              <w:rPr>
                <w:color w:val="00B0F0"/>
                <w:sz w:val="22"/>
                <w:szCs w:val="22"/>
              </w:rPr>
              <w:t>0 A:</w:t>
            </w:r>
            <w:r w:rsidRPr="00C63860">
              <w:rPr>
                <w:sz w:val="22"/>
                <w:szCs w:val="22"/>
              </w:rPr>
              <w:t xml:space="preserve"> Computerised Tomography Scan of One Area, without Contrast, 19 years and over (IMAG)</w:t>
            </w:r>
            <w:r w:rsidRPr="00C63860">
              <w:rPr>
                <w:noProof/>
                <w:sz w:val="22"/>
                <w:szCs w:val="22"/>
                <w:vertAlign w:val="superscript"/>
              </w:rPr>
              <w:t>81</w:t>
            </w:r>
          </w:p>
        </w:tc>
      </w:tr>
      <w:tr w:rsidR="00470AE4" w:rsidRPr="00C63860" w14:paraId="012AAB13"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207C4101" w14:textId="77777777" w:rsidR="00470AE4" w:rsidRPr="00C63860" w:rsidRDefault="00470AE4" w:rsidP="00470AE4">
            <w:pPr>
              <w:ind w:left="170"/>
              <w:contextualSpacing/>
              <w:rPr>
                <w:b w:val="0"/>
                <w:sz w:val="22"/>
                <w:szCs w:val="22"/>
              </w:rPr>
            </w:pPr>
            <w:r w:rsidRPr="00C63860">
              <w:rPr>
                <w:b w:val="0"/>
                <w:sz w:val="22"/>
                <w:szCs w:val="22"/>
              </w:rPr>
              <w:t>Transthoracic echocardiography</w:t>
            </w:r>
          </w:p>
        </w:tc>
        <w:tc>
          <w:tcPr>
            <w:tcW w:w="0" w:type="auto"/>
            <w:tcBorders>
              <w:top w:val="none" w:sz="0" w:space="0" w:color="auto"/>
              <w:bottom w:val="none" w:sz="0" w:space="0" w:color="auto"/>
            </w:tcBorders>
            <w:shd w:val="clear" w:color="auto" w:fill="auto"/>
            <w:vAlign w:val="center"/>
          </w:tcPr>
          <w:p w14:paraId="59D678C9"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63860">
              <w:rPr>
                <w:sz w:val="22"/>
                <w:szCs w:val="22"/>
              </w:rPr>
              <w:t>Procedure</w:t>
            </w:r>
          </w:p>
        </w:tc>
        <w:tc>
          <w:tcPr>
            <w:tcW w:w="0" w:type="auto"/>
            <w:tcBorders>
              <w:top w:val="none" w:sz="0" w:space="0" w:color="auto"/>
              <w:bottom w:val="none" w:sz="0" w:space="0" w:color="auto"/>
            </w:tcBorders>
            <w:shd w:val="clear" w:color="auto" w:fill="auto"/>
            <w:vAlign w:val="center"/>
          </w:tcPr>
          <w:p w14:paraId="13E4A46B"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101</w:t>
            </w:r>
          </w:p>
        </w:tc>
        <w:tc>
          <w:tcPr>
            <w:tcW w:w="0" w:type="auto"/>
            <w:tcBorders>
              <w:top w:val="none" w:sz="0" w:space="0" w:color="auto"/>
              <w:bottom w:val="none" w:sz="0" w:space="0" w:color="auto"/>
            </w:tcBorders>
            <w:shd w:val="clear" w:color="auto" w:fill="auto"/>
            <w:vAlign w:val="center"/>
          </w:tcPr>
          <w:p w14:paraId="458457D7" w14:textId="7FCB8B68"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NHS Reference costs 2017/18. RD51C: Simple Echocardiogram, 5 years and under (IMAG)</w:t>
            </w:r>
            <w:r w:rsidRPr="00C63860">
              <w:rPr>
                <w:noProof/>
                <w:sz w:val="22"/>
                <w:szCs w:val="22"/>
                <w:vertAlign w:val="superscript"/>
              </w:rPr>
              <w:t>81</w:t>
            </w:r>
          </w:p>
        </w:tc>
      </w:tr>
      <w:tr w:rsidR="00470AE4" w:rsidRPr="00C63860" w14:paraId="1D7489A8"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5CF1B4D1" w14:textId="77777777" w:rsidR="00470AE4" w:rsidRPr="00C63860" w:rsidRDefault="00470AE4" w:rsidP="00470AE4">
            <w:pPr>
              <w:ind w:left="170"/>
              <w:contextualSpacing/>
              <w:rPr>
                <w:b w:val="0"/>
                <w:sz w:val="22"/>
                <w:szCs w:val="22"/>
              </w:rPr>
            </w:pPr>
            <w:r w:rsidRPr="00C63860">
              <w:rPr>
                <w:b w:val="0"/>
                <w:sz w:val="22"/>
                <w:szCs w:val="22"/>
              </w:rPr>
              <w:t>Computed tomography of abdomen</w:t>
            </w:r>
          </w:p>
        </w:tc>
        <w:tc>
          <w:tcPr>
            <w:tcW w:w="0" w:type="auto"/>
            <w:shd w:val="clear" w:color="auto" w:fill="auto"/>
            <w:vAlign w:val="center"/>
          </w:tcPr>
          <w:p w14:paraId="3FB2A99E"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63860">
              <w:rPr>
                <w:sz w:val="22"/>
                <w:szCs w:val="22"/>
              </w:rPr>
              <w:t>Procedure</w:t>
            </w:r>
          </w:p>
        </w:tc>
        <w:tc>
          <w:tcPr>
            <w:tcW w:w="0" w:type="auto"/>
            <w:shd w:val="clear" w:color="auto" w:fill="auto"/>
            <w:vAlign w:val="center"/>
          </w:tcPr>
          <w:p w14:paraId="4421E2B9"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83</w:t>
            </w:r>
          </w:p>
        </w:tc>
        <w:tc>
          <w:tcPr>
            <w:tcW w:w="0" w:type="auto"/>
            <w:shd w:val="clear" w:color="auto" w:fill="auto"/>
            <w:vAlign w:val="center"/>
          </w:tcPr>
          <w:p w14:paraId="6303A241" w14:textId="10EB7AC9"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NHS Reference costs 2017/18. RD20: Computerised Tomography Scan of One Area, without Contrast, 19 years and over (IMAG)</w:t>
            </w:r>
            <w:r w:rsidRPr="00C63860">
              <w:rPr>
                <w:noProof/>
                <w:sz w:val="22"/>
                <w:szCs w:val="22"/>
                <w:vertAlign w:val="superscript"/>
              </w:rPr>
              <w:t>81</w:t>
            </w:r>
          </w:p>
        </w:tc>
      </w:tr>
      <w:tr w:rsidR="00470AE4" w:rsidRPr="00C63860" w14:paraId="0F5B7820"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1AD1B70B" w14:textId="77777777" w:rsidR="00470AE4" w:rsidRPr="00C63860" w:rsidRDefault="00470AE4" w:rsidP="00470AE4">
            <w:pPr>
              <w:ind w:left="170"/>
              <w:contextualSpacing/>
              <w:rPr>
                <w:b w:val="0"/>
                <w:sz w:val="22"/>
                <w:szCs w:val="22"/>
              </w:rPr>
            </w:pPr>
            <w:r w:rsidRPr="00C63860">
              <w:rPr>
                <w:b w:val="0"/>
                <w:sz w:val="22"/>
                <w:szCs w:val="22"/>
              </w:rPr>
              <w:t>Computed tomography of head</w:t>
            </w:r>
          </w:p>
        </w:tc>
        <w:tc>
          <w:tcPr>
            <w:tcW w:w="0" w:type="auto"/>
            <w:tcBorders>
              <w:top w:val="none" w:sz="0" w:space="0" w:color="auto"/>
              <w:bottom w:val="none" w:sz="0" w:space="0" w:color="auto"/>
            </w:tcBorders>
            <w:shd w:val="clear" w:color="auto" w:fill="auto"/>
            <w:vAlign w:val="center"/>
          </w:tcPr>
          <w:p w14:paraId="7A67DFA2"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63860">
              <w:rPr>
                <w:sz w:val="22"/>
                <w:szCs w:val="22"/>
              </w:rPr>
              <w:t>Procedure</w:t>
            </w:r>
          </w:p>
        </w:tc>
        <w:tc>
          <w:tcPr>
            <w:tcW w:w="0" w:type="auto"/>
            <w:tcBorders>
              <w:top w:val="none" w:sz="0" w:space="0" w:color="auto"/>
              <w:bottom w:val="none" w:sz="0" w:space="0" w:color="auto"/>
            </w:tcBorders>
            <w:shd w:val="clear" w:color="auto" w:fill="auto"/>
            <w:vAlign w:val="center"/>
          </w:tcPr>
          <w:p w14:paraId="7DFB445B"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83</w:t>
            </w:r>
          </w:p>
        </w:tc>
        <w:tc>
          <w:tcPr>
            <w:tcW w:w="0" w:type="auto"/>
            <w:tcBorders>
              <w:top w:val="none" w:sz="0" w:space="0" w:color="auto"/>
              <w:bottom w:val="none" w:sz="0" w:space="0" w:color="auto"/>
            </w:tcBorders>
            <w:shd w:val="clear" w:color="auto" w:fill="auto"/>
            <w:vAlign w:val="center"/>
          </w:tcPr>
          <w:p w14:paraId="2B7A56AA" w14:textId="27B46F51"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NHS Reference costs 2017/18. RD2</w:t>
            </w:r>
            <w:r w:rsidR="00C63860" w:rsidRPr="00C63860">
              <w:rPr>
                <w:color w:val="00B0F0"/>
                <w:sz w:val="22"/>
                <w:szCs w:val="22"/>
              </w:rPr>
              <w:t>0 A:</w:t>
            </w:r>
            <w:r w:rsidRPr="00C63860">
              <w:rPr>
                <w:sz w:val="22"/>
                <w:szCs w:val="22"/>
              </w:rPr>
              <w:t xml:space="preserve"> Computerised Tomography Scan of One Area, without Contrast, 19 years and over (IMAG)</w:t>
            </w:r>
            <w:r w:rsidRPr="00C63860">
              <w:rPr>
                <w:noProof/>
                <w:sz w:val="22"/>
                <w:szCs w:val="22"/>
                <w:vertAlign w:val="superscript"/>
              </w:rPr>
              <w:t>81</w:t>
            </w:r>
          </w:p>
        </w:tc>
      </w:tr>
      <w:tr w:rsidR="00470AE4" w:rsidRPr="00C63860" w14:paraId="7B3B3F88"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31C183A" w14:textId="77777777" w:rsidR="00470AE4" w:rsidRPr="00C63860" w:rsidRDefault="00470AE4" w:rsidP="00470AE4">
            <w:pPr>
              <w:ind w:left="170"/>
              <w:contextualSpacing/>
              <w:rPr>
                <w:b w:val="0"/>
                <w:sz w:val="22"/>
                <w:szCs w:val="22"/>
              </w:rPr>
            </w:pPr>
            <w:r w:rsidRPr="00C63860">
              <w:rPr>
                <w:b w:val="0"/>
                <w:sz w:val="22"/>
                <w:szCs w:val="22"/>
              </w:rPr>
              <w:t>Diagnostic endoscopic examination of peritoneum</w:t>
            </w:r>
          </w:p>
        </w:tc>
        <w:tc>
          <w:tcPr>
            <w:tcW w:w="0" w:type="auto"/>
            <w:shd w:val="clear" w:color="auto" w:fill="auto"/>
            <w:vAlign w:val="center"/>
          </w:tcPr>
          <w:p w14:paraId="27DA302E"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Procedure</w:t>
            </w:r>
          </w:p>
        </w:tc>
        <w:tc>
          <w:tcPr>
            <w:tcW w:w="0" w:type="auto"/>
            <w:shd w:val="clear" w:color="auto" w:fill="auto"/>
            <w:vAlign w:val="center"/>
          </w:tcPr>
          <w:p w14:paraId="787716A5"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404</w:t>
            </w:r>
          </w:p>
        </w:tc>
        <w:tc>
          <w:tcPr>
            <w:tcW w:w="0" w:type="auto"/>
            <w:shd w:val="clear" w:color="auto" w:fill="auto"/>
            <w:vAlign w:val="center"/>
          </w:tcPr>
          <w:p w14:paraId="0BACB227" w14:textId="2185810A"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NHS Reference costs 2017/18. FE31Z: Diagnostic Colonoscopy with Biopsy, 19 years and over (NES). Mean bed-day costs of general ward subtracted to avoid double-counting</w:t>
            </w:r>
            <w:r w:rsidRPr="00C63860">
              <w:rPr>
                <w:noProof/>
                <w:sz w:val="22"/>
                <w:szCs w:val="22"/>
                <w:vertAlign w:val="superscript"/>
              </w:rPr>
              <w:t>81</w:t>
            </w:r>
          </w:p>
        </w:tc>
      </w:tr>
      <w:tr w:rsidR="00470AE4" w:rsidRPr="00C63860" w14:paraId="250AEAD1"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2B013B8B" w14:textId="77777777" w:rsidR="00470AE4" w:rsidRPr="00C63860" w:rsidRDefault="00470AE4" w:rsidP="00470AE4">
            <w:pPr>
              <w:contextualSpacing/>
              <w:rPr>
                <w:b w:val="0"/>
                <w:sz w:val="22"/>
                <w:szCs w:val="22"/>
              </w:rPr>
            </w:pPr>
            <w:r w:rsidRPr="00C63860">
              <w:rPr>
                <w:b w:val="0"/>
                <w:sz w:val="22"/>
                <w:szCs w:val="22"/>
              </w:rPr>
              <w:t>Operative procedures</w:t>
            </w:r>
          </w:p>
        </w:tc>
        <w:tc>
          <w:tcPr>
            <w:tcW w:w="0" w:type="auto"/>
            <w:tcBorders>
              <w:top w:val="none" w:sz="0" w:space="0" w:color="auto"/>
              <w:bottom w:val="none" w:sz="0" w:space="0" w:color="auto"/>
            </w:tcBorders>
            <w:shd w:val="clear" w:color="auto" w:fill="auto"/>
            <w:vAlign w:val="center"/>
          </w:tcPr>
          <w:p w14:paraId="69561624"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0" w:type="auto"/>
            <w:tcBorders>
              <w:top w:val="none" w:sz="0" w:space="0" w:color="auto"/>
              <w:bottom w:val="none" w:sz="0" w:space="0" w:color="auto"/>
            </w:tcBorders>
            <w:shd w:val="clear" w:color="auto" w:fill="auto"/>
            <w:vAlign w:val="center"/>
          </w:tcPr>
          <w:p w14:paraId="269C4A55"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0" w:type="auto"/>
            <w:tcBorders>
              <w:top w:val="none" w:sz="0" w:space="0" w:color="auto"/>
              <w:bottom w:val="none" w:sz="0" w:space="0" w:color="auto"/>
            </w:tcBorders>
            <w:shd w:val="clear" w:color="auto" w:fill="auto"/>
            <w:vAlign w:val="center"/>
          </w:tcPr>
          <w:p w14:paraId="54DC5DE5" w14:textId="77777777"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p>
        </w:tc>
      </w:tr>
      <w:tr w:rsidR="00470AE4" w:rsidRPr="00C63860" w14:paraId="3FBB2E9B"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gridSpan w:val="4"/>
            <w:shd w:val="clear" w:color="auto" w:fill="auto"/>
            <w:vAlign w:val="center"/>
          </w:tcPr>
          <w:p w14:paraId="2EDF187D" w14:textId="77777777" w:rsidR="00470AE4" w:rsidRPr="00C63860" w:rsidRDefault="00470AE4" w:rsidP="00470AE4">
            <w:pPr>
              <w:contextualSpacing/>
              <w:rPr>
                <w:b w:val="0"/>
                <w:i/>
                <w:sz w:val="22"/>
                <w:szCs w:val="22"/>
              </w:rPr>
            </w:pPr>
            <w:r w:rsidRPr="00C63860">
              <w:rPr>
                <w:b w:val="0"/>
                <w:i/>
                <w:iCs/>
                <w:sz w:val="22"/>
                <w:szCs w:val="22"/>
              </w:rPr>
              <w:t>Staff input</w:t>
            </w:r>
          </w:p>
        </w:tc>
      </w:tr>
      <w:tr w:rsidR="00470AE4" w:rsidRPr="00C63860" w14:paraId="009C9486"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0AF7B6D2" w14:textId="77777777" w:rsidR="00470AE4" w:rsidRPr="00C63860" w:rsidRDefault="00470AE4" w:rsidP="00470AE4">
            <w:pPr>
              <w:ind w:left="170"/>
              <w:contextualSpacing/>
              <w:rPr>
                <w:b w:val="0"/>
                <w:sz w:val="22"/>
                <w:szCs w:val="22"/>
              </w:rPr>
            </w:pPr>
            <w:r w:rsidRPr="00C63860">
              <w:rPr>
                <w:b w:val="0"/>
                <w:sz w:val="22"/>
                <w:szCs w:val="22"/>
              </w:rPr>
              <w:t>Consultant surgeon</w:t>
            </w:r>
          </w:p>
        </w:tc>
        <w:tc>
          <w:tcPr>
            <w:tcW w:w="0" w:type="auto"/>
            <w:tcBorders>
              <w:top w:val="none" w:sz="0" w:space="0" w:color="auto"/>
              <w:bottom w:val="none" w:sz="0" w:space="0" w:color="auto"/>
            </w:tcBorders>
            <w:shd w:val="clear" w:color="auto" w:fill="auto"/>
            <w:vAlign w:val="center"/>
          </w:tcPr>
          <w:p w14:paraId="5C2D46D7"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Minute</w:t>
            </w:r>
          </w:p>
        </w:tc>
        <w:tc>
          <w:tcPr>
            <w:tcW w:w="0" w:type="auto"/>
            <w:tcBorders>
              <w:top w:val="none" w:sz="0" w:space="0" w:color="auto"/>
              <w:bottom w:val="none" w:sz="0" w:space="0" w:color="auto"/>
            </w:tcBorders>
            <w:shd w:val="clear" w:color="auto" w:fill="auto"/>
            <w:vAlign w:val="center"/>
          </w:tcPr>
          <w:p w14:paraId="50039AEB"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1.8</w:t>
            </w:r>
          </w:p>
        </w:tc>
        <w:tc>
          <w:tcPr>
            <w:tcW w:w="0" w:type="auto"/>
            <w:tcBorders>
              <w:top w:val="none" w:sz="0" w:space="0" w:color="auto"/>
              <w:bottom w:val="none" w:sz="0" w:space="0" w:color="auto"/>
            </w:tcBorders>
            <w:shd w:val="clear" w:color="auto" w:fill="auto"/>
            <w:vAlign w:val="center"/>
          </w:tcPr>
          <w:p w14:paraId="355B0A08" w14:textId="409AF232"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2019 Unit costs of Health and Social Care (PSSRU). Section 14. Cost per working hour: consultant: surgical</w:t>
            </w:r>
            <w:r w:rsidRPr="00C63860">
              <w:rPr>
                <w:noProof/>
                <w:sz w:val="22"/>
                <w:szCs w:val="22"/>
                <w:vertAlign w:val="superscript"/>
              </w:rPr>
              <w:t>132</w:t>
            </w:r>
          </w:p>
        </w:tc>
      </w:tr>
      <w:tr w:rsidR="00470AE4" w:rsidRPr="00C63860" w14:paraId="66F794DB"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11FA9453" w14:textId="77777777" w:rsidR="00470AE4" w:rsidRPr="00C63860" w:rsidRDefault="00470AE4" w:rsidP="00470AE4">
            <w:pPr>
              <w:ind w:left="170"/>
              <w:contextualSpacing/>
              <w:rPr>
                <w:b w:val="0"/>
                <w:sz w:val="22"/>
                <w:szCs w:val="22"/>
              </w:rPr>
            </w:pPr>
            <w:r w:rsidRPr="00C63860">
              <w:rPr>
                <w:b w:val="0"/>
                <w:sz w:val="22"/>
                <w:szCs w:val="22"/>
              </w:rPr>
              <w:t>Anaesthesiologist</w:t>
            </w:r>
          </w:p>
        </w:tc>
        <w:tc>
          <w:tcPr>
            <w:tcW w:w="0" w:type="auto"/>
            <w:shd w:val="clear" w:color="auto" w:fill="auto"/>
            <w:vAlign w:val="center"/>
          </w:tcPr>
          <w:p w14:paraId="5518FE1B"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Minute</w:t>
            </w:r>
          </w:p>
        </w:tc>
        <w:tc>
          <w:tcPr>
            <w:tcW w:w="0" w:type="auto"/>
            <w:shd w:val="clear" w:color="auto" w:fill="auto"/>
            <w:vAlign w:val="center"/>
          </w:tcPr>
          <w:p w14:paraId="3AD941DD"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1.8</w:t>
            </w:r>
          </w:p>
        </w:tc>
        <w:tc>
          <w:tcPr>
            <w:tcW w:w="0" w:type="auto"/>
            <w:shd w:val="clear" w:color="auto" w:fill="auto"/>
            <w:vAlign w:val="center"/>
          </w:tcPr>
          <w:p w14:paraId="3BC09A98" w14:textId="1CAC08C6"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2019 Unit costs of Health and Social Care (PSSRU). Section 14. Cost per working hour: consultant: medical</w:t>
            </w:r>
            <w:r w:rsidRPr="00C63860">
              <w:rPr>
                <w:noProof/>
                <w:sz w:val="22"/>
                <w:szCs w:val="22"/>
                <w:vertAlign w:val="superscript"/>
              </w:rPr>
              <w:t>132</w:t>
            </w:r>
          </w:p>
        </w:tc>
      </w:tr>
      <w:tr w:rsidR="00470AE4" w:rsidRPr="00C63860" w14:paraId="0D5663B9"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43167504" w14:textId="77777777" w:rsidR="00470AE4" w:rsidRPr="00C63860" w:rsidRDefault="00470AE4" w:rsidP="00470AE4">
            <w:pPr>
              <w:ind w:left="170"/>
              <w:contextualSpacing/>
              <w:rPr>
                <w:b w:val="0"/>
                <w:sz w:val="22"/>
                <w:szCs w:val="22"/>
              </w:rPr>
            </w:pPr>
            <w:r w:rsidRPr="00C63860">
              <w:rPr>
                <w:b w:val="0"/>
                <w:sz w:val="22"/>
                <w:szCs w:val="22"/>
              </w:rPr>
              <w:t>Consultant radiologist</w:t>
            </w:r>
          </w:p>
        </w:tc>
        <w:tc>
          <w:tcPr>
            <w:tcW w:w="0" w:type="auto"/>
            <w:tcBorders>
              <w:top w:val="none" w:sz="0" w:space="0" w:color="auto"/>
              <w:bottom w:val="none" w:sz="0" w:space="0" w:color="auto"/>
            </w:tcBorders>
            <w:shd w:val="clear" w:color="auto" w:fill="auto"/>
            <w:vAlign w:val="center"/>
          </w:tcPr>
          <w:p w14:paraId="4F940407"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Minute</w:t>
            </w:r>
          </w:p>
        </w:tc>
        <w:tc>
          <w:tcPr>
            <w:tcW w:w="0" w:type="auto"/>
            <w:tcBorders>
              <w:top w:val="none" w:sz="0" w:space="0" w:color="auto"/>
              <w:bottom w:val="none" w:sz="0" w:space="0" w:color="auto"/>
            </w:tcBorders>
            <w:shd w:val="clear" w:color="auto" w:fill="auto"/>
            <w:vAlign w:val="center"/>
          </w:tcPr>
          <w:p w14:paraId="7C6B57C2"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1.8</w:t>
            </w:r>
          </w:p>
        </w:tc>
        <w:tc>
          <w:tcPr>
            <w:tcW w:w="0" w:type="auto"/>
            <w:tcBorders>
              <w:top w:val="none" w:sz="0" w:space="0" w:color="auto"/>
              <w:bottom w:val="none" w:sz="0" w:space="0" w:color="auto"/>
            </w:tcBorders>
            <w:shd w:val="clear" w:color="auto" w:fill="auto"/>
            <w:vAlign w:val="center"/>
          </w:tcPr>
          <w:p w14:paraId="3D1297CD" w14:textId="16FCDF4A"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2019 Unit costs of Health and Social Care (PSSRU). Section 14. Cost per working hour: consultant: medical</w:t>
            </w:r>
            <w:r w:rsidRPr="00C63860">
              <w:rPr>
                <w:noProof/>
                <w:sz w:val="22"/>
                <w:szCs w:val="22"/>
                <w:vertAlign w:val="superscript"/>
              </w:rPr>
              <w:t>132</w:t>
            </w:r>
          </w:p>
        </w:tc>
      </w:tr>
      <w:tr w:rsidR="00470AE4" w:rsidRPr="00C63860" w14:paraId="17E4740C"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63C784A" w14:textId="77777777" w:rsidR="00470AE4" w:rsidRPr="00C63860" w:rsidRDefault="00470AE4" w:rsidP="00470AE4">
            <w:pPr>
              <w:ind w:left="170"/>
              <w:contextualSpacing/>
              <w:rPr>
                <w:b w:val="0"/>
                <w:sz w:val="22"/>
                <w:szCs w:val="22"/>
              </w:rPr>
            </w:pPr>
            <w:r w:rsidRPr="00C63860">
              <w:rPr>
                <w:b w:val="0"/>
                <w:sz w:val="22"/>
                <w:szCs w:val="22"/>
              </w:rPr>
              <w:t>Registrar – surgery</w:t>
            </w:r>
          </w:p>
        </w:tc>
        <w:tc>
          <w:tcPr>
            <w:tcW w:w="0" w:type="auto"/>
            <w:shd w:val="clear" w:color="auto" w:fill="auto"/>
            <w:vAlign w:val="center"/>
          </w:tcPr>
          <w:p w14:paraId="18DF7EAF"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Minute</w:t>
            </w:r>
          </w:p>
        </w:tc>
        <w:tc>
          <w:tcPr>
            <w:tcW w:w="0" w:type="auto"/>
            <w:shd w:val="clear" w:color="auto" w:fill="auto"/>
            <w:vAlign w:val="center"/>
          </w:tcPr>
          <w:p w14:paraId="510BC435"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0.8</w:t>
            </w:r>
          </w:p>
        </w:tc>
        <w:tc>
          <w:tcPr>
            <w:tcW w:w="0" w:type="auto"/>
            <w:shd w:val="clear" w:color="auto" w:fill="auto"/>
            <w:vAlign w:val="center"/>
          </w:tcPr>
          <w:p w14:paraId="4B730DC7" w14:textId="243E83F1"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2019 Unit costs of Health and Social Care (PSSRU). Section 14. Cost per working hour: registrar</w:t>
            </w:r>
            <w:r w:rsidRPr="00C63860">
              <w:rPr>
                <w:noProof/>
                <w:sz w:val="22"/>
                <w:szCs w:val="22"/>
                <w:vertAlign w:val="superscript"/>
              </w:rPr>
              <w:t>132</w:t>
            </w:r>
          </w:p>
        </w:tc>
      </w:tr>
      <w:tr w:rsidR="00470AE4" w:rsidRPr="00C63860" w14:paraId="5CAC8FDD"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3244A14A" w14:textId="77777777" w:rsidR="00470AE4" w:rsidRPr="00C63860" w:rsidRDefault="00470AE4" w:rsidP="00470AE4">
            <w:pPr>
              <w:ind w:left="170"/>
              <w:contextualSpacing/>
              <w:rPr>
                <w:b w:val="0"/>
                <w:sz w:val="22"/>
                <w:szCs w:val="22"/>
              </w:rPr>
            </w:pPr>
            <w:r w:rsidRPr="00C63860">
              <w:rPr>
                <w:b w:val="0"/>
                <w:sz w:val="22"/>
                <w:szCs w:val="22"/>
              </w:rPr>
              <w:t>Registrar – anaesthesiology</w:t>
            </w:r>
          </w:p>
        </w:tc>
        <w:tc>
          <w:tcPr>
            <w:tcW w:w="0" w:type="auto"/>
            <w:tcBorders>
              <w:top w:val="none" w:sz="0" w:space="0" w:color="auto"/>
              <w:bottom w:val="none" w:sz="0" w:space="0" w:color="auto"/>
            </w:tcBorders>
            <w:shd w:val="clear" w:color="auto" w:fill="auto"/>
            <w:vAlign w:val="center"/>
          </w:tcPr>
          <w:p w14:paraId="0DEC5ED1"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Minute</w:t>
            </w:r>
          </w:p>
        </w:tc>
        <w:tc>
          <w:tcPr>
            <w:tcW w:w="0" w:type="auto"/>
            <w:tcBorders>
              <w:top w:val="none" w:sz="0" w:space="0" w:color="auto"/>
              <w:bottom w:val="none" w:sz="0" w:space="0" w:color="auto"/>
            </w:tcBorders>
            <w:shd w:val="clear" w:color="auto" w:fill="auto"/>
            <w:vAlign w:val="center"/>
          </w:tcPr>
          <w:p w14:paraId="3FFE1D9D"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0.8</w:t>
            </w:r>
          </w:p>
        </w:tc>
        <w:tc>
          <w:tcPr>
            <w:tcW w:w="0" w:type="auto"/>
            <w:tcBorders>
              <w:top w:val="none" w:sz="0" w:space="0" w:color="auto"/>
              <w:bottom w:val="none" w:sz="0" w:space="0" w:color="auto"/>
            </w:tcBorders>
            <w:shd w:val="clear" w:color="auto" w:fill="auto"/>
            <w:vAlign w:val="center"/>
          </w:tcPr>
          <w:p w14:paraId="12C2F7E4" w14:textId="38CC812C"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2019 Unit costs of Health and Social Care (PSSRU). Section 14. Cost per working hour: registrar</w:t>
            </w:r>
            <w:r w:rsidRPr="00C63860">
              <w:rPr>
                <w:sz w:val="22"/>
                <w:szCs w:val="22"/>
                <w:vertAlign w:val="superscript"/>
              </w:rPr>
              <w:t xml:space="preserve"> </w:t>
            </w:r>
            <w:r w:rsidRPr="00C63860">
              <w:rPr>
                <w:noProof/>
                <w:sz w:val="22"/>
                <w:szCs w:val="22"/>
                <w:vertAlign w:val="superscript"/>
              </w:rPr>
              <w:t>132</w:t>
            </w:r>
          </w:p>
        </w:tc>
      </w:tr>
      <w:tr w:rsidR="00470AE4" w:rsidRPr="00C63860" w14:paraId="486A3C01"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317E74D" w14:textId="77777777" w:rsidR="00470AE4" w:rsidRPr="00C63860" w:rsidRDefault="00470AE4" w:rsidP="00470AE4">
            <w:pPr>
              <w:ind w:left="170"/>
              <w:contextualSpacing/>
              <w:rPr>
                <w:b w:val="0"/>
                <w:sz w:val="22"/>
                <w:szCs w:val="22"/>
              </w:rPr>
            </w:pPr>
            <w:r w:rsidRPr="00C63860">
              <w:rPr>
                <w:b w:val="0"/>
                <w:sz w:val="22"/>
                <w:szCs w:val="22"/>
              </w:rPr>
              <w:t>Registrar – radiology</w:t>
            </w:r>
          </w:p>
        </w:tc>
        <w:tc>
          <w:tcPr>
            <w:tcW w:w="0" w:type="auto"/>
            <w:shd w:val="clear" w:color="auto" w:fill="auto"/>
            <w:vAlign w:val="center"/>
          </w:tcPr>
          <w:p w14:paraId="271162E5"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Minute</w:t>
            </w:r>
          </w:p>
        </w:tc>
        <w:tc>
          <w:tcPr>
            <w:tcW w:w="0" w:type="auto"/>
            <w:shd w:val="clear" w:color="auto" w:fill="auto"/>
            <w:vAlign w:val="center"/>
          </w:tcPr>
          <w:p w14:paraId="610BB093"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0.8</w:t>
            </w:r>
          </w:p>
        </w:tc>
        <w:tc>
          <w:tcPr>
            <w:tcW w:w="0" w:type="auto"/>
            <w:shd w:val="clear" w:color="auto" w:fill="auto"/>
            <w:vAlign w:val="center"/>
          </w:tcPr>
          <w:p w14:paraId="1881D8E3" w14:textId="3359A3BF"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bCs/>
                <w:sz w:val="22"/>
                <w:szCs w:val="22"/>
              </w:rPr>
              <w:t>2019 Unit costs of Health and Social Care (PSSRU). Section 14. Cost per working hour: registrar</w:t>
            </w:r>
            <w:r w:rsidRPr="00C63860">
              <w:rPr>
                <w:sz w:val="22"/>
                <w:szCs w:val="22"/>
                <w:vertAlign w:val="superscript"/>
              </w:rPr>
              <w:t xml:space="preserve"> </w:t>
            </w:r>
            <w:r w:rsidRPr="00C63860">
              <w:rPr>
                <w:noProof/>
                <w:sz w:val="22"/>
                <w:szCs w:val="22"/>
                <w:vertAlign w:val="superscript"/>
              </w:rPr>
              <w:t>132</w:t>
            </w:r>
          </w:p>
        </w:tc>
      </w:tr>
      <w:tr w:rsidR="00470AE4" w:rsidRPr="00C63860" w14:paraId="31FD670E"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2E8CCD67" w14:textId="77777777" w:rsidR="00470AE4" w:rsidRPr="00C63860" w:rsidRDefault="00470AE4" w:rsidP="00470AE4">
            <w:pPr>
              <w:ind w:left="170"/>
              <w:contextualSpacing/>
              <w:rPr>
                <w:b w:val="0"/>
                <w:sz w:val="22"/>
                <w:szCs w:val="22"/>
              </w:rPr>
            </w:pPr>
            <w:r w:rsidRPr="00C63860">
              <w:rPr>
                <w:b w:val="0"/>
                <w:sz w:val="22"/>
                <w:szCs w:val="22"/>
              </w:rPr>
              <w:t>Nurse – Band 5</w:t>
            </w:r>
          </w:p>
        </w:tc>
        <w:tc>
          <w:tcPr>
            <w:tcW w:w="0" w:type="auto"/>
            <w:tcBorders>
              <w:top w:val="none" w:sz="0" w:space="0" w:color="auto"/>
              <w:bottom w:val="none" w:sz="0" w:space="0" w:color="auto"/>
            </w:tcBorders>
            <w:shd w:val="clear" w:color="auto" w:fill="auto"/>
            <w:vAlign w:val="center"/>
          </w:tcPr>
          <w:p w14:paraId="6AB0B67E"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Minute</w:t>
            </w:r>
          </w:p>
        </w:tc>
        <w:tc>
          <w:tcPr>
            <w:tcW w:w="0" w:type="auto"/>
            <w:tcBorders>
              <w:top w:val="none" w:sz="0" w:space="0" w:color="auto"/>
              <w:bottom w:val="none" w:sz="0" w:space="0" w:color="auto"/>
            </w:tcBorders>
            <w:shd w:val="clear" w:color="auto" w:fill="auto"/>
            <w:vAlign w:val="center"/>
          </w:tcPr>
          <w:p w14:paraId="1855E3F5"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0.6</w:t>
            </w:r>
          </w:p>
        </w:tc>
        <w:tc>
          <w:tcPr>
            <w:tcW w:w="0" w:type="auto"/>
            <w:tcBorders>
              <w:top w:val="none" w:sz="0" w:space="0" w:color="auto"/>
              <w:bottom w:val="none" w:sz="0" w:space="0" w:color="auto"/>
            </w:tcBorders>
            <w:shd w:val="clear" w:color="auto" w:fill="auto"/>
            <w:vAlign w:val="center"/>
          </w:tcPr>
          <w:p w14:paraId="3216DBDC" w14:textId="214EA92F"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bCs/>
                <w:sz w:val="22"/>
                <w:szCs w:val="22"/>
              </w:rPr>
            </w:pPr>
            <w:r w:rsidRPr="00C63860">
              <w:rPr>
                <w:bCs/>
                <w:sz w:val="22"/>
                <w:szCs w:val="22"/>
              </w:rPr>
              <w:t>2019 Unit costs of Health and Social Care (PSSRU). Section 13. Cost per working hour: band 5 – hospital-based nurse</w:t>
            </w:r>
            <w:r w:rsidRPr="00C63860">
              <w:rPr>
                <w:bCs/>
                <w:noProof/>
                <w:sz w:val="22"/>
                <w:szCs w:val="22"/>
                <w:vertAlign w:val="superscript"/>
              </w:rPr>
              <w:t>132</w:t>
            </w:r>
          </w:p>
        </w:tc>
      </w:tr>
      <w:tr w:rsidR="00470AE4" w:rsidRPr="00C63860" w14:paraId="4115B1AC"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1675FA6" w14:textId="77777777" w:rsidR="00470AE4" w:rsidRPr="00C63860" w:rsidRDefault="00470AE4" w:rsidP="00470AE4">
            <w:pPr>
              <w:ind w:left="170"/>
              <w:contextualSpacing/>
              <w:rPr>
                <w:b w:val="0"/>
                <w:sz w:val="22"/>
                <w:szCs w:val="22"/>
              </w:rPr>
            </w:pPr>
            <w:r w:rsidRPr="00C63860">
              <w:rPr>
                <w:b w:val="0"/>
                <w:sz w:val="22"/>
                <w:szCs w:val="22"/>
              </w:rPr>
              <w:t>Nurse – Band 6</w:t>
            </w:r>
          </w:p>
        </w:tc>
        <w:tc>
          <w:tcPr>
            <w:tcW w:w="0" w:type="auto"/>
            <w:shd w:val="clear" w:color="auto" w:fill="auto"/>
            <w:vAlign w:val="center"/>
          </w:tcPr>
          <w:p w14:paraId="55CD3BCB"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Minute</w:t>
            </w:r>
          </w:p>
        </w:tc>
        <w:tc>
          <w:tcPr>
            <w:tcW w:w="0" w:type="auto"/>
            <w:shd w:val="clear" w:color="auto" w:fill="auto"/>
            <w:vAlign w:val="center"/>
          </w:tcPr>
          <w:p w14:paraId="3D7BC871"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0.8</w:t>
            </w:r>
          </w:p>
        </w:tc>
        <w:tc>
          <w:tcPr>
            <w:tcW w:w="0" w:type="auto"/>
            <w:shd w:val="clear" w:color="auto" w:fill="auto"/>
            <w:vAlign w:val="center"/>
          </w:tcPr>
          <w:p w14:paraId="50C56DE4" w14:textId="1FB9F2B5"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bCs/>
                <w:sz w:val="22"/>
                <w:szCs w:val="22"/>
              </w:rPr>
              <w:t>2019 Unit costs of Health and Social Care (PSSRU). Section 13. Cost per working. hour: band 6 – hospital-based nurse</w:t>
            </w:r>
            <w:r w:rsidRPr="00C63860">
              <w:rPr>
                <w:bCs/>
                <w:noProof/>
                <w:sz w:val="22"/>
                <w:szCs w:val="22"/>
                <w:vertAlign w:val="superscript"/>
              </w:rPr>
              <w:t>132</w:t>
            </w:r>
          </w:p>
        </w:tc>
      </w:tr>
      <w:tr w:rsidR="00470AE4" w:rsidRPr="00C63860" w14:paraId="160A4856"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784DF843" w14:textId="77777777" w:rsidR="00470AE4" w:rsidRPr="00C63860" w:rsidRDefault="00470AE4" w:rsidP="00470AE4">
            <w:pPr>
              <w:ind w:left="170"/>
              <w:contextualSpacing/>
              <w:rPr>
                <w:b w:val="0"/>
                <w:sz w:val="22"/>
                <w:szCs w:val="22"/>
              </w:rPr>
            </w:pPr>
            <w:r w:rsidRPr="00C63860">
              <w:rPr>
                <w:b w:val="0"/>
                <w:sz w:val="22"/>
                <w:szCs w:val="22"/>
              </w:rPr>
              <w:t>Operating department practitioner</w:t>
            </w:r>
          </w:p>
        </w:tc>
        <w:tc>
          <w:tcPr>
            <w:tcW w:w="0" w:type="auto"/>
            <w:tcBorders>
              <w:top w:val="none" w:sz="0" w:space="0" w:color="auto"/>
              <w:bottom w:val="none" w:sz="0" w:space="0" w:color="auto"/>
            </w:tcBorders>
            <w:shd w:val="clear" w:color="auto" w:fill="auto"/>
            <w:vAlign w:val="center"/>
          </w:tcPr>
          <w:p w14:paraId="623A07F1"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Minute</w:t>
            </w:r>
          </w:p>
        </w:tc>
        <w:tc>
          <w:tcPr>
            <w:tcW w:w="0" w:type="auto"/>
            <w:tcBorders>
              <w:top w:val="none" w:sz="0" w:space="0" w:color="auto"/>
              <w:bottom w:val="none" w:sz="0" w:space="0" w:color="auto"/>
            </w:tcBorders>
            <w:shd w:val="clear" w:color="auto" w:fill="auto"/>
            <w:vAlign w:val="center"/>
          </w:tcPr>
          <w:p w14:paraId="674F8E14"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0.8</w:t>
            </w:r>
          </w:p>
        </w:tc>
        <w:tc>
          <w:tcPr>
            <w:tcW w:w="0" w:type="auto"/>
            <w:tcBorders>
              <w:top w:val="none" w:sz="0" w:space="0" w:color="auto"/>
              <w:bottom w:val="none" w:sz="0" w:space="0" w:color="auto"/>
            </w:tcBorders>
            <w:shd w:val="clear" w:color="auto" w:fill="auto"/>
            <w:vAlign w:val="center"/>
          </w:tcPr>
          <w:p w14:paraId="720A73D3" w14:textId="7BFD32C7"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bCs/>
                <w:sz w:val="22"/>
                <w:szCs w:val="22"/>
              </w:rPr>
              <w:t xml:space="preserve">2019 Unit costs of Health and Social Care (PSSRU). Section 13. </w:t>
            </w:r>
            <w:r w:rsidRPr="00C63860">
              <w:rPr>
                <w:sz w:val="22"/>
                <w:szCs w:val="22"/>
              </w:rPr>
              <w:t xml:space="preserve">Assumed same cost as cost per working hour of </w:t>
            </w:r>
            <w:r w:rsidRPr="00C63860">
              <w:rPr>
                <w:bCs/>
                <w:sz w:val="22"/>
                <w:szCs w:val="22"/>
              </w:rPr>
              <w:t>ban</w:t>
            </w:r>
            <w:r w:rsidR="00C63860" w:rsidRPr="00C63860">
              <w:rPr>
                <w:bCs/>
                <w:color w:val="00B0F0"/>
                <w:sz w:val="22"/>
                <w:szCs w:val="22"/>
              </w:rPr>
              <w:t>d-6</w:t>
            </w:r>
            <w:r w:rsidRPr="00C63860">
              <w:rPr>
                <w:bCs/>
                <w:sz w:val="22"/>
                <w:szCs w:val="22"/>
              </w:rPr>
              <w:t xml:space="preserve"> hospital-based nurse</w:t>
            </w:r>
            <w:r w:rsidRPr="00C63860">
              <w:rPr>
                <w:sz w:val="22"/>
                <w:szCs w:val="22"/>
              </w:rPr>
              <w:t xml:space="preserve"> (Chapter 13)</w:t>
            </w:r>
            <w:r w:rsidRPr="00C63860">
              <w:rPr>
                <w:noProof/>
                <w:sz w:val="22"/>
                <w:szCs w:val="22"/>
                <w:vertAlign w:val="superscript"/>
              </w:rPr>
              <w:t>132</w:t>
            </w:r>
          </w:p>
        </w:tc>
      </w:tr>
      <w:tr w:rsidR="00470AE4" w:rsidRPr="00C63860" w14:paraId="5E3A1BC5"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gridSpan w:val="4"/>
            <w:shd w:val="clear" w:color="auto" w:fill="auto"/>
            <w:vAlign w:val="center"/>
          </w:tcPr>
          <w:p w14:paraId="2385C743" w14:textId="77777777" w:rsidR="00470AE4" w:rsidRPr="00C63860" w:rsidRDefault="00470AE4" w:rsidP="00470AE4">
            <w:pPr>
              <w:contextualSpacing/>
              <w:rPr>
                <w:b w:val="0"/>
                <w:i/>
                <w:sz w:val="22"/>
                <w:szCs w:val="22"/>
              </w:rPr>
            </w:pPr>
            <w:r w:rsidRPr="00C63860">
              <w:rPr>
                <w:b w:val="0"/>
                <w:i/>
                <w:iCs/>
                <w:sz w:val="22"/>
                <w:szCs w:val="22"/>
              </w:rPr>
              <w:t>Overhead costs</w:t>
            </w:r>
          </w:p>
        </w:tc>
      </w:tr>
      <w:tr w:rsidR="00470AE4" w:rsidRPr="00C63860" w14:paraId="303A8D9B"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76484AE0" w14:textId="77777777" w:rsidR="00470AE4" w:rsidRPr="00C63860" w:rsidRDefault="00470AE4" w:rsidP="00470AE4">
            <w:pPr>
              <w:ind w:left="170"/>
              <w:contextualSpacing/>
              <w:rPr>
                <w:b w:val="0"/>
                <w:sz w:val="22"/>
                <w:szCs w:val="22"/>
              </w:rPr>
            </w:pPr>
            <w:r w:rsidRPr="00C63860">
              <w:rPr>
                <w:b w:val="0"/>
                <w:sz w:val="22"/>
                <w:szCs w:val="22"/>
              </w:rPr>
              <w:t>Operating room</w:t>
            </w:r>
          </w:p>
        </w:tc>
        <w:tc>
          <w:tcPr>
            <w:tcW w:w="0" w:type="auto"/>
            <w:tcBorders>
              <w:top w:val="none" w:sz="0" w:space="0" w:color="auto"/>
              <w:bottom w:val="none" w:sz="0" w:space="0" w:color="auto"/>
            </w:tcBorders>
            <w:shd w:val="clear" w:color="auto" w:fill="auto"/>
            <w:vAlign w:val="center"/>
          </w:tcPr>
          <w:p w14:paraId="4E6D6C4F"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Minute</w:t>
            </w:r>
          </w:p>
        </w:tc>
        <w:tc>
          <w:tcPr>
            <w:tcW w:w="0" w:type="auto"/>
            <w:tcBorders>
              <w:top w:val="none" w:sz="0" w:space="0" w:color="auto"/>
              <w:bottom w:val="none" w:sz="0" w:space="0" w:color="auto"/>
            </w:tcBorders>
            <w:shd w:val="clear" w:color="auto" w:fill="auto"/>
            <w:vAlign w:val="center"/>
          </w:tcPr>
          <w:p w14:paraId="56E0F321"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5.4</w:t>
            </w:r>
          </w:p>
        </w:tc>
        <w:tc>
          <w:tcPr>
            <w:tcW w:w="0" w:type="auto"/>
            <w:tcBorders>
              <w:top w:val="none" w:sz="0" w:space="0" w:color="auto"/>
              <w:bottom w:val="none" w:sz="0" w:space="0" w:color="auto"/>
            </w:tcBorders>
            <w:shd w:val="clear" w:color="auto" w:fill="auto"/>
            <w:vAlign w:val="center"/>
          </w:tcPr>
          <w:p w14:paraId="0EDC306D" w14:textId="7CB26988"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Includes direct drug and CSSD costs as well allocated costs (other staff; property and equipment maintenance; domestics and cleaning; heat, light and power; rent and rates; purchases of furniture, fittings and equipment (non-capital charge) and others). Weighted average of 43 hospitals in Scotland.</w:t>
            </w:r>
            <w:r w:rsidRPr="00C63860">
              <w:rPr>
                <w:noProof/>
                <w:sz w:val="22"/>
                <w:szCs w:val="22"/>
                <w:vertAlign w:val="superscript"/>
              </w:rPr>
              <w:t>79</w:t>
            </w:r>
          </w:p>
        </w:tc>
      </w:tr>
      <w:tr w:rsidR="00470AE4" w:rsidRPr="00C63860" w14:paraId="1AAAF9D6"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gridSpan w:val="4"/>
            <w:shd w:val="clear" w:color="auto" w:fill="auto"/>
            <w:vAlign w:val="center"/>
          </w:tcPr>
          <w:p w14:paraId="51573C23" w14:textId="77777777" w:rsidR="00470AE4" w:rsidRPr="00C63860" w:rsidRDefault="00470AE4" w:rsidP="00470AE4">
            <w:pPr>
              <w:contextualSpacing/>
              <w:rPr>
                <w:b w:val="0"/>
                <w:i/>
                <w:sz w:val="22"/>
                <w:szCs w:val="22"/>
              </w:rPr>
            </w:pPr>
            <w:r w:rsidRPr="00C63860">
              <w:rPr>
                <w:b w:val="0"/>
                <w:i/>
                <w:iCs/>
                <w:sz w:val="22"/>
                <w:szCs w:val="22"/>
              </w:rPr>
              <w:t>Reusable instruments and equipment</w:t>
            </w:r>
          </w:p>
        </w:tc>
      </w:tr>
      <w:tr w:rsidR="00470AE4" w:rsidRPr="00C63860" w14:paraId="45600DE5"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2C3F4888" w14:textId="77777777" w:rsidR="00470AE4" w:rsidRPr="00C63860" w:rsidRDefault="00470AE4" w:rsidP="00470AE4">
            <w:pPr>
              <w:ind w:left="170"/>
              <w:contextualSpacing/>
              <w:rPr>
                <w:b w:val="0"/>
                <w:sz w:val="22"/>
                <w:szCs w:val="22"/>
              </w:rPr>
            </w:pPr>
            <w:r w:rsidRPr="00C63860">
              <w:rPr>
                <w:b w:val="0"/>
                <w:sz w:val="22"/>
                <w:szCs w:val="22"/>
              </w:rPr>
              <w:t>Laparoscopic colorectal set</w:t>
            </w:r>
          </w:p>
        </w:tc>
        <w:tc>
          <w:tcPr>
            <w:tcW w:w="0" w:type="auto"/>
            <w:tcBorders>
              <w:top w:val="none" w:sz="0" w:space="0" w:color="auto"/>
              <w:bottom w:val="none" w:sz="0" w:space="0" w:color="auto"/>
            </w:tcBorders>
            <w:shd w:val="clear" w:color="auto" w:fill="auto"/>
            <w:vAlign w:val="center"/>
          </w:tcPr>
          <w:p w14:paraId="12CE4F51"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63860">
              <w:rPr>
                <w:sz w:val="22"/>
                <w:szCs w:val="22"/>
              </w:rPr>
              <w:t>Procedure</w:t>
            </w:r>
          </w:p>
        </w:tc>
        <w:tc>
          <w:tcPr>
            <w:tcW w:w="0" w:type="auto"/>
            <w:tcBorders>
              <w:top w:val="none" w:sz="0" w:space="0" w:color="auto"/>
              <w:bottom w:val="none" w:sz="0" w:space="0" w:color="auto"/>
            </w:tcBorders>
            <w:shd w:val="clear" w:color="auto" w:fill="auto"/>
            <w:vAlign w:val="center"/>
          </w:tcPr>
          <w:p w14:paraId="0FC59BF6"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39.2</w:t>
            </w:r>
          </w:p>
        </w:tc>
        <w:tc>
          <w:tcPr>
            <w:tcW w:w="0" w:type="auto"/>
            <w:tcBorders>
              <w:top w:val="none" w:sz="0" w:space="0" w:color="auto"/>
              <w:bottom w:val="none" w:sz="0" w:space="0" w:color="auto"/>
            </w:tcBorders>
            <w:shd w:val="clear" w:color="auto" w:fill="auto"/>
            <w:vAlign w:val="center"/>
          </w:tcPr>
          <w:p w14:paraId="2AFCF56D" w14:textId="6DAE767F"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 xml:space="preserve">Manufacturer. See </w:t>
            </w:r>
            <w:r w:rsidR="005764AC" w:rsidRPr="00C63860">
              <w:rPr>
                <w:sz w:val="22"/>
                <w:szCs w:val="22"/>
              </w:rPr>
              <w:t xml:space="preserve">Appendix 3, </w:t>
            </w:r>
            <w:r w:rsidR="00C63860" w:rsidRPr="00C63860">
              <w:rPr>
                <w:i/>
                <w:color w:val="FF0000"/>
                <w:sz w:val="22"/>
                <w:szCs w:val="22"/>
              </w:rPr>
              <w:t>Table 25</w:t>
            </w:r>
            <w:r w:rsidR="005764AC" w:rsidRPr="00C63860">
              <w:rPr>
                <w:sz w:val="22"/>
                <w:szCs w:val="22"/>
              </w:rPr>
              <w:t xml:space="preserve"> </w:t>
            </w:r>
            <w:r w:rsidRPr="00C63860">
              <w:rPr>
                <w:sz w:val="22"/>
                <w:szCs w:val="22"/>
              </w:rPr>
              <w:t>for full list of components. Total purchase cost is £3,112. Number of uses is 2,750. Final cost includes sterilisation cost following at £0.8 cost per instrument used</w:t>
            </w:r>
            <w:r w:rsidRPr="00C63860">
              <w:rPr>
                <w:noProof/>
                <w:sz w:val="22"/>
                <w:szCs w:val="22"/>
                <w:vertAlign w:val="superscript"/>
              </w:rPr>
              <w:t>80</w:t>
            </w:r>
          </w:p>
        </w:tc>
      </w:tr>
      <w:tr w:rsidR="00470AE4" w:rsidRPr="00C63860" w14:paraId="36F490D3"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1101E5FB" w14:textId="77777777" w:rsidR="00470AE4" w:rsidRPr="00C63860" w:rsidRDefault="00470AE4" w:rsidP="00470AE4">
            <w:pPr>
              <w:ind w:left="170"/>
              <w:contextualSpacing/>
              <w:rPr>
                <w:b w:val="0"/>
                <w:sz w:val="22"/>
                <w:szCs w:val="22"/>
              </w:rPr>
            </w:pPr>
            <w:r w:rsidRPr="00C63860">
              <w:rPr>
                <w:b w:val="0"/>
                <w:sz w:val="22"/>
                <w:szCs w:val="22"/>
              </w:rPr>
              <w:t>Main laparoscopic set</w:t>
            </w:r>
          </w:p>
        </w:tc>
        <w:tc>
          <w:tcPr>
            <w:tcW w:w="0" w:type="auto"/>
            <w:shd w:val="clear" w:color="auto" w:fill="auto"/>
            <w:vAlign w:val="center"/>
          </w:tcPr>
          <w:p w14:paraId="10E09538"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Procedure</w:t>
            </w:r>
          </w:p>
        </w:tc>
        <w:tc>
          <w:tcPr>
            <w:tcW w:w="0" w:type="auto"/>
            <w:shd w:val="clear" w:color="auto" w:fill="auto"/>
            <w:vAlign w:val="center"/>
          </w:tcPr>
          <w:p w14:paraId="12C94051"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36.8</w:t>
            </w:r>
          </w:p>
        </w:tc>
        <w:tc>
          <w:tcPr>
            <w:tcW w:w="0" w:type="auto"/>
            <w:shd w:val="clear" w:color="auto" w:fill="auto"/>
            <w:vAlign w:val="center"/>
          </w:tcPr>
          <w:p w14:paraId="4DB51507" w14:textId="5CF6C11D"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 xml:space="preserve">Manufacturer. See </w:t>
            </w:r>
            <w:r w:rsidR="005764AC" w:rsidRPr="00C63860">
              <w:rPr>
                <w:sz w:val="22"/>
                <w:szCs w:val="22"/>
              </w:rPr>
              <w:t xml:space="preserve">Appendix 3, </w:t>
            </w:r>
            <w:r w:rsidR="00C63860" w:rsidRPr="00C63860">
              <w:rPr>
                <w:i/>
                <w:color w:val="FF0000"/>
                <w:sz w:val="22"/>
                <w:szCs w:val="22"/>
              </w:rPr>
              <w:t>Table 25</w:t>
            </w:r>
            <w:r w:rsidR="005764AC" w:rsidRPr="00C63860">
              <w:rPr>
                <w:sz w:val="22"/>
                <w:szCs w:val="22"/>
              </w:rPr>
              <w:t xml:space="preserve"> </w:t>
            </w:r>
            <w:r w:rsidRPr="00C63860">
              <w:rPr>
                <w:sz w:val="22"/>
                <w:szCs w:val="22"/>
              </w:rPr>
              <w:t>for full list of components. Total purchase cost is £2,511. Assumed number of uses is 2,750. Final cost includes sterilisation cost following at £0.8 cost per instrument used</w:t>
            </w:r>
            <w:r w:rsidRPr="00C63860">
              <w:rPr>
                <w:noProof/>
                <w:sz w:val="22"/>
                <w:szCs w:val="22"/>
                <w:vertAlign w:val="superscript"/>
              </w:rPr>
              <w:t>80</w:t>
            </w:r>
          </w:p>
        </w:tc>
      </w:tr>
      <w:tr w:rsidR="00470AE4" w:rsidRPr="00C63860" w14:paraId="5A1A30F1"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5F64BBFA" w14:textId="77777777" w:rsidR="00470AE4" w:rsidRPr="00C63860" w:rsidRDefault="00470AE4" w:rsidP="00470AE4">
            <w:pPr>
              <w:ind w:left="170"/>
              <w:contextualSpacing/>
              <w:rPr>
                <w:b w:val="0"/>
                <w:sz w:val="22"/>
                <w:szCs w:val="22"/>
              </w:rPr>
            </w:pPr>
            <w:r w:rsidRPr="00C63860">
              <w:rPr>
                <w:b w:val="0"/>
                <w:sz w:val="22"/>
                <w:szCs w:val="22"/>
              </w:rPr>
              <w:t>Major general set</w:t>
            </w:r>
          </w:p>
        </w:tc>
        <w:tc>
          <w:tcPr>
            <w:tcW w:w="0" w:type="auto"/>
            <w:tcBorders>
              <w:top w:val="none" w:sz="0" w:space="0" w:color="auto"/>
              <w:bottom w:val="none" w:sz="0" w:space="0" w:color="auto"/>
            </w:tcBorders>
            <w:shd w:val="clear" w:color="auto" w:fill="auto"/>
            <w:vAlign w:val="center"/>
          </w:tcPr>
          <w:p w14:paraId="368C510B"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Procedure</w:t>
            </w:r>
          </w:p>
        </w:tc>
        <w:tc>
          <w:tcPr>
            <w:tcW w:w="0" w:type="auto"/>
            <w:tcBorders>
              <w:top w:val="none" w:sz="0" w:space="0" w:color="auto"/>
              <w:bottom w:val="none" w:sz="0" w:space="0" w:color="auto"/>
            </w:tcBorders>
            <w:shd w:val="clear" w:color="auto" w:fill="auto"/>
            <w:vAlign w:val="center"/>
          </w:tcPr>
          <w:p w14:paraId="400DEA10"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39.2</w:t>
            </w:r>
          </w:p>
        </w:tc>
        <w:tc>
          <w:tcPr>
            <w:tcW w:w="0" w:type="auto"/>
            <w:tcBorders>
              <w:top w:val="none" w:sz="0" w:space="0" w:color="auto"/>
              <w:bottom w:val="none" w:sz="0" w:space="0" w:color="auto"/>
            </w:tcBorders>
            <w:shd w:val="clear" w:color="auto" w:fill="auto"/>
            <w:vAlign w:val="center"/>
          </w:tcPr>
          <w:p w14:paraId="70D94432" w14:textId="72777965"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 xml:space="preserve">Manufacturer. See </w:t>
            </w:r>
            <w:r w:rsidR="005764AC" w:rsidRPr="00C63860">
              <w:rPr>
                <w:sz w:val="22"/>
                <w:szCs w:val="22"/>
              </w:rPr>
              <w:t xml:space="preserve">Appendix 3, </w:t>
            </w:r>
            <w:r w:rsidR="00C63860" w:rsidRPr="00C63860">
              <w:rPr>
                <w:i/>
                <w:color w:val="FF0000"/>
                <w:sz w:val="22"/>
                <w:szCs w:val="22"/>
              </w:rPr>
              <w:t>Table 25</w:t>
            </w:r>
            <w:r w:rsidR="005764AC" w:rsidRPr="00C63860">
              <w:rPr>
                <w:sz w:val="22"/>
                <w:szCs w:val="22"/>
              </w:rPr>
              <w:t xml:space="preserve"> </w:t>
            </w:r>
            <w:r w:rsidRPr="00C63860">
              <w:rPr>
                <w:sz w:val="22"/>
                <w:szCs w:val="22"/>
              </w:rPr>
              <w:t>for full list of components. Total purchase cost is £2,744. Assumed number of uses is 2,750. Final cost includes sterilisation cost following at £0.8 cost per instrument used</w:t>
            </w:r>
            <w:r w:rsidRPr="00C63860">
              <w:rPr>
                <w:noProof/>
                <w:sz w:val="22"/>
                <w:szCs w:val="22"/>
                <w:vertAlign w:val="superscript"/>
              </w:rPr>
              <w:t>80</w:t>
            </w:r>
          </w:p>
        </w:tc>
      </w:tr>
      <w:tr w:rsidR="00470AE4" w:rsidRPr="00C63860" w14:paraId="3EE6A6CE"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9D47447" w14:textId="77777777" w:rsidR="00470AE4" w:rsidRPr="00C63860" w:rsidRDefault="00470AE4" w:rsidP="00470AE4">
            <w:pPr>
              <w:ind w:left="170"/>
              <w:contextualSpacing/>
              <w:rPr>
                <w:b w:val="0"/>
                <w:sz w:val="22"/>
                <w:szCs w:val="22"/>
              </w:rPr>
            </w:pPr>
            <w:r w:rsidRPr="00C63860">
              <w:rPr>
                <w:b w:val="0"/>
                <w:sz w:val="22"/>
                <w:szCs w:val="22"/>
              </w:rPr>
              <w:t>Minor general set</w:t>
            </w:r>
          </w:p>
        </w:tc>
        <w:tc>
          <w:tcPr>
            <w:tcW w:w="0" w:type="auto"/>
            <w:shd w:val="clear" w:color="auto" w:fill="auto"/>
            <w:vAlign w:val="center"/>
          </w:tcPr>
          <w:p w14:paraId="267DA2C2"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Procedure</w:t>
            </w:r>
          </w:p>
        </w:tc>
        <w:tc>
          <w:tcPr>
            <w:tcW w:w="0" w:type="auto"/>
            <w:shd w:val="clear" w:color="auto" w:fill="auto"/>
            <w:vAlign w:val="center"/>
          </w:tcPr>
          <w:p w14:paraId="3CD9B396"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32.8</w:t>
            </w:r>
          </w:p>
        </w:tc>
        <w:tc>
          <w:tcPr>
            <w:tcW w:w="0" w:type="auto"/>
            <w:shd w:val="clear" w:color="auto" w:fill="auto"/>
            <w:vAlign w:val="center"/>
          </w:tcPr>
          <w:p w14:paraId="06CB436F" w14:textId="735494AB"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 xml:space="preserve">Manufacturer. See </w:t>
            </w:r>
            <w:r w:rsidR="005764AC" w:rsidRPr="00C63860">
              <w:rPr>
                <w:sz w:val="22"/>
                <w:szCs w:val="22"/>
              </w:rPr>
              <w:t xml:space="preserve">Appendix 3, </w:t>
            </w:r>
            <w:r w:rsidR="00C63860" w:rsidRPr="00C63860">
              <w:rPr>
                <w:i/>
                <w:color w:val="FF0000"/>
                <w:sz w:val="22"/>
                <w:szCs w:val="22"/>
              </w:rPr>
              <w:t>Table 25</w:t>
            </w:r>
            <w:r w:rsidR="005764AC" w:rsidRPr="00C63860">
              <w:rPr>
                <w:sz w:val="22"/>
                <w:szCs w:val="22"/>
              </w:rPr>
              <w:t xml:space="preserve"> </w:t>
            </w:r>
            <w:r w:rsidRPr="00C63860">
              <w:rPr>
                <w:sz w:val="22"/>
                <w:szCs w:val="22"/>
              </w:rPr>
              <w:t>for full list of components. Total purchase cost is £1,417. Assumed number of uses is 2,750. Final cost includes sterilisation cost following at £0.8 cost per instrument used</w:t>
            </w:r>
            <w:r w:rsidRPr="00C63860">
              <w:rPr>
                <w:noProof/>
                <w:sz w:val="22"/>
                <w:szCs w:val="22"/>
                <w:vertAlign w:val="superscript"/>
              </w:rPr>
              <w:t>80</w:t>
            </w:r>
          </w:p>
        </w:tc>
      </w:tr>
      <w:tr w:rsidR="00470AE4" w:rsidRPr="00C63860" w14:paraId="60319246"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319A107E" w14:textId="77777777" w:rsidR="00470AE4" w:rsidRPr="00C63860" w:rsidRDefault="00470AE4" w:rsidP="00470AE4">
            <w:pPr>
              <w:ind w:left="170"/>
              <w:contextualSpacing/>
              <w:rPr>
                <w:b w:val="0"/>
                <w:sz w:val="22"/>
                <w:szCs w:val="22"/>
              </w:rPr>
            </w:pPr>
            <w:r w:rsidRPr="00C63860">
              <w:rPr>
                <w:b w:val="0"/>
                <w:sz w:val="22"/>
                <w:szCs w:val="22"/>
              </w:rPr>
              <w:t>Endoscopic polypectomy set</w:t>
            </w:r>
          </w:p>
        </w:tc>
        <w:tc>
          <w:tcPr>
            <w:tcW w:w="0" w:type="auto"/>
            <w:tcBorders>
              <w:top w:val="none" w:sz="0" w:space="0" w:color="auto"/>
              <w:bottom w:val="none" w:sz="0" w:space="0" w:color="auto"/>
            </w:tcBorders>
            <w:shd w:val="clear" w:color="auto" w:fill="auto"/>
            <w:vAlign w:val="center"/>
          </w:tcPr>
          <w:p w14:paraId="7E777B93"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Procedure</w:t>
            </w:r>
          </w:p>
        </w:tc>
        <w:tc>
          <w:tcPr>
            <w:tcW w:w="0" w:type="auto"/>
            <w:tcBorders>
              <w:top w:val="none" w:sz="0" w:space="0" w:color="auto"/>
              <w:bottom w:val="none" w:sz="0" w:space="0" w:color="auto"/>
            </w:tcBorders>
            <w:shd w:val="clear" w:color="auto" w:fill="auto"/>
            <w:vAlign w:val="center"/>
          </w:tcPr>
          <w:p w14:paraId="48CCB362"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16.2</w:t>
            </w:r>
          </w:p>
        </w:tc>
        <w:tc>
          <w:tcPr>
            <w:tcW w:w="0" w:type="auto"/>
            <w:tcBorders>
              <w:top w:val="none" w:sz="0" w:space="0" w:color="auto"/>
              <w:bottom w:val="none" w:sz="0" w:space="0" w:color="auto"/>
            </w:tcBorders>
            <w:shd w:val="clear" w:color="auto" w:fill="auto"/>
            <w:vAlign w:val="center"/>
          </w:tcPr>
          <w:p w14:paraId="700A8F8A" w14:textId="78170993"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Manufacturer. Includes endoscopic forceps, snare and endoscopic clips. Final cost includes sterilisation cost following at £0.8 cost per instrument used.</w:t>
            </w:r>
            <w:r w:rsidRPr="00C63860">
              <w:rPr>
                <w:noProof/>
                <w:sz w:val="22"/>
                <w:szCs w:val="22"/>
                <w:vertAlign w:val="superscript"/>
              </w:rPr>
              <w:t>80</w:t>
            </w:r>
            <w:r w:rsidRPr="00C63860">
              <w:rPr>
                <w:sz w:val="22"/>
                <w:szCs w:val="22"/>
              </w:rPr>
              <w:t xml:space="preserve"> Unit cost calculated assuming number of uses is 4400 (except for snare and clips which are assumed to be disposable).</w:t>
            </w:r>
          </w:p>
        </w:tc>
      </w:tr>
      <w:tr w:rsidR="00470AE4" w:rsidRPr="00C63860" w14:paraId="1137800A"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8C56C0E" w14:textId="77777777" w:rsidR="00470AE4" w:rsidRPr="00C63860" w:rsidRDefault="00470AE4" w:rsidP="00470AE4">
            <w:pPr>
              <w:ind w:left="170"/>
              <w:contextualSpacing/>
              <w:rPr>
                <w:b w:val="0"/>
                <w:sz w:val="22"/>
                <w:szCs w:val="22"/>
              </w:rPr>
            </w:pPr>
            <w:r w:rsidRPr="00C63860">
              <w:rPr>
                <w:b w:val="0"/>
                <w:sz w:val="22"/>
                <w:szCs w:val="22"/>
              </w:rPr>
              <w:t>Telescope and stack</w:t>
            </w:r>
          </w:p>
        </w:tc>
        <w:tc>
          <w:tcPr>
            <w:tcW w:w="0" w:type="auto"/>
            <w:shd w:val="clear" w:color="auto" w:fill="auto"/>
            <w:vAlign w:val="center"/>
          </w:tcPr>
          <w:p w14:paraId="78CF531D"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Procedure</w:t>
            </w:r>
          </w:p>
        </w:tc>
        <w:tc>
          <w:tcPr>
            <w:tcW w:w="0" w:type="auto"/>
            <w:shd w:val="clear" w:color="auto" w:fill="auto"/>
            <w:vAlign w:val="center"/>
          </w:tcPr>
          <w:p w14:paraId="44B46D4E"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15.2</w:t>
            </w:r>
          </w:p>
        </w:tc>
        <w:tc>
          <w:tcPr>
            <w:tcW w:w="0" w:type="auto"/>
            <w:shd w:val="clear" w:color="auto" w:fill="auto"/>
            <w:vAlign w:val="center"/>
          </w:tcPr>
          <w:p w14:paraId="58D22738" w14:textId="120428D9"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Manufacturer. Includes stack, scope (Precision ideal eyes 1</w:t>
            </w:r>
            <w:r w:rsidR="00C63860" w:rsidRPr="00C63860">
              <w:rPr>
                <w:color w:val="00B0F0"/>
                <w:sz w:val="22"/>
                <w:szCs w:val="22"/>
              </w:rPr>
              <w:t xml:space="preserve">0 mm </w:t>
            </w:r>
            <w:r w:rsidRPr="00C63860">
              <w:rPr>
                <w:sz w:val="22"/>
                <w:szCs w:val="22"/>
              </w:rPr>
              <w:t>30°, HD autoclavable Laparoscope 3</w:t>
            </w:r>
            <w:r w:rsidR="00C63860" w:rsidRPr="00C63860">
              <w:rPr>
                <w:color w:val="00B0F0"/>
                <w:sz w:val="22"/>
                <w:szCs w:val="22"/>
              </w:rPr>
              <w:t>3 cm)</w:t>
            </w:r>
            <w:r w:rsidRPr="00C63860">
              <w:rPr>
                <w:sz w:val="22"/>
                <w:szCs w:val="22"/>
              </w:rPr>
              <w:t>, tray and cable (fibreoptic cable 5.</w:t>
            </w:r>
            <w:r w:rsidR="00C63860" w:rsidRPr="00C63860">
              <w:rPr>
                <w:color w:val="00B0F0"/>
                <w:sz w:val="22"/>
                <w:szCs w:val="22"/>
              </w:rPr>
              <w:t xml:space="preserve">0 mm </w:t>
            </w:r>
            <w:r w:rsidRPr="00C63860">
              <w:rPr>
                <w:sz w:val="22"/>
                <w:szCs w:val="22"/>
              </w:rPr>
              <w:t>x 10 ft. (3.0</w:t>
            </w:r>
            <w:r w:rsidR="00C63860" w:rsidRPr="00C63860">
              <w:rPr>
                <w:color w:val="00B0F0"/>
                <w:sz w:val="22"/>
                <w:szCs w:val="22"/>
              </w:rPr>
              <w:t>5 m)</w:t>
            </w:r>
            <w:r w:rsidRPr="00C63860">
              <w:rPr>
                <w:sz w:val="22"/>
                <w:szCs w:val="22"/>
              </w:rPr>
              <w:t>). Purchase cost of stack and stack are £68,760 and £2,334, respectively. Unit cost calculated assuming expected number of uses is 4400.</w:t>
            </w:r>
          </w:p>
        </w:tc>
      </w:tr>
      <w:tr w:rsidR="00470AE4" w:rsidRPr="00C63860" w14:paraId="2DAE8FFB"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1937BA4E" w14:textId="77777777" w:rsidR="00470AE4" w:rsidRPr="00C63860" w:rsidRDefault="00470AE4" w:rsidP="00470AE4">
            <w:pPr>
              <w:ind w:left="170"/>
              <w:contextualSpacing/>
              <w:rPr>
                <w:b w:val="0"/>
                <w:sz w:val="22"/>
                <w:szCs w:val="22"/>
              </w:rPr>
            </w:pPr>
            <w:r w:rsidRPr="00C63860">
              <w:rPr>
                <w:b w:val="0"/>
                <w:sz w:val="22"/>
                <w:szCs w:val="22"/>
              </w:rPr>
              <w:t>Ultrasound system</w:t>
            </w:r>
          </w:p>
        </w:tc>
        <w:tc>
          <w:tcPr>
            <w:tcW w:w="0" w:type="auto"/>
            <w:tcBorders>
              <w:top w:val="none" w:sz="0" w:space="0" w:color="auto"/>
              <w:bottom w:val="none" w:sz="0" w:space="0" w:color="auto"/>
            </w:tcBorders>
            <w:shd w:val="clear" w:color="auto" w:fill="auto"/>
            <w:vAlign w:val="center"/>
          </w:tcPr>
          <w:p w14:paraId="09F2FE6F"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63860">
              <w:rPr>
                <w:sz w:val="22"/>
                <w:szCs w:val="22"/>
              </w:rPr>
              <w:t>Procedure</w:t>
            </w:r>
          </w:p>
        </w:tc>
        <w:tc>
          <w:tcPr>
            <w:tcW w:w="0" w:type="auto"/>
            <w:tcBorders>
              <w:top w:val="none" w:sz="0" w:space="0" w:color="auto"/>
              <w:bottom w:val="none" w:sz="0" w:space="0" w:color="auto"/>
            </w:tcBorders>
            <w:shd w:val="clear" w:color="auto" w:fill="auto"/>
            <w:vAlign w:val="center"/>
          </w:tcPr>
          <w:p w14:paraId="4A178F5D"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1.5</w:t>
            </w:r>
          </w:p>
        </w:tc>
        <w:tc>
          <w:tcPr>
            <w:tcW w:w="0" w:type="auto"/>
            <w:tcBorders>
              <w:top w:val="none" w:sz="0" w:space="0" w:color="auto"/>
              <w:bottom w:val="none" w:sz="0" w:space="0" w:color="auto"/>
            </w:tcBorders>
            <w:shd w:val="clear" w:color="auto" w:fill="auto"/>
            <w:vAlign w:val="center"/>
          </w:tcPr>
          <w:p w14:paraId="04E3AE9E" w14:textId="77777777"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Manufacturer. Purchase cost of ultrasound system is £7,132. Unit cost calculated assuming expected number of uses is 4400.</w:t>
            </w:r>
          </w:p>
        </w:tc>
      </w:tr>
      <w:tr w:rsidR="00470AE4" w:rsidRPr="00C63860" w14:paraId="691E54CE"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gridSpan w:val="4"/>
            <w:shd w:val="clear" w:color="auto" w:fill="auto"/>
            <w:vAlign w:val="center"/>
          </w:tcPr>
          <w:p w14:paraId="1CD66CF3" w14:textId="77777777" w:rsidR="00470AE4" w:rsidRPr="00C63860" w:rsidRDefault="00470AE4" w:rsidP="00470AE4">
            <w:pPr>
              <w:contextualSpacing/>
              <w:rPr>
                <w:b w:val="0"/>
                <w:i/>
                <w:sz w:val="22"/>
                <w:szCs w:val="22"/>
              </w:rPr>
            </w:pPr>
            <w:r w:rsidRPr="00C63860">
              <w:rPr>
                <w:b w:val="0"/>
                <w:i/>
                <w:iCs/>
                <w:sz w:val="22"/>
                <w:szCs w:val="22"/>
              </w:rPr>
              <w:t>Disposables</w:t>
            </w:r>
          </w:p>
        </w:tc>
      </w:tr>
      <w:tr w:rsidR="00470AE4" w:rsidRPr="00C63860" w14:paraId="502F88DB"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4BA85B52" w14:textId="77777777" w:rsidR="00470AE4" w:rsidRPr="00C63860" w:rsidRDefault="00470AE4" w:rsidP="00470AE4">
            <w:pPr>
              <w:ind w:left="170"/>
              <w:contextualSpacing/>
              <w:rPr>
                <w:b w:val="0"/>
                <w:sz w:val="22"/>
                <w:szCs w:val="22"/>
              </w:rPr>
            </w:pPr>
            <w:r w:rsidRPr="00C63860">
              <w:rPr>
                <w:b w:val="0"/>
                <w:sz w:val="22"/>
                <w:szCs w:val="22"/>
              </w:rPr>
              <w:t>Laparoscopic linear stapler</w:t>
            </w:r>
          </w:p>
        </w:tc>
        <w:tc>
          <w:tcPr>
            <w:tcW w:w="0" w:type="auto"/>
            <w:tcBorders>
              <w:top w:val="none" w:sz="0" w:space="0" w:color="auto"/>
              <w:bottom w:val="none" w:sz="0" w:space="0" w:color="auto"/>
            </w:tcBorders>
            <w:shd w:val="clear" w:color="auto" w:fill="auto"/>
            <w:vAlign w:val="center"/>
          </w:tcPr>
          <w:p w14:paraId="14C435A1"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63860">
              <w:rPr>
                <w:sz w:val="22"/>
                <w:szCs w:val="22"/>
              </w:rPr>
              <w:t>Procedure</w:t>
            </w:r>
          </w:p>
        </w:tc>
        <w:tc>
          <w:tcPr>
            <w:tcW w:w="0" w:type="auto"/>
            <w:tcBorders>
              <w:top w:val="none" w:sz="0" w:space="0" w:color="auto"/>
              <w:bottom w:val="none" w:sz="0" w:space="0" w:color="auto"/>
            </w:tcBorders>
            <w:shd w:val="clear" w:color="auto" w:fill="auto"/>
            <w:vAlign w:val="center"/>
          </w:tcPr>
          <w:p w14:paraId="464A16FD"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63860">
              <w:rPr>
                <w:sz w:val="22"/>
                <w:szCs w:val="22"/>
              </w:rPr>
              <w:t>262</w:t>
            </w:r>
          </w:p>
        </w:tc>
        <w:tc>
          <w:tcPr>
            <w:tcW w:w="0" w:type="auto"/>
            <w:tcBorders>
              <w:top w:val="none" w:sz="0" w:space="0" w:color="auto"/>
              <w:bottom w:val="none" w:sz="0" w:space="0" w:color="auto"/>
            </w:tcBorders>
            <w:shd w:val="clear" w:color="auto" w:fill="auto"/>
            <w:vAlign w:val="center"/>
          </w:tcPr>
          <w:p w14:paraId="2360B5EA" w14:textId="21ADDE0B"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Manufacturer. Linear Cutter 7</w:t>
            </w:r>
            <w:r w:rsidR="00C63860" w:rsidRPr="00C63860">
              <w:rPr>
                <w:color w:val="00B0F0"/>
                <w:sz w:val="22"/>
                <w:szCs w:val="22"/>
              </w:rPr>
              <w:t>5 mm.</w:t>
            </w:r>
            <w:r w:rsidRPr="00C63860">
              <w:rPr>
                <w:sz w:val="22"/>
                <w:szCs w:val="22"/>
              </w:rPr>
              <w:t xml:space="preserve"> 1 is assumed to be used per procedure.</w:t>
            </w:r>
          </w:p>
        </w:tc>
      </w:tr>
      <w:tr w:rsidR="00470AE4" w:rsidRPr="00C63860" w14:paraId="6FA35B97"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AA211E6" w14:textId="77777777" w:rsidR="00470AE4" w:rsidRPr="00C63860" w:rsidRDefault="00470AE4" w:rsidP="00470AE4">
            <w:pPr>
              <w:ind w:left="170"/>
              <w:contextualSpacing/>
              <w:rPr>
                <w:b w:val="0"/>
                <w:sz w:val="22"/>
                <w:szCs w:val="22"/>
              </w:rPr>
            </w:pPr>
            <w:r w:rsidRPr="00C63860">
              <w:rPr>
                <w:b w:val="0"/>
                <w:sz w:val="22"/>
                <w:szCs w:val="22"/>
              </w:rPr>
              <w:t>Stapler reload</w:t>
            </w:r>
          </w:p>
        </w:tc>
        <w:tc>
          <w:tcPr>
            <w:tcW w:w="0" w:type="auto"/>
            <w:shd w:val="clear" w:color="auto" w:fill="auto"/>
            <w:vAlign w:val="center"/>
          </w:tcPr>
          <w:p w14:paraId="46958450"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63860">
              <w:rPr>
                <w:sz w:val="22"/>
                <w:szCs w:val="22"/>
              </w:rPr>
              <w:t>Procedure</w:t>
            </w:r>
          </w:p>
        </w:tc>
        <w:tc>
          <w:tcPr>
            <w:tcW w:w="0" w:type="auto"/>
            <w:shd w:val="clear" w:color="auto" w:fill="auto"/>
            <w:vAlign w:val="center"/>
          </w:tcPr>
          <w:p w14:paraId="7101D025"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36.5</w:t>
            </w:r>
          </w:p>
        </w:tc>
        <w:tc>
          <w:tcPr>
            <w:tcW w:w="0" w:type="auto"/>
            <w:shd w:val="clear" w:color="auto" w:fill="auto"/>
            <w:vAlign w:val="center"/>
          </w:tcPr>
          <w:p w14:paraId="6D9B0889" w14:textId="76A4D428"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Manufacturer. Reload linear cutter, blue, 7</w:t>
            </w:r>
            <w:r w:rsidR="00C63860" w:rsidRPr="00C63860">
              <w:rPr>
                <w:color w:val="00B0F0"/>
                <w:sz w:val="22"/>
                <w:szCs w:val="22"/>
              </w:rPr>
              <w:t>5 mm.</w:t>
            </w:r>
            <w:r w:rsidRPr="00C63860">
              <w:rPr>
                <w:sz w:val="22"/>
                <w:szCs w:val="22"/>
              </w:rPr>
              <w:t xml:space="preserve"> Purchase cost of £465.61 per box of 12. 1 is assumed to be used per procedure.</w:t>
            </w:r>
          </w:p>
        </w:tc>
      </w:tr>
      <w:tr w:rsidR="00470AE4" w:rsidRPr="00C63860" w14:paraId="2F698B8C"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68FD9861" w14:textId="77777777" w:rsidR="00470AE4" w:rsidRPr="00C63860" w:rsidRDefault="00470AE4" w:rsidP="00470AE4">
            <w:pPr>
              <w:ind w:left="170"/>
              <w:contextualSpacing/>
              <w:rPr>
                <w:b w:val="0"/>
                <w:sz w:val="22"/>
                <w:szCs w:val="22"/>
              </w:rPr>
            </w:pPr>
            <w:r w:rsidRPr="00C63860">
              <w:rPr>
                <w:b w:val="0"/>
                <w:sz w:val="22"/>
                <w:szCs w:val="22"/>
              </w:rPr>
              <w:t>Endoloop ligature</w:t>
            </w:r>
          </w:p>
        </w:tc>
        <w:tc>
          <w:tcPr>
            <w:tcW w:w="0" w:type="auto"/>
            <w:tcBorders>
              <w:top w:val="none" w:sz="0" w:space="0" w:color="auto"/>
              <w:bottom w:val="none" w:sz="0" w:space="0" w:color="auto"/>
            </w:tcBorders>
            <w:shd w:val="clear" w:color="auto" w:fill="auto"/>
            <w:vAlign w:val="center"/>
          </w:tcPr>
          <w:p w14:paraId="63CBAA10"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Procedure</w:t>
            </w:r>
          </w:p>
        </w:tc>
        <w:tc>
          <w:tcPr>
            <w:tcW w:w="0" w:type="auto"/>
            <w:tcBorders>
              <w:top w:val="none" w:sz="0" w:space="0" w:color="auto"/>
              <w:bottom w:val="none" w:sz="0" w:space="0" w:color="auto"/>
            </w:tcBorders>
            <w:shd w:val="clear" w:color="auto" w:fill="auto"/>
            <w:vAlign w:val="center"/>
          </w:tcPr>
          <w:p w14:paraId="17480613"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56.9</w:t>
            </w:r>
          </w:p>
        </w:tc>
        <w:tc>
          <w:tcPr>
            <w:tcW w:w="0" w:type="auto"/>
            <w:tcBorders>
              <w:top w:val="none" w:sz="0" w:space="0" w:color="auto"/>
              <w:bottom w:val="none" w:sz="0" w:space="0" w:color="auto"/>
            </w:tcBorders>
            <w:shd w:val="clear" w:color="auto" w:fill="auto"/>
            <w:vAlign w:val="center"/>
          </w:tcPr>
          <w:p w14:paraId="411DCDB6" w14:textId="0CF1D9CA"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Manufacturer. Endoloop Ethicon. 3 are</w:t>
            </w:r>
            <w:r w:rsidRPr="00C63860">
              <w:rPr>
                <w:sz w:val="22"/>
                <w:szCs w:val="22"/>
              </w:rPr>
              <w:t xml:space="preserve"> assumed to be used per procedure</w:t>
            </w:r>
            <w:r w:rsidRPr="00C63860">
              <w:rPr>
                <w:noProof/>
                <w:sz w:val="22"/>
                <w:szCs w:val="22"/>
                <w:vertAlign w:val="superscript"/>
              </w:rPr>
              <w:t>133</w:t>
            </w:r>
          </w:p>
        </w:tc>
      </w:tr>
      <w:tr w:rsidR="00470AE4" w:rsidRPr="00C63860" w14:paraId="3704875A"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7F1B37D2" w14:textId="77777777" w:rsidR="00470AE4" w:rsidRPr="00C63860" w:rsidRDefault="00470AE4" w:rsidP="00470AE4">
            <w:pPr>
              <w:ind w:left="170"/>
              <w:contextualSpacing/>
              <w:rPr>
                <w:b w:val="0"/>
                <w:sz w:val="22"/>
                <w:szCs w:val="22"/>
              </w:rPr>
            </w:pPr>
            <w:r w:rsidRPr="00C63860">
              <w:rPr>
                <w:b w:val="0"/>
                <w:sz w:val="22"/>
                <w:szCs w:val="22"/>
              </w:rPr>
              <w:t>Biosynthetic mesh</w:t>
            </w:r>
          </w:p>
        </w:tc>
        <w:tc>
          <w:tcPr>
            <w:tcW w:w="0" w:type="auto"/>
            <w:shd w:val="clear" w:color="auto" w:fill="auto"/>
            <w:vAlign w:val="center"/>
          </w:tcPr>
          <w:p w14:paraId="52397BCF"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Procedure</w:t>
            </w:r>
          </w:p>
        </w:tc>
        <w:tc>
          <w:tcPr>
            <w:tcW w:w="0" w:type="auto"/>
            <w:shd w:val="clear" w:color="auto" w:fill="auto"/>
            <w:vAlign w:val="center"/>
          </w:tcPr>
          <w:p w14:paraId="024F8C3E"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61.1</w:t>
            </w:r>
          </w:p>
        </w:tc>
        <w:tc>
          <w:tcPr>
            <w:tcW w:w="0" w:type="auto"/>
            <w:shd w:val="clear" w:color="auto" w:fill="auto"/>
            <w:vAlign w:val="center"/>
          </w:tcPr>
          <w:p w14:paraId="40C3EA69" w14:textId="4AB296C6" w:rsidR="00470AE4" w:rsidRPr="00C63860" w:rsidRDefault="00470AE4" w:rsidP="00470AE4">
            <w:pPr>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highlight w:val="yellow"/>
              </w:rPr>
            </w:pPr>
            <w:r w:rsidRPr="00C63860">
              <w:rPr>
                <w:rFonts w:asciiTheme="minorHAnsi" w:hAnsiTheme="minorHAnsi" w:cstheme="minorHAnsi"/>
                <w:sz w:val="22"/>
                <w:szCs w:val="22"/>
              </w:rPr>
              <w:t>Manufacturer. Sutumed Polipropilene Non-absorbable Hernia Mesh 12</w:t>
            </w:r>
            <w:r w:rsidR="00C63860" w:rsidRPr="00C63860">
              <w:rPr>
                <w:rFonts w:asciiTheme="minorHAnsi" w:hAnsiTheme="minorHAnsi" w:cstheme="minorHAnsi"/>
                <w:color w:val="00B0F0"/>
                <w:sz w:val="22"/>
                <w:szCs w:val="22"/>
              </w:rPr>
              <w:t>”</w:t>
            </w:r>
            <w:r w:rsidRPr="00C63860">
              <w:rPr>
                <w:rFonts w:asciiTheme="minorHAnsi" w:hAnsiTheme="minorHAnsi" w:cstheme="minorHAnsi"/>
                <w:sz w:val="22"/>
                <w:szCs w:val="22"/>
              </w:rPr>
              <w:t xml:space="preserve"> X 12</w:t>
            </w:r>
            <w:r w:rsidR="00C63860" w:rsidRPr="00C63860">
              <w:rPr>
                <w:rFonts w:asciiTheme="minorHAnsi" w:hAnsiTheme="minorHAnsi" w:cstheme="minorHAnsi"/>
                <w:color w:val="00B0F0"/>
                <w:sz w:val="22"/>
                <w:szCs w:val="22"/>
              </w:rPr>
              <w:t>”</w:t>
            </w:r>
            <w:r w:rsidRPr="00C63860">
              <w:rPr>
                <w:rFonts w:asciiTheme="minorHAnsi" w:hAnsiTheme="minorHAnsi" w:cstheme="minorHAnsi"/>
                <w:sz w:val="22"/>
                <w:szCs w:val="22"/>
              </w:rPr>
              <w:t xml:space="preserve">. </w:t>
            </w:r>
            <w:r w:rsidRPr="00C63860">
              <w:rPr>
                <w:sz w:val="22"/>
                <w:szCs w:val="22"/>
              </w:rPr>
              <w:t>1 is assumed to be used per procedure.</w:t>
            </w:r>
          </w:p>
        </w:tc>
      </w:tr>
      <w:tr w:rsidR="00470AE4" w:rsidRPr="00C63860" w14:paraId="1FB5FA5B"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vAlign w:val="center"/>
          </w:tcPr>
          <w:p w14:paraId="43C963EF" w14:textId="77777777" w:rsidR="00470AE4" w:rsidRPr="00C63860" w:rsidRDefault="00470AE4" w:rsidP="00470AE4">
            <w:pPr>
              <w:ind w:left="170"/>
              <w:contextualSpacing/>
              <w:rPr>
                <w:b w:val="0"/>
                <w:sz w:val="22"/>
                <w:szCs w:val="22"/>
              </w:rPr>
            </w:pPr>
            <w:r w:rsidRPr="00C63860">
              <w:rPr>
                <w:b w:val="0"/>
                <w:sz w:val="22"/>
                <w:szCs w:val="22"/>
              </w:rPr>
              <w:t>Abdominal drain set</w:t>
            </w:r>
          </w:p>
        </w:tc>
        <w:tc>
          <w:tcPr>
            <w:tcW w:w="0" w:type="auto"/>
            <w:tcBorders>
              <w:top w:val="none" w:sz="0" w:space="0" w:color="auto"/>
              <w:bottom w:val="none" w:sz="0" w:space="0" w:color="auto"/>
            </w:tcBorders>
            <w:shd w:val="clear" w:color="auto" w:fill="auto"/>
            <w:vAlign w:val="center"/>
          </w:tcPr>
          <w:p w14:paraId="200B924E"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63860">
              <w:rPr>
                <w:sz w:val="22"/>
                <w:szCs w:val="22"/>
              </w:rPr>
              <w:t>Procedure</w:t>
            </w:r>
          </w:p>
        </w:tc>
        <w:tc>
          <w:tcPr>
            <w:tcW w:w="0" w:type="auto"/>
            <w:tcBorders>
              <w:top w:val="none" w:sz="0" w:space="0" w:color="auto"/>
              <w:bottom w:val="none" w:sz="0" w:space="0" w:color="auto"/>
            </w:tcBorders>
            <w:shd w:val="clear" w:color="auto" w:fill="auto"/>
            <w:vAlign w:val="center"/>
          </w:tcPr>
          <w:p w14:paraId="76F882F0" w14:textId="77777777" w:rsidR="00470AE4" w:rsidRPr="00C63860"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18.2</w:t>
            </w:r>
          </w:p>
        </w:tc>
        <w:tc>
          <w:tcPr>
            <w:tcW w:w="0" w:type="auto"/>
            <w:tcBorders>
              <w:top w:val="none" w:sz="0" w:space="0" w:color="auto"/>
              <w:bottom w:val="none" w:sz="0" w:space="0" w:color="auto"/>
            </w:tcBorders>
            <w:shd w:val="clear" w:color="auto" w:fill="auto"/>
            <w:vAlign w:val="center"/>
          </w:tcPr>
          <w:p w14:paraId="36C431C4" w14:textId="77777777" w:rsidR="00470AE4" w:rsidRPr="00C63860"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63860">
              <w:rPr>
                <w:sz w:val="22"/>
                <w:szCs w:val="22"/>
              </w:rPr>
              <w:t>Manufacturer. Set includes 1000mL drainage bag, catheter valve cap, slide clamp, tape strips and wipe. Purchase cost £36.5 per box of 2.</w:t>
            </w:r>
          </w:p>
        </w:tc>
      </w:tr>
      <w:tr w:rsidR="00470AE4" w:rsidRPr="00C63860" w14:paraId="2D78DBC9"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35239D8" w14:textId="77777777" w:rsidR="00470AE4" w:rsidRPr="00C63860" w:rsidRDefault="00470AE4" w:rsidP="00470AE4">
            <w:pPr>
              <w:ind w:left="170"/>
              <w:contextualSpacing/>
              <w:rPr>
                <w:b w:val="0"/>
                <w:sz w:val="22"/>
                <w:szCs w:val="22"/>
              </w:rPr>
            </w:pPr>
            <w:r w:rsidRPr="00C63860">
              <w:rPr>
                <w:b w:val="0"/>
                <w:sz w:val="22"/>
                <w:szCs w:val="22"/>
              </w:rPr>
              <w:t>Foyle catheterisation kit</w:t>
            </w:r>
          </w:p>
        </w:tc>
        <w:tc>
          <w:tcPr>
            <w:tcW w:w="0" w:type="auto"/>
            <w:shd w:val="clear" w:color="auto" w:fill="auto"/>
            <w:vAlign w:val="center"/>
          </w:tcPr>
          <w:p w14:paraId="2481E392"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63860">
              <w:rPr>
                <w:sz w:val="22"/>
                <w:szCs w:val="22"/>
              </w:rPr>
              <w:t>Procedure</w:t>
            </w:r>
          </w:p>
        </w:tc>
        <w:tc>
          <w:tcPr>
            <w:tcW w:w="0" w:type="auto"/>
            <w:shd w:val="clear" w:color="auto" w:fill="auto"/>
            <w:vAlign w:val="center"/>
          </w:tcPr>
          <w:p w14:paraId="2604122F" w14:textId="77777777" w:rsidR="00470AE4" w:rsidRPr="00C63860"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9.4</w:t>
            </w:r>
          </w:p>
        </w:tc>
        <w:tc>
          <w:tcPr>
            <w:tcW w:w="0" w:type="auto"/>
            <w:shd w:val="clear" w:color="auto" w:fill="auto"/>
            <w:vAlign w:val="center"/>
          </w:tcPr>
          <w:p w14:paraId="053A6D1E" w14:textId="72C39DBB" w:rsidR="00470AE4" w:rsidRPr="00C63860" w:rsidRDefault="00470AE4" w:rsidP="00470AE4">
            <w:pPr>
              <w:cnfStyle w:val="000000000000" w:firstRow="0" w:lastRow="0" w:firstColumn="0" w:lastColumn="0" w:oddVBand="0" w:evenVBand="0" w:oddHBand="0" w:evenHBand="0" w:firstRowFirstColumn="0" w:firstRowLastColumn="0" w:lastRowFirstColumn="0" w:lastRowLastColumn="0"/>
              <w:rPr>
                <w:sz w:val="22"/>
                <w:szCs w:val="22"/>
              </w:rPr>
            </w:pPr>
            <w:r w:rsidRPr="00C63860">
              <w:rPr>
                <w:sz w:val="22"/>
                <w:szCs w:val="22"/>
              </w:rPr>
              <w:t>Manufacturer. Catheterisation Set 16fr Foley and extras. Includes a 16fr Foley catheter, a 50</w:t>
            </w:r>
            <w:r w:rsidR="00C63860" w:rsidRPr="00C63860">
              <w:rPr>
                <w:color w:val="00B0F0"/>
                <w:sz w:val="22"/>
                <w:szCs w:val="22"/>
              </w:rPr>
              <w:t xml:space="preserve">0 ml </w:t>
            </w:r>
            <w:r w:rsidRPr="00C63860">
              <w:rPr>
                <w:sz w:val="22"/>
                <w:szCs w:val="22"/>
              </w:rPr>
              <w:t>leg-bag, 200</w:t>
            </w:r>
            <w:r w:rsidR="00C63860" w:rsidRPr="00C63860">
              <w:rPr>
                <w:color w:val="00B0F0"/>
                <w:sz w:val="22"/>
                <w:szCs w:val="22"/>
              </w:rPr>
              <w:t xml:space="preserve">0 ml </w:t>
            </w:r>
            <w:r w:rsidRPr="00C63860">
              <w:rPr>
                <w:sz w:val="22"/>
                <w:szCs w:val="22"/>
              </w:rPr>
              <w:t>bedside drainage bag, sterile syringe and lube.</w:t>
            </w:r>
          </w:p>
        </w:tc>
      </w:tr>
    </w:tbl>
    <w:p w14:paraId="368499C6" w14:textId="77777777" w:rsidR="00C63860" w:rsidRPr="00C63860" w:rsidRDefault="00470AE4" w:rsidP="00470AE4">
      <w:pPr>
        <w:spacing w:after="160" w:line="259" w:lineRule="auto"/>
        <w:rPr>
          <w:rFonts w:asciiTheme="minorHAnsi" w:hAnsiTheme="minorHAnsi"/>
          <w:b/>
        </w:rPr>
      </w:pPr>
      <w:r w:rsidRPr="00C63860">
        <w:rPr>
          <w:rFonts w:asciiTheme="minorHAnsi" w:hAnsiTheme="minorHAnsi"/>
        </w:rPr>
        <w:t xml:space="preserve">CSSD: </w:t>
      </w:r>
      <w:r w:rsidRPr="00C63860">
        <w:t>Central sterile services department,</w:t>
      </w:r>
      <w:r w:rsidRPr="00C63860">
        <w:rPr>
          <w:rFonts w:asciiTheme="minorHAnsi" w:hAnsiTheme="minorHAnsi"/>
        </w:rPr>
        <w:t xml:space="preserve"> ICU: intensive care unit, NHS: National Health Service.</w:t>
      </w:r>
    </w:p>
    <w:p w14:paraId="4DD19B23" w14:textId="02EDEA94" w:rsidR="00AB2073" w:rsidRPr="00C63860" w:rsidRDefault="00C63860" w:rsidP="00AB2073">
      <w:pPr>
        <w:pStyle w:val="Caption"/>
        <w:rPr>
          <w:rFonts w:asciiTheme="minorHAnsi" w:hAnsiTheme="minorHAnsi"/>
          <w:b/>
          <w:bCs/>
          <w:color w:val="auto"/>
          <w:sz w:val="22"/>
          <w:szCs w:val="22"/>
        </w:rPr>
      </w:pPr>
      <w:bookmarkStart w:id="112" w:name="_Toc86670797"/>
      <w:r w:rsidRPr="00C63860">
        <w:rPr>
          <w:b/>
          <w:bCs/>
          <w:color w:val="FF0000"/>
          <w:sz w:val="22"/>
          <w:szCs w:val="22"/>
        </w:rPr>
        <w:t xml:space="preserve">Table </w:t>
      </w:r>
      <w:r w:rsidRPr="00C63860">
        <w:rPr>
          <w:b/>
          <w:bCs/>
          <w:noProof/>
          <w:color w:val="FF0000"/>
          <w:sz w:val="22"/>
          <w:szCs w:val="22"/>
        </w:rPr>
        <w:t>25</w:t>
      </w:r>
      <w:r w:rsidR="00AB2073" w:rsidRPr="00C63860">
        <w:rPr>
          <w:b/>
          <w:bCs/>
          <w:color w:val="auto"/>
          <w:sz w:val="22"/>
          <w:szCs w:val="22"/>
        </w:rPr>
        <w:t>: Full list of components of surgical sets considered in cost analysis</w:t>
      </w:r>
      <w:bookmarkEnd w:id="112"/>
    </w:p>
    <w:tbl>
      <w:tblPr>
        <w:tblStyle w:val="PlainTable2"/>
        <w:tblW w:w="0" w:type="auto"/>
        <w:tblBorders>
          <w:top w:val="none" w:sz="0" w:space="0" w:color="auto"/>
          <w:bottom w:val="none" w:sz="0" w:space="0" w:color="auto"/>
        </w:tblBorders>
        <w:tblCellMar>
          <w:top w:w="40" w:type="dxa"/>
          <w:left w:w="60" w:type="dxa"/>
          <w:bottom w:w="40" w:type="dxa"/>
          <w:right w:w="60" w:type="dxa"/>
        </w:tblCellMar>
        <w:tblLook w:val="04A0" w:firstRow="1" w:lastRow="0" w:firstColumn="1" w:lastColumn="0" w:noHBand="0" w:noVBand="1"/>
      </w:tblPr>
      <w:tblGrid>
        <w:gridCol w:w="2342"/>
        <w:gridCol w:w="2424"/>
        <w:gridCol w:w="2298"/>
        <w:gridCol w:w="1962"/>
      </w:tblGrid>
      <w:tr w:rsidR="00470AE4" w:rsidRPr="00C63860" w14:paraId="1E744187" w14:textId="77777777" w:rsidTr="00C6386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shd w:val="clear" w:color="auto" w:fill="auto"/>
          </w:tcPr>
          <w:p w14:paraId="215E35E3" w14:textId="77777777" w:rsidR="00470AE4" w:rsidRPr="00C63860" w:rsidRDefault="00470AE4" w:rsidP="00470AE4">
            <w:pPr>
              <w:spacing w:after="160" w:line="259" w:lineRule="auto"/>
              <w:contextualSpacing/>
              <w:jc w:val="center"/>
              <w:rPr>
                <w:rFonts w:asciiTheme="minorHAnsi" w:hAnsiTheme="minorHAnsi"/>
                <w:sz w:val="22"/>
                <w:szCs w:val="22"/>
              </w:rPr>
            </w:pPr>
            <w:r w:rsidRPr="00C63860">
              <w:rPr>
                <w:rFonts w:asciiTheme="minorHAnsi" w:hAnsiTheme="minorHAnsi"/>
                <w:sz w:val="22"/>
                <w:szCs w:val="22"/>
              </w:rPr>
              <w:t>Laparoscopic colorectal set</w:t>
            </w:r>
          </w:p>
        </w:tc>
        <w:tc>
          <w:tcPr>
            <w:tcW w:w="0" w:type="auto"/>
            <w:tcBorders>
              <w:bottom w:val="none" w:sz="0" w:space="0" w:color="auto"/>
            </w:tcBorders>
            <w:shd w:val="clear" w:color="auto" w:fill="auto"/>
          </w:tcPr>
          <w:p w14:paraId="3645F964" w14:textId="77777777" w:rsidR="00470AE4" w:rsidRPr="00C63860" w:rsidRDefault="00470AE4" w:rsidP="00470AE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Main laparoscopic set</w:t>
            </w:r>
          </w:p>
        </w:tc>
        <w:tc>
          <w:tcPr>
            <w:tcW w:w="0" w:type="auto"/>
            <w:tcBorders>
              <w:bottom w:val="none" w:sz="0" w:space="0" w:color="auto"/>
            </w:tcBorders>
            <w:shd w:val="clear" w:color="auto" w:fill="auto"/>
          </w:tcPr>
          <w:p w14:paraId="357D4673" w14:textId="77777777" w:rsidR="00470AE4" w:rsidRPr="00C63860" w:rsidRDefault="00470AE4" w:rsidP="00470AE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Major general set</w:t>
            </w:r>
          </w:p>
        </w:tc>
        <w:tc>
          <w:tcPr>
            <w:tcW w:w="0" w:type="auto"/>
            <w:tcBorders>
              <w:bottom w:val="none" w:sz="0" w:space="0" w:color="auto"/>
            </w:tcBorders>
            <w:shd w:val="clear" w:color="auto" w:fill="auto"/>
          </w:tcPr>
          <w:p w14:paraId="22046A71" w14:textId="77777777" w:rsidR="00470AE4" w:rsidRPr="00C63860" w:rsidRDefault="00470AE4" w:rsidP="00470AE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Minor general set</w:t>
            </w:r>
          </w:p>
        </w:tc>
      </w:tr>
      <w:tr w:rsidR="00470AE4" w:rsidRPr="00C63860" w14:paraId="6C2C26B7"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6D028EAA"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Aesculap dorsey forcep 4 parts</w:t>
            </w:r>
          </w:p>
          <w:p w14:paraId="1627F98F"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Anti-tamper tags</w:t>
            </w:r>
          </w:p>
          <w:p w14:paraId="169DA8B6"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 xml:space="preserve">B </w:t>
            </w:r>
            <w:r w:rsidRPr="00C63860">
              <w:rPr>
                <w:rFonts w:asciiTheme="minorHAnsi" w:hAnsiTheme="minorHAnsi"/>
                <w:b w:val="0"/>
                <w:i/>
                <w:color w:val="00B0F0"/>
                <w:sz w:val="22"/>
                <w:szCs w:val="22"/>
              </w:rPr>
              <w:t>p</w:t>
            </w:r>
            <w:r w:rsidRPr="00C63860">
              <w:rPr>
                <w:rFonts w:asciiTheme="minorHAnsi" w:hAnsiTheme="minorHAnsi"/>
                <w:b w:val="0"/>
                <w:sz w:val="22"/>
                <w:szCs w:val="22"/>
              </w:rPr>
              <w:t xml:space="preserve"> handle no 3</w:t>
            </w:r>
          </w:p>
          <w:p w14:paraId="395E05B7"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 xml:space="preserve">B </w:t>
            </w:r>
            <w:r w:rsidRPr="00C63860">
              <w:rPr>
                <w:rFonts w:asciiTheme="minorHAnsi" w:hAnsiTheme="minorHAnsi"/>
                <w:b w:val="0"/>
                <w:i/>
                <w:color w:val="00B0F0"/>
                <w:sz w:val="22"/>
                <w:szCs w:val="22"/>
              </w:rPr>
              <w:t>p</w:t>
            </w:r>
            <w:r w:rsidRPr="00C63860">
              <w:rPr>
                <w:rFonts w:asciiTheme="minorHAnsi" w:hAnsiTheme="minorHAnsi"/>
                <w:b w:val="0"/>
                <w:sz w:val="22"/>
                <w:szCs w:val="22"/>
              </w:rPr>
              <w:t xml:space="preserve"> handle no 4</w:t>
            </w:r>
          </w:p>
          <w:p w14:paraId="670E0EC7"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Babcock tissue forcep long</w:t>
            </w:r>
          </w:p>
          <w:p w14:paraId="2159C535"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Babcock tissue forcep short</w:t>
            </w:r>
          </w:p>
          <w:p w14:paraId="0BEF3EB9"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Bottom tray</w:t>
            </w:r>
          </w:p>
          <w:p w14:paraId="74460915"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Container</w:t>
            </w:r>
          </w:p>
          <w:p w14:paraId="3DD76E94"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Container identification label</w:t>
            </w:r>
          </w:p>
          <w:p w14:paraId="0CB9F8AA"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Diathermy dissecting forcep mcindoe</w:t>
            </w:r>
          </w:p>
          <w:p w14:paraId="55853D84"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Diathermy quiver</w:t>
            </w:r>
          </w:p>
          <w:p w14:paraId="7395CDC9" w14:textId="3265E86B"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Diathermy quiver long</w:t>
            </w:r>
            <w:r w:rsidR="00C63860" w:rsidRPr="00C63860">
              <w:rPr>
                <w:rFonts w:asciiTheme="minorHAnsi" w:hAnsiTheme="minorHAnsi"/>
                <w:b w:val="0"/>
                <w:color w:val="00B0F0"/>
                <w:sz w:val="22"/>
                <w:szCs w:val="22"/>
              </w:rPr>
              <w:t>+</w:t>
            </w:r>
            <w:r w:rsidRPr="00C63860">
              <w:rPr>
                <w:rFonts w:asciiTheme="minorHAnsi" w:hAnsiTheme="minorHAnsi"/>
                <w:b w:val="0"/>
                <w:sz w:val="22"/>
                <w:szCs w:val="22"/>
                <w:highlight w:val="magenta"/>
              </w:rPr>
              <w:t>black</w:t>
            </w:r>
            <w:r w:rsidRPr="00C63860">
              <w:rPr>
                <w:rFonts w:asciiTheme="minorHAnsi" w:hAnsiTheme="minorHAnsi"/>
                <w:b w:val="0"/>
                <w:sz w:val="22"/>
                <w:szCs w:val="22"/>
              </w:rPr>
              <w:t xml:space="preserve"> end cap</w:t>
            </w:r>
          </w:p>
          <w:p w14:paraId="55049A3E" w14:textId="3552D70B"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Dissecting forcep debakey 6</w:t>
            </w:r>
            <w:r w:rsidR="00C63860" w:rsidRPr="00C63860">
              <w:rPr>
                <w:rFonts w:asciiTheme="minorHAnsi" w:hAnsiTheme="minorHAnsi"/>
                <w:b w:val="0"/>
                <w:color w:val="00B0F0"/>
                <w:sz w:val="22"/>
                <w:szCs w:val="22"/>
              </w:rPr>
              <w:t>”</w:t>
            </w:r>
          </w:p>
          <w:p w14:paraId="2C9E310A" w14:textId="06027611"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Dissecting forcep debakey 8</w:t>
            </w:r>
            <w:r w:rsidR="00C63860" w:rsidRPr="00C63860">
              <w:rPr>
                <w:rFonts w:asciiTheme="minorHAnsi" w:hAnsiTheme="minorHAnsi"/>
                <w:b w:val="0"/>
                <w:color w:val="00B0F0"/>
                <w:sz w:val="22"/>
                <w:szCs w:val="22"/>
              </w:rPr>
              <w:t>”</w:t>
            </w:r>
          </w:p>
          <w:p w14:paraId="4BCC116B"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Dissecting forcep gillies toothed</w:t>
            </w:r>
          </w:p>
          <w:p w14:paraId="6EC505F8"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Doyen intestinal clamp curved</w:t>
            </w:r>
          </w:p>
          <w:p w14:paraId="1782DB9B"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Dunhill artery forcep</w:t>
            </w:r>
          </w:p>
          <w:p w14:paraId="122F7AFD"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Dyball retractor</w:t>
            </w:r>
          </w:p>
          <w:p w14:paraId="428DFFCC"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Filter and retaining clip</w:t>
            </w:r>
          </w:p>
          <w:p w14:paraId="5C9AFE50" w14:textId="3E4B0D52"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Grasping forcep</w:t>
            </w:r>
            <w:r w:rsidR="00C63860" w:rsidRPr="00C63860">
              <w:rPr>
                <w:rFonts w:asciiTheme="minorHAnsi" w:hAnsiTheme="minorHAnsi"/>
                <w:b w:val="0"/>
                <w:color w:val="00B0F0"/>
                <w:sz w:val="22"/>
                <w:szCs w:val="22"/>
              </w:rPr>
              <w:t>+</w:t>
            </w:r>
            <w:r w:rsidRPr="00C63860">
              <w:rPr>
                <w:rFonts w:asciiTheme="minorHAnsi" w:hAnsiTheme="minorHAnsi"/>
                <w:b w:val="0"/>
                <w:sz w:val="22"/>
                <w:szCs w:val="22"/>
              </w:rPr>
              <w:t>ratchet with connector (pm 109)</w:t>
            </w:r>
          </w:p>
          <w:p w14:paraId="411B2EA9" w14:textId="17E7E11F"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Hasson 1</w:t>
            </w:r>
            <w:r w:rsidR="00C63860" w:rsidRPr="00C63860">
              <w:rPr>
                <w:rFonts w:asciiTheme="minorHAnsi" w:hAnsiTheme="minorHAnsi"/>
                <w:b w:val="0"/>
                <w:color w:val="00B0F0"/>
                <w:sz w:val="22"/>
                <w:szCs w:val="22"/>
              </w:rPr>
              <w:t xml:space="preserve">2 mm </w:t>
            </w:r>
            <w:r w:rsidRPr="00C63860">
              <w:rPr>
                <w:rFonts w:asciiTheme="minorHAnsi" w:hAnsiTheme="minorHAnsi"/>
                <w:b w:val="0"/>
                <w:sz w:val="22"/>
                <w:szCs w:val="22"/>
              </w:rPr>
              <w:t>(3 parts) ea12nh send disassembled</w:t>
            </w:r>
          </w:p>
          <w:p w14:paraId="4AD9DCF0"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Heiss artery forcep</w:t>
            </w:r>
          </w:p>
          <w:p w14:paraId="22FDD156"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Insulated hook with connector</w:t>
            </w:r>
          </w:p>
          <w:p w14:paraId="5F94E630" w14:textId="77777777" w:rsidR="00C63860" w:rsidRPr="00C63860" w:rsidRDefault="00470AE4" w:rsidP="00470AE4">
            <w:pPr>
              <w:spacing w:after="80" w:line="259" w:lineRule="auto"/>
              <w:jc w:val="center"/>
              <w:rPr>
                <w:rFonts w:asciiTheme="minorHAnsi" w:hAnsiTheme="minorHAnsi"/>
                <w:b w:val="0"/>
                <w:color w:val="00B0F0"/>
                <w:sz w:val="22"/>
                <w:szCs w:val="22"/>
              </w:rPr>
            </w:pPr>
            <w:r w:rsidRPr="00C63860">
              <w:rPr>
                <w:rFonts w:asciiTheme="minorHAnsi" w:hAnsiTheme="minorHAnsi"/>
                <w:b w:val="0"/>
                <w:sz w:val="22"/>
                <w:szCs w:val="22"/>
              </w:rPr>
              <w:t>Ireusable cannula 1</w:t>
            </w:r>
            <w:r w:rsidR="00C63860" w:rsidRPr="00C63860">
              <w:rPr>
                <w:rFonts w:asciiTheme="minorHAnsi" w:hAnsiTheme="minorHAnsi"/>
                <w:b w:val="0"/>
                <w:color w:val="00B0F0"/>
                <w:sz w:val="22"/>
                <w:szCs w:val="22"/>
              </w:rPr>
              <w:t>2 mm</w:t>
            </w:r>
          </w:p>
          <w:p w14:paraId="0B5F3ABE" w14:textId="6E4FADA8"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Lanes dissecting forcep (1</w:t>
            </w:r>
            <w:r w:rsidR="00C63860" w:rsidRPr="00C63860">
              <w:rPr>
                <w:rFonts w:asciiTheme="minorHAnsi" w:hAnsiTheme="minorHAnsi"/>
                <w:b w:val="0"/>
                <w:color w:val="00B0F0"/>
                <w:sz w:val="22"/>
                <w:szCs w:val="22"/>
              </w:rPr>
              <w:t>–2</w:t>
            </w:r>
            <w:r w:rsidRPr="00C63860">
              <w:rPr>
                <w:rFonts w:asciiTheme="minorHAnsi" w:hAnsiTheme="minorHAnsi"/>
                <w:b w:val="0"/>
                <w:sz w:val="22"/>
                <w:szCs w:val="22"/>
              </w:rPr>
              <w:t xml:space="preserve"> teeth)</w:t>
            </w:r>
          </w:p>
          <w:p w14:paraId="5F5D4BAF" w14:textId="65C4855C"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 xml:space="preserve">Laparoscopic diathermy </w:t>
            </w:r>
            <w:r w:rsidRPr="00C63860">
              <w:rPr>
                <w:rFonts w:asciiTheme="minorHAnsi" w:hAnsiTheme="minorHAnsi"/>
                <w:b w:val="0"/>
                <w:sz w:val="22"/>
                <w:szCs w:val="22"/>
                <w:highlight w:val="magenta"/>
              </w:rPr>
              <w:t>lead</w:t>
            </w:r>
            <w:r w:rsidRPr="00C63860">
              <w:rPr>
                <w:rFonts w:asciiTheme="minorHAnsi" w:hAnsiTheme="minorHAnsi"/>
                <w:b w:val="0"/>
                <w:sz w:val="22"/>
                <w:szCs w:val="22"/>
              </w:rPr>
              <w:t xml:space="preserve"> (</w:t>
            </w:r>
            <w:r w:rsidR="00C63860" w:rsidRPr="00C63860">
              <w:rPr>
                <w:rFonts w:asciiTheme="minorHAnsi" w:hAnsiTheme="minorHAnsi"/>
                <w:b w:val="0"/>
                <w:color w:val="00B0F0"/>
                <w:sz w:val="22"/>
                <w:szCs w:val="22"/>
              </w:rPr>
              <w:t xml:space="preserve">8 mm </w:t>
            </w:r>
            <w:r w:rsidRPr="00C63860">
              <w:rPr>
                <w:rFonts w:asciiTheme="minorHAnsi" w:hAnsiTheme="minorHAnsi"/>
                <w:b w:val="0"/>
                <w:sz w:val="22"/>
                <w:szCs w:val="22"/>
              </w:rPr>
              <w:t>bovie)</w:t>
            </w:r>
          </w:p>
          <w:p w14:paraId="192D6F6A"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Littlewoods tissue forcep</w:t>
            </w:r>
          </w:p>
          <w:p w14:paraId="7F17EC21"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Maryland f/cep no ratchet with connector (pm 102)</w:t>
            </w:r>
          </w:p>
          <w:p w14:paraId="53CA97C9"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Massons needle holder</w:t>
            </w:r>
          </w:p>
          <w:p w14:paraId="1E2DE625"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 xml:space="preserve">Monopolar diathermy </w:t>
            </w:r>
            <w:r w:rsidRPr="00C63860">
              <w:rPr>
                <w:rFonts w:asciiTheme="minorHAnsi" w:hAnsiTheme="minorHAnsi"/>
                <w:b w:val="0"/>
                <w:sz w:val="22"/>
                <w:szCs w:val="22"/>
                <w:highlight w:val="magenta"/>
              </w:rPr>
              <w:t>lead</w:t>
            </w:r>
            <w:r w:rsidRPr="00C63860">
              <w:rPr>
                <w:rFonts w:asciiTheme="minorHAnsi" w:hAnsiTheme="minorHAnsi"/>
                <w:b w:val="0"/>
                <w:sz w:val="22"/>
                <w:szCs w:val="22"/>
              </w:rPr>
              <w:t xml:space="preserve"> pin fitting</w:t>
            </w:r>
          </w:p>
          <w:p w14:paraId="61E2D109"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Needle holder mayo hegar</w:t>
            </w:r>
          </w:p>
          <w:p w14:paraId="557A3DEE"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Nelson robert scissors</w:t>
            </w:r>
          </w:p>
          <w:p w14:paraId="4DA6B05F"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Parker kerr intestinal clamp straight</w:t>
            </w:r>
          </w:p>
          <w:p w14:paraId="0EC90F58"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Retractor langenbeck medium</w:t>
            </w:r>
          </w:p>
          <w:p w14:paraId="525E6CD9"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Retractor langenbeck small</w:t>
            </w:r>
          </w:p>
          <w:p w14:paraId="0B829E6C"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Retractor morris medium</w:t>
            </w:r>
          </w:p>
          <w:p w14:paraId="2D0443B1"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Roberts artery forcep</w:t>
            </w:r>
          </w:p>
          <w:p w14:paraId="17A5A875"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Scissor mayo straight</w:t>
            </w:r>
          </w:p>
          <w:p w14:paraId="493C4B19"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Scissor mcindoe curved</w:t>
            </w:r>
          </w:p>
          <w:p w14:paraId="2919D992"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Sh/sh scissor</w:t>
            </w:r>
          </w:p>
          <w:p w14:paraId="5FBC878F"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Sponge holder rampley</w:t>
            </w:r>
          </w:p>
          <w:p w14:paraId="5EA96AC4" w14:textId="671E1D3C"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 xml:space="preserve">Threaded cannula </w:t>
            </w:r>
            <w:r w:rsidR="00C63860" w:rsidRPr="00C63860">
              <w:rPr>
                <w:rFonts w:asciiTheme="minorHAnsi" w:hAnsiTheme="minorHAnsi"/>
                <w:b w:val="0"/>
                <w:color w:val="00B0F0"/>
                <w:sz w:val="22"/>
                <w:szCs w:val="22"/>
              </w:rPr>
              <w:t xml:space="preserve">5 mm </w:t>
            </w:r>
            <w:r w:rsidRPr="00C63860">
              <w:rPr>
                <w:rFonts w:asciiTheme="minorHAnsi" w:hAnsiTheme="minorHAnsi"/>
                <w:b w:val="0"/>
                <w:sz w:val="22"/>
                <w:szCs w:val="22"/>
              </w:rPr>
              <w:t>(2 parts)</w:t>
            </w:r>
          </w:p>
          <w:p w14:paraId="2471B7AC"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Top tray</w:t>
            </w:r>
          </w:p>
          <w:p w14:paraId="39A00C7D" w14:textId="77777777" w:rsidR="00470AE4" w:rsidRPr="00C63860" w:rsidRDefault="00470AE4" w:rsidP="00470AE4">
            <w:pPr>
              <w:spacing w:after="80" w:line="259" w:lineRule="auto"/>
              <w:jc w:val="center"/>
              <w:rPr>
                <w:rFonts w:asciiTheme="minorHAnsi" w:hAnsiTheme="minorHAnsi"/>
                <w:b w:val="0"/>
                <w:sz w:val="22"/>
                <w:szCs w:val="22"/>
              </w:rPr>
            </w:pPr>
            <w:r w:rsidRPr="00C63860">
              <w:rPr>
                <w:rFonts w:asciiTheme="minorHAnsi" w:hAnsiTheme="minorHAnsi"/>
                <w:b w:val="0"/>
                <w:sz w:val="22"/>
                <w:szCs w:val="22"/>
              </w:rPr>
              <w:t>Trayliner</w:t>
            </w:r>
          </w:p>
          <w:p w14:paraId="07725A0F" w14:textId="77777777" w:rsidR="00C63860" w:rsidRPr="00C63860" w:rsidRDefault="00470AE4" w:rsidP="00470AE4">
            <w:pPr>
              <w:spacing w:after="80" w:line="259" w:lineRule="auto"/>
              <w:jc w:val="center"/>
              <w:rPr>
                <w:rFonts w:asciiTheme="minorHAnsi" w:hAnsiTheme="minorHAnsi"/>
                <w:b w:val="0"/>
                <w:color w:val="00B0F0"/>
                <w:sz w:val="22"/>
                <w:szCs w:val="22"/>
              </w:rPr>
            </w:pPr>
            <w:r w:rsidRPr="00C63860">
              <w:rPr>
                <w:rFonts w:asciiTheme="minorHAnsi" w:hAnsiTheme="minorHAnsi"/>
                <w:b w:val="0"/>
                <w:sz w:val="22"/>
                <w:szCs w:val="22"/>
              </w:rPr>
              <w:t>Trocar blunt tip 1</w:t>
            </w:r>
            <w:r w:rsidR="00C63860" w:rsidRPr="00C63860">
              <w:rPr>
                <w:rFonts w:asciiTheme="minorHAnsi" w:hAnsiTheme="minorHAnsi"/>
                <w:b w:val="0"/>
                <w:color w:val="00B0F0"/>
                <w:sz w:val="22"/>
                <w:szCs w:val="22"/>
              </w:rPr>
              <w:t>2 mm</w:t>
            </w:r>
          </w:p>
          <w:p w14:paraId="46E37BAB" w14:textId="77777777" w:rsidR="00C63860" w:rsidRPr="00C63860" w:rsidRDefault="00470AE4" w:rsidP="00470AE4">
            <w:pPr>
              <w:spacing w:after="80" w:line="259" w:lineRule="auto"/>
              <w:jc w:val="center"/>
              <w:rPr>
                <w:rFonts w:asciiTheme="minorHAnsi" w:hAnsiTheme="minorHAnsi"/>
                <w:b w:val="0"/>
                <w:color w:val="00B0F0"/>
                <w:sz w:val="22"/>
                <w:szCs w:val="22"/>
              </w:rPr>
            </w:pPr>
            <w:r w:rsidRPr="00C63860">
              <w:rPr>
                <w:rFonts w:asciiTheme="minorHAnsi" w:hAnsiTheme="minorHAnsi"/>
                <w:b w:val="0"/>
                <w:sz w:val="22"/>
                <w:szCs w:val="22"/>
              </w:rPr>
              <w:t>Trocar pencil point 1</w:t>
            </w:r>
            <w:r w:rsidR="00C63860" w:rsidRPr="00C63860">
              <w:rPr>
                <w:rFonts w:asciiTheme="minorHAnsi" w:hAnsiTheme="minorHAnsi"/>
                <w:b w:val="0"/>
                <w:color w:val="00B0F0"/>
                <w:sz w:val="22"/>
                <w:szCs w:val="22"/>
              </w:rPr>
              <w:t>2 mm</w:t>
            </w:r>
          </w:p>
          <w:p w14:paraId="2A79AAE5" w14:textId="77777777" w:rsidR="00C63860" w:rsidRPr="00C63860" w:rsidRDefault="00470AE4" w:rsidP="00470AE4">
            <w:pPr>
              <w:spacing w:after="80" w:line="259" w:lineRule="auto"/>
              <w:jc w:val="center"/>
              <w:rPr>
                <w:rFonts w:asciiTheme="minorHAnsi" w:hAnsiTheme="minorHAnsi"/>
                <w:b w:val="0"/>
                <w:color w:val="00B0F0"/>
                <w:sz w:val="22"/>
                <w:szCs w:val="22"/>
              </w:rPr>
            </w:pPr>
            <w:r w:rsidRPr="00C63860">
              <w:rPr>
                <w:rFonts w:asciiTheme="minorHAnsi" w:hAnsiTheme="minorHAnsi"/>
                <w:b w:val="0"/>
                <w:sz w:val="22"/>
                <w:szCs w:val="22"/>
              </w:rPr>
              <w:t xml:space="preserve">Trocar pencil point </w:t>
            </w:r>
            <w:r w:rsidR="00C63860" w:rsidRPr="00C63860">
              <w:rPr>
                <w:rFonts w:asciiTheme="minorHAnsi" w:hAnsiTheme="minorHAnsi"/>
                <w:b w:val="0"/>
                <w:color w:val="00B0F0"/>
                <w:sz w:val="22"/>
                <w:szCs w:val="22"/>
              </w:rPr>
              <w:t>5 mm</w:t>
            </w:r>
          </w:p>
          <w:p w14:paraId="58B882F0" w14:textId="77777777" w:rsidR="00C63860" w:rsidRPr="00C63860" w:rsidRDefault="00470AE4" w:rsidP="00470AE4">
            <w:pPr>
              <w:spacing w:after="80" w:line="259" w:lineRule="auto"/>
              <w:jc w:val="center"/>
              <w:rPr>
                <w:rFonts w:asciiTheme="minorHAnsi" w:hAnsiTheme="minorHAnsi"/>
                <w:b w:val="0"/>
                <w:color w:val="00B0F0"/>
                <w:sz w:val="22"/>
                <w:szCs w:val="22"/>
              </w:rPr>
            </w:pPr>
            <w:r w:rsidRPr="00C63860">
              <w:rPr>
                <w:rFonts w:asciiTheme="minorHAnsi" w:hAnsiTheme="minorHAnsi"/>
                <w:b w:val="0"/>
                <w:sz w:val="22"/>
                <w:szCs w:val="22"/>
              </w:rPr>
              <w:t xml:space="preserve">Trocar sharp tip </w:t>
            </w:r>
            <w:r w:rsidR="00C63860" w:rsidRPr="00C63860">
              <w:rPr>
                <w:rFonts w:asciiTheme="minorHAnsi" w:hAnsiTheme="minorHAnsi"/>
                <w:b w:val="0"/>
                <w:color w:val="00B0F0"/>
                <w:sz w:val="22"/>
                <w:szCs w:val="22"/>
              </w:rPr>
              <w:t>5 mm</w:t>
            </w:r>
          </w:p>
          <w:p w14:paraId="70F883C1" w14:textId="398411FF" w:rsidR="00470AE4" w:rsidRPr="00C63860" w:rsidRDefault="00470AE4" w:rsidP="00470AE4">
            <w:pPr>
              <w:spacing w:after="80" w:line="259" w:lineRule="auto"/>
              <w:jc w:val="center"/>
              <w:rPr>
                <w:rFonts w:asciiTheme="minorHAnsi" w:hAnsiTheme="minorHAnsi"/>
                <w:sz w:val="22"/>
                <w:szCs w:val="22"/>
              </w:rPr>
            </w:pPr>
            <w:r w:rsidRPr="00C63860">
              <w:rPr>
                <w:rFonts w:asciiTheme="minorHAnsi" w:hAnsiTheme="minorHAnsi"/>
                <w:b w:val="0"/>
                <w:sz w:val="22"/>
                <w:szCs w:val="22"/>
              </w:rPr>
              <w:t>Waughs diathermy dissecting forcep</w:t>
            </w:r>
          </w:p>
        </w:tc>
        <w:tc>
          <w:tcPr>
            <w:tcW w:w="0" w:type="auto"/>
            <w:tcBorders>
              <w:top w:val="none" w:sz="0" w:space="0" w:color="auto"/>
              <w:bottom w:val="none" w:sz="0" w:space="0" w:color="auto"/>
            </w:tcBorders>
            <w:shd w:val="clear" w:color="auto" w:fill="auto"/>
          </w:tcPr>
          <w:p w14:paraId="08E36BF1"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Anti-tamper tags</w:t>
            </w:r>
          </w:p>
          <w:p w14:paraId="17B0B486"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 xml:space="preserve">B </w:t>
            </w:r>
            <w:r w:rsidRPr="00C63860">
              <w:rPr>
                <w:rFonts w:asciiTheme="minorHAnsi" w:hAnsiTheme="minorHAnsi"/>
                <w:i/>
                <w:color w:val="00B0F0"/>
                <w:sz w:val="22"/>
                <w:szCs w:val="22"/>
              </w:rPr>
              <w:t>p</w:t>
            </w:r>
            <w:r w:rsidRPr="00C63860">
              <w:rPr>
                <w:rFonts w:asciiTheme="minorHAnsi" w:hAnsiTheme="minorHAnsi"/>
                <w:sz w:val="22"/>
                <w:szCs w:val="22"/>
              </w:rPr>
              <w:t xml:space="preserve"> handle no 3</w:t>
            </w:r>
          </w:p>
          <w:p w14:paraId="710A4674"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 xml:space="preserve">B </w:t>
            </w:r>
            <w:r w:rsidRPr="00C63860">
              <w:rPr>
                <w:rFonts w:asciiTheme="minorHAnsi" w:hAnsiTheme="minorHAnsi"/>
                <w:i/>
                <w:color w:val="00B0F0"/>
                <w:sz w:val="22"/>
                <w:szCs w:val="22"/>
              </w:rPr>
              <w:t>p</w:t>
            </w:r>
            <w:r w:rsidRPr="00C63860">
              <w:rPr>
                <w:rFonts w:asciiTheme="minorHAnsi" w:hAnsiTheme="minorHAnsi"/>
                <w:sz w:val="22"/>
                <w:szCs w:val="22"/>
              </w:rPr>
              <w:t xml:space="preserve"> handle no 4</w:t>
            </w:r>
          </w:p>
          <w:p w14:paraId="323DBED0"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Bottom tray</w:t>
            </w:r>
          </w:p>
          <w:p w14:paraId="05CDEFFB"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rPr>
              <w:t>Container</w:t>
            </w:r>
          </w:p>
          <w:p w14:paraId="487C2F6C"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rPr>
              <w:t>Container identification label</w:t>
            </w:r>
          </w:p>
          <w:p w14:paraId="5F3427C3"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rPr>
              <w:t>De-jardin stone forcep</w:t>
            </w:r>
          </w:p>
          <w:p w14:paraId="6EE64266"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Diathermy dissecting forcep mcindoe</w:t>
            </w:r>
          </w:p>
          <w:p w14:paraId="128E25BD" w14:textId="6BC85FB8"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Diathermy quiver long</w:t>
            </w:r>
            <w:r w:rsidR="00C63860" w:rsidRPr="00C63860">
              <w:rPr>
                <w:rFonts w:asciiTheme="minorHAnsi" w:hAnsiTheme="minorHAnsi"/>
                <w:color w:val="00B0F0"/>
                <w:sz w:val="22"/>
                <w:szCs w:val="22"/>
              </w:rPr>
              <w:t>+</w:t>
            </w:r>
            <w:r w:rsidRPr="00C63860">
              <w:rPr>
                <w:rFonts w:asciiTheme="minorHAnsi" w:hAnsiTheme="minorHAnsi"/>
                <w:sz w:val="22"/>
                <w:szCs w:val="22"/>
                <w:highlight w:val="magenta"/>
              </w:rPr>
              <w:t>black</w:t>
            </w:r>
            <w:r w:rsidRPr="00C63860">
              <w:rPr>
                <w:rFonts w:asciiTheme="minorHAnsi" w:hAnsiTheme="minorHAnsi"/>
                <w:sz w:val="22"/>
                <w:szCs w:val="22"/>
              </w:rPr>
              <w:t xml:space="preserve"> end cap</w:t>
            </w:r>
          </w:p>
          <w:p w14:paraId="724A7FAD" w14:textId="435BE0C4"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Dissecting forcep debakey 6</w:t>
            </w:r>
            <w:r w:rsidR="00C63860" w:rsidRPr="00C63860">
              <w:rPr>
                <w:rFonts w:asciiTheme="minorHAnsi" w:hAnsiTheme="minorHAnsi"/>
                <w:color w:val="00B0F0"/>
                <w:sz w:val="22"/>
                <w:szCs w:val="22"/>
              </w:rPr>
              <w:t>”</w:t>
            </w:r>
          </w:p>
          <w:p w14:paraId="2F10FCA5"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Dissecting forcep gillies toothed</w:t>
            </w:r>
          </w:p>
          <w:p w14:paraId="39B915E4"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Dunhill artery forcep</w:t>
            </w:r>
          </w:p>
          <w:p w14:paraId="0C899E67" w14:textId="148620E6"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Eragon ratchet handle</w:t>
            </w:r>
            <w:r w:rsidR="00C63860" w:rsidRPr="00C63860">
              <w:rPr>
                <w:rFonts w:asciiTheme="minorHAnsi" w:hAnsiTheme="minorHAnsi"/>
                <w:color w:val="00B0F0"/>
                <w:sz w:val="22"/>
                <w:szCs w:val="22"/>
              </w:rPr>
              <w:t xml:space="preserve"> – </w:t>
            </w:r>
            <w:r w:rsidRPr="00C63860">
              <w:rPr>
                <w:rFonts w:asciiTheme="minorHAnsi" w:hAnsiTheme="minorHAnsi"/>
                <w:sz w:val="22"/>
                <w:szCs w:val="22"/>
              </w:rPr>
              <w:t>do not assemble to forcep</w:t>
            </w:r>
          </w:p>
          <w:p w14:paraId="168E8F57"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Filter and retaining clip</w:t>
            </w:r>
          </w:p>
          <w:p w14:paraId="761DBFBD" w14:textId="25DBA61F"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Grasping forcep</w:t>
            </w:r>
            <w:r w:rsidR="00C63860" w:rsidRPr="00C63860">
              <w:rPr>
                <w:rFonts w:asciiTheme="minorHAnsi" w:hAnsiTheme="minorHAnsi"/>
                <w:color w:val="00B0F0"/>
                <w:sz w:val="22"/>
                <w:szCs w:val="22"/>
              </w:rPr>
              <w:t>+</w:t>
            </w:r>
            <w:r w:rsidRPr="00C63860">
              <w:rPr>
                <w:rFonts w:asciiTheme="minorHAnsi" w:hAnsiTheme="minorHAnsi"/>
                <w:sz w:val="22"/>
                <w:szCs w:val="22"/>
              </w:rPr>
              <w:t>ratchet with connector (pm 109)</w:t>
            </w:r>
          </w:p>
          <w:p w14:paraId="6E51AC45" w14:textId="76AA2D13"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Hassan 1</w:t>
            </w:r>
            <w:r w:rsidR="00C63860" w:rsidRPr="00C63860">
              <w:rPr>
                <w:rFonts w:asciiTheme="minorHAnsi" w:hAnsiTheme="minorHAnsi"/>
                <w:color w:val="00B0F0"/>
                <w:sz w:val="22"/>
                <w:szCs w:val="22"/>
              </w:rPr>
              <w:t xml:space="preserve">0 mm </w:t>
            </w:r>
            <w:r w:rsidRPr="00C63860">
              <w:rPr>
                <w:rFonts w:asciiTheme="minorHAnsi" w:hAnsiTheme="minorHAnsi"/>
                <w:sz w:val="22"/>
                <w:szCs w:val="22"/>
              </w:rPr>
              <w:t>(2 parts+1</w:t>
            </w:r>
            <w:r w:rsidR="00C63860" w:rsidRPr="00C63860">
              <w:rPr>
                <w:rFonts w:asciiTheme="minorHAnsi" w:hAnsiTheme="minorHAnsi"/>
                <w:color w:val="00B0F0"/>
                <w:sz w:val="22"/>
                <w:szCs w:val="22"/>
              </w:rPr>
              <w:t xml:space="preserve">0 mm </w:t>
            </w:r>
            <w:r w:rsidRPr="00C63860">
              <w:rPr>
                <w:rFonts w:asciiTheme="minorHAnsi" w:hAnsiTheme="minorHAnsi"/>
                <w:sz w:val="22"/>
                <w:szCs w:val="22"/>
              </w:rPr>
              <w:t>clear seal)</w:t>
            </w:r>
          </w:p>
          <w:p w14:paraId="4E4AC196"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Insulated hook with connector</w:t>
            </w:r>
          </w:p>
          <w:p w14:paraId="24F16E56" w14:textId="3ED36089"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Lanes dissecting forcep (1</w:t>
            </w:r>
            <w:r w:rsidR="00C63860" w:rsidRPr="00C63860">
              <w:rPr>
                <w:rFonts w:asciiTheme="minorHAnsi" w:hAnsiTheme="minorHAnsi"/>
                <w:color w:val="00B0F0"/>
                <w:sz w:val="22"/>
                <w:szCs w:val="22"/>
              </w:rPr>
              <w:t>–2</w:t>
            </w:r>
            <w:r w:rsidRPr="00C63860">
              <w:rPr>
                <w:rFonts w:asciiTheme="minorHAnsi" w:hAnsiTheme="minorHAnsi"/>
                <w:sz w:val="22"/>
                <w:szCs w:val="22"/>
              </w:rPr>
              <w:t xml:space="preserve"> teeth)</w:t>
            </w:r>
          </w:p>
          <w:p w14:paraId="5D22A0B9" w14:textId="7B85526C"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 xml:space="preserve">Laparoscopic diathermy </w:t>
            </w:r>
            <w:r w:rsidRPr="00C63860">
              <w:rPr>
                <w:rFonts w:asciiTheme="minorHAnsi" w:hAnsiTheme="minorHAnsi"/>
                <w:sz w:val="22"/>
                <w:szCs w:val="22"/>
                <w:highlight w:val="magenta"/>
              </w:rPr>
              <w:t>lead</w:t>
            </w:r>
            <w:r w:rsidRPr="00C63860">
              <w:rPr>
                <w:rFonts w:asciiTheme="minorHAnsi" w:hAnsiTheme="minorHAnsi"/>
                <w:sz w:val="22"/>
                <w:szCs w:val="22"/>
              </w:rPr>
              <w:t xml:space="preserve"> (</w:t>
            </w:r>
            <w:r w:rsidR="00C63860" w:rsidRPr="00C63860">
              <w:rPr>
                <w:rFonts w:asciiTheme="minorHAnsi" w:hAnsiTheme="minorHAnsi"/>
                <w:color w:val="00B0F0"/>
                <w:sz w:val="22"/>
                <w:szCs w:val="22"/>
              </w:rPr>
              <w:t xml:space="preserve">8 mm </w:t>
            </w:r>
            <w:r w:rsidRPr="00C63860">
              <w:rPr>
                <w:rFonts w:asciiTheme="minorHAnsi" w:hAnsiTheme="minorHAnsi"/>
                <w:sz w:val="22"/>
                <w:szCs w:val="22"/>
              </w:rPr>
              <w:t>bovie)</w:t>
            </w:r>
          </w:p>
          <w:p w14:paraId="147CBDFD"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Littlewoods tissue forcep</w:t>
            </w:r>
          </w:p>
          <w:p w14:paraId="10915227"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Maryland forcep no ratchet with connector (pm 102)</w:t>
            </w:r>
          </w:p>
          <w:p w14:paraId="32096155"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Mesh basket with lid</w:t>
            </w:r>
          </w:p>
          <w:p w14:paraId="2CE7D871"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Modular monopolar forcep (johan) sn 8393.184 2 parts</w:t>
            </w:r>
          </w:p>
          <w:p w14:paraId="5567235E"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 xml:space="preserve">Monopolar diathermy </w:t>
            </w:r>
            <w:r w:rsidRPr="00C63860">
              <w:rPr>
                <w:rFonts w:asciiTheme="minorHAnsi" w:hAnsiTheme="minorHAnsi"/>
                <w:sz w:val="22"/>
                <w:szCs w:val="22"/>
                <w:highlight w:val="magenta"/>
              </w:rPr>
              <w:t>lead</w:t>
            </w:r>
            <w:r w:rsidRPr="00C63860">
              <w:rPr>
                <w:rFonts w:asciiTheme="minorHAnsi" w:hAnsiTheme="minorHAnsi"/>
                <w:sz w:val="22"/>
                <w:szCs w:val="22"/>
              </w:rPr>
              <w:t xml:space="preserve"> pin fitting</w:t>
            </w:r>
          </w:p>
          <w:p w14:paraId="70C4AF74" w14:textId="08121CC8"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Myoma forcep</w:t>
            </w:r>
            <w:r w:rsidR="00C63860" w:rsidRPr="00C63860">
              <w:rPr>
                <w:rFonts w:asciiTheme="minorHAnsi" w:hAnsiTheme="minorHAnsi"/>
                <w:color w:val="00B0F0"/>
                <w:sz w:val="22"/>
                <w:szCs w:val="22"/>
              </w:rPr>
              <w:t>+</w:t>
            </w:r>
            <w:r w:rsidRPr="00C63860">
              <w:rPr>
                <w:rFonts w:asciiTheme="minorHAnsi" w:hAnsiTheme="minorHAnsi"/>
                <w:sz w:val="22"/>
                <w:szCs w:val="22"/>
              </w:rPr>
              <w:t>ratchet with connector (pm 117)</w:t>
            </w:r>
          </w:p>
          <w:p w14:paraId="448BDAF8"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Needle holder crilewood</w:t>
            </w:r>
          </w:p>
          <w:p w14:paraId="445C303D"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Needle holder mayo hegar</w:t>
            </w:r>
          </w:p>
          <w:p w14:paraId="1FB36D54" w14:textId="06229C8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Pike mouth forcep</w:t>
            </w:r>
            <w:r w:rsidR="00C63860" w:rsidRPr="00C63860">
              <w:rPr>
                <w:rFonts w:asciiTheme="minorHAnsi" w:hAnsiTheme="minorHAnsi"/>
                <w:color w:val="00B0F0"/>
                <w:sz w:val="22"/>
                <w:szCs w:val="22"/>
              </w:rPr>
              <w:t>+</w:t>
            </w:r>
            <w:r w:rsidRPr="00C63860">
              <w:rPr>
                <w:rFonts w:asciiTheme="minorHAnsi" w:hAnsiTheme="minorHAnsi"/>
                <w:sz w:val="22"/>
                <w:szCs w:val="22"/>
              </w:rPr>
              <w:t>ratchet with connector (pm 107)</w:t>
            </w:r>
          </w:p>
          <w:p w14:paraId="4175E8D6"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Retractor langenbeck medium</w:t>
            </w:r>
          </w:p>
          <w:p w14:paraId="637231DB"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Retractor langenbeck small</w:t>
            </w:r>
          </w:p>
          <w:p w14:paraId="52E11D7C"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B0F0"/>
                <w:sz w:val="22"/>
                <w:szCs w:val="22"/>
                <w:lang w:val="fr-FR"/>
              </w:rPr>
            </w:pPr>
            <w:r w:rsidRPr="00C63860">
              <w:rPr>
                <w:rFonts w:asciiTheme="minorHAnsi" w:hAnsiTheme="minorHAnsi"/>
                <w:sz w:val="22"/>
                <w:szCs w:val="22"/>
                <w:lang w:val="fr-FR"/>
              </w:rPr>
              <w:t>Reusable cannula 1</w:t>
            </w:r>
            <w:r w:rsidR="00C63860" w:rsidRPr="00C63860">
              <w:rPr>
                <w:rFonts w:asciiTheme="minorHAnsi" w:hAnsiTheme="minorHAnsi"/>
                <w:color w:val="00B0F0"/>
                <w:sz w:val="22"/>
                <w:szCs w:val="22"/>
                <w:lang w:val="fr-FR"/>
              </w:rPr>
              <w:t>0 mm</w:t>
            </w:r>
          </w:p>
          <w:p w14:paraId="4803383A"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B0F0"/>
                <w:sz w:val="22"/>
                <w:szCs w:val="22"/>
                <w:lang w:val="fr-FR"/>
              </w:rPr>
            </w:pPr>
            <w:r w:rsidRPr="00C63860">
              <w:rPr>
                <w:rFonts w:asciiTheme="minorHAnsi" w:hAnsiTheme="minorHAnsi"/>
                <w:sz w:val="22"/>
                <w:szCs w:val="22"/>
                <w:lang w:val="fr-FR"/>
              </w:rPr>
              <w:t>Reusable cannula 1</w:t>
            </w:r>
            <w:r w:rsidR="00C63860" w:rsidRPr="00C63860">
              <w:rPr>
                <w:rFonts w:asciiTheme="minorHAnsi" w:hAnsiTheme="minorHAnsi"/>
                <w:color w:val="00B0F0"/>
                <w:sz w:val="22"/>
                <w:szCs w:val="22"/>
                <w:lang w:val="fr-FR"/>
              </w:rPr>
              <w:t>2 mm</w:t>
            </w:r>
          </w:p>
          <w:p w14:paraId="33A870D9" w14:textId="3E90D8B8"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Scissor mayo straight</w:t>
            </w:r>
          </w:p>
          <w:p w14:paraId="5FFE04DB"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Scissor mcindoe curved</w:t>
            </w:r>
          </w:p>
          <w:p w14:paraId="2F0D1F19"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Sh/sh scissor</w:t>
            </w:r>
          </w:p>
          <w:p w14:paraId="256EDE3F" w14:textId="15E52698"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Spencer wells artery forceps 7</w:t>
            </w:r>
            <w:r w:rsidR="00C63860" w:rsidRPr="00C63860">
              <w:rPr>
                <w:rFonts w:asciiTheme="minorHAnsi" w:hAnsiTheme="minorHAnsi"/>
                <w:color w:val="00B0F0"/>
                <w:sz w:val="22"/>
                <w:szCs w:val="22"/>
              </w:rPr>
              <w:t>”</w:t>
            </w:r>
            <w:r w:rsidRPr="00C63860">
              <w:rPr>
                <w:rFonts w:asciiTheme="minorHAnsi" w:hAnsiTheme="minorHAnsi"/>
                <w:sz w:val="22"/>
                <w:szCs w:val="22"/>
              </w:rPr>
              <w:t xml:space="preserve"> curved</w:t>
            </w:r>
          </w:p>
          <w:p w14:paraId="2950DA66"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Sponge holder rampley</w:t>
            </w:r>
          </w:p>
          <w:p w14:paraId="1DD747C9" w14:textId="2C604BDE"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 xml:space="preserve">Threaded cannula </w:t>
            </w:r>
            <w:r w:rsidR="00C63860" w:rsidRPr="00C63860">
              <w:rPr>
                <w:rFonts w:asciiTheme="minorHAnsi" w:hAnsiTheme="minorHAnsi"/>
                <w:color w:val="00B0F0"/>
                <w:sz w:val="22"/>
                <w:szCs w:val="22"/>
              </w:rPr>
              <w:t xml:space="preserve">5 mm </w:t>
            </w:r>
            <w:r w:rsidRPr="00C63860">
              <w:rPr>
                <w:rFonts w:asciiTheme="minorHAnsi" w:hAnsiTheme="minorHAnsi"/>
                <w:sz w:val="22"/>
                <w:szCs w:val="22"/>
              </w:rPr>
              <w:t>(2 parts)</w:t>
            </w:r>
          </w:p>
          <w:p w14:paraId="66E99D7E"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Top tray</w:t>
            </w:r>
          </w:p>
          <w:p w14:paraId="2B4BE2CF"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Towel clip small</w:t>
            </w:r>
          </w:p>
          <w:p w14:paraId="1948F897"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Trayliner</w:t>
            </w:r>
          </w:p>
          <w:p w14:paraId="35E0F846"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B0F0"/>
                <w:sz w:val="22"/>
                <w:szCs w:val="22"/>
              </w:rPr>
            </w:pPr>
            <w:r w:rsidRPr="00C63860">
              <w:rPr>
                <w:rFonts w:asciiTheme="minorHAnsi" w:hAnsiTheme="minorHAnsi"/>
                <w:sz w:val="22"/>
                <w:szCs w:val="22"/>
              </w:rPr>
              <w:t>Trocar blunt tip 1</w:t>
            </w:r>
            <w:r w:rsidR="00C63860" w:rsidRPr="00C63860">
              <w:rPr>
                <w:rFonts w:asciiTheme="minorHAnsi" w:hAnsiTheme="minorHAnsi"/>
                <w:color w:val="00B0F0"/>
                <w:sz w:val="22"/>
                <w:szCs w:val="22"/>
              </w:rPr>
              <w:t>0 mm</w:t>
            </w:r>
          </w:p>
          <w:p w14:paraId="5948129D"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B0F0"/>
                <w:sz w:val="22"/>
                <w:szCs w:val="22"/>
              </w:rPr>
            </w:pPr>
            <w:r w:rsidRPr="00C63860">
              <w:rPr>
                <w:rFonts w:asciiTheme="minorHAnsi" w:hAnsiTheme="minorHAnsi"/>
                <w:sz w:val="22"/>
                <w:szCs w:val="22"/>
              </w:rPr>
              <w:t>Trocar pencil point 1</w:t>
            </w:r>
            <w:r w:rsidR="00C63860" w:rsidRPr="00C63860">
              <w:rPr>
                <w:rFonts w:asciiTheme="minorHAnsi" w:hAnsiTheme="minorHAnsi"/>
                <w:color w:val="00B0F0"/>
                <w:sz w:val="22"/>
                <w:szCs w:val="22"/>
              </w:rPr>
              <w:t>2 mm</w:t>
            </w:r>
          </w:p>
          <w:p w14:paraId="14A1F5A7"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B0F0"/>
                <w:sz w:val="22"/>
                <w:szCs w:val="22"/>
              </w:rPr>
            </w:pPr>
            <w:r w:rsidRPr="00C63860">
              <w:rPr>
                <w:rFonts w:asciiTheme="minorHAnsi" w:hAnsiTheme="minorHAnsi"/>
                <w:sz w:val="22"/>
                <w:szCs w:val="22"/>
              </w:rPr>
              <w:t xml:space="preserve">Trocar pencil point </w:t>
            </w:r>
            <w:r w:rsidR="00C63860" w:rsidRPr="00C63860">
              <w:rPr>
                <w:rFonts w:asciiTheme="minorHAnsi" w:hAnsiTheme="minorHAnsi"/>
                <w:color w:val="00B0F0"/>
                <w:sz w:val="22"/>
                <w:szCs w:val="22"/>
              </w:rPr>
              <w:t>5 mm</w:t>
            </w:r>
          </w:p>
          <w:p w14:paraId="52602F13"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B0F0"/>
                <w:sz w:val="22"/>
                <w:szCs w:val="22"/>
              </w:rPr>
            </w:pPr>
            <w:r w:rsidRPr="00C63860">
              <w:rPr>
                <w:rFonts w:asciiTheme="minorHAnsi" w:hAnsiTheme="minorHAnsi"/>
                <w:sz w:val="22"/>
                <w:szCs w:val="22"/>
              </w:rPr>
              <w:t xml:space="preserve">Trocar sharp tip </w:t>
            </w:r>
            <w:r w:rsidR="00C63860" w:rsidRPr="00C63860">
              <w:rPr>
                <w:rFonts w:asciiTheme="minorHAnsi" w:hAnsiTheme="minorHAnsi"/>
                <w:color w:val="00B0F0"/>
                <w:sz w:val="22"/>
                <w:szCs w:val="22"/>
              </w:rPr>
              <w:t>5 mm</w:t>
            </w:r>
          </w:p>
          <w:p w14:paraId="793A09A3" w14:textId="4EFADF5E"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b/>
                <w:sz w:val="22"/>
                <w:szCs w:val="22"/>
              </w:rPr>
            </w:pPr>
            <w:r w:rsidRPr="00C63860">
              <w:rPr>
                <w:rFonts w:asciiTheme="minorHAnsi" w:hAnsiTheme="minorHAnsi"/>
                <w:sz w:val="22"/>
                <w:szCs w:val="22"/>
              </w:rPr>
              <w:t>Wash basket</w:t>
            </w:r>
          </w:p>
        </w:tc>
        <w:tc>
          <w:tcPr>
            <w:tcW w:w="0" w:type="auto"/>
            <w:tcBorders>
              <w:top w:val="none" w:sz="0" w:space="0" w:color="auto"/>
              <w:bottom w:val="none" w:sz="0" w:space="0" w:color="auto"/>
            </w:tcBorders>
            <w:shd w:val="clear" w:color="auto" w:fill="auto"/>
          </w:tcPr>
          <w:p w14:paraId="67F7A22B"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 xml:space="preserve">B </w:t>
            </w:r>
            <w:r w:rsidRPr="00C63860">
              <w:rPr>
                <w:rFonts w:asciiTheme="minorHAnsi" w:hAnsiTheme="minorHAnsi"/>
                <w:i/>
                <w:color w:val="00B0F0"/>
                <w:sz w:val="22"/>
                <w:szCs w:val="22"/>
              </w:rPr>
              <w:t>p</w:t>
            </w:r>
            <w:r w:rsidRPr="00C63860">
              <w:rPr>
                <w:rFonts w:asciiTheme="minorHAnsi" w:hAnsiTheme="minorHAnsi"/>
                <w:sz w:val="22"/>
                <w:szCs w:val="22"/>
              </w:rPr>
              <w:t xml:space="preserve"> handle no 4</w:t>
            </w:r>
          </w:p>
          <w:p w14:paraId="23AC2A9D"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 xml:space="preserve">B </w:t>
            </w:r>
            <w:r w:rsidRPr="00C63860">
              <w:rPr>
                <w:rFonts w:asciiTheme="minorHAnsi" w:hAnsiTheme="minorHAnsi"/>
                <w:i/>
                <w:color w:val="00B0F0"/>
                <w:sz w:val="22"/>
                <w:szCs w:val="22"/>
              </w:rPr>
              <w:t>p</w:t>
            </w:r>
            <w:r w:rsidRPr="00C63860">
              <w:rPr>
                <w:rFonts w:asciiTheme="minorHAnsi" w:hAnsiTheme="minorHAnsi"/>
                <w:sz w:val="22"/>
                <w:szCs w:val="22"/>
              </w:rPr>
              <w:t xml:space="preserve"> handle no 5</w:t>
            </w:r>
          </w:p>
          <w:p w14:paraId="4ED773F0" w14:textId="72C68A58"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Babcock tissue forcep 6 1/2</w:t>
            </w:r>
            <w:r w:rsidR="00C63860" w:rsidRPr="00C63860">
              <w:rPr>
                <w:rFonts w:asciiTheme="minorHAnsi" w:hAnsiTheme="minorHAnsi"/>
                <w:color w:val="00B0F0"/>
                <w:sz w:val="22"/>
                <w:szCs w:val="22"/>
              </w:rPr>
              <w:t>”</w:t>
            </w:r>
          </w:p>
          <w:p w14:paraId="7EE2F615" w14:textId="7A9000F0"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Babcock tissue forcep 8</w:t>
            </w:r>
            <w:r w:rsidR="00C63860" w:rsidRPr="00C63860">
              <w:rPr>
                <w:rFonts w:asciiTheme="minorHAnsi" w:hAnsiTheme="minorHAnsi"/>
                <w:color w:val="00B0F0"/>
                <w:sz w:val="22"/>
                <w:szCs w:val="22"/>
              </w:rPr>
              <w:t>”</w:t>
            </w:r>
          </w:p>
          <w:p w14:paraId="0EA9FC18"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Balfour self-retaining retractor (see remarks)</w:t>
            </w:r>
          </w:p>
          <w:p w14:paraId="613DEE2C"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Deaver retractor, broad</w:t>
            </w:r>
          </w:p>
          <w:p w14:paraId="79CB2AA3"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Deaver retractor, narrow</w:t>
            </w:r>
          </w:p>
          <w:p w14:paraId="7B2A0506"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Diathermy dissecting forcep mcindoe</w:t>
            </w:r>
          </w:p>
          <w:p w14:paraId="74DE2922"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Diathermy quiver</w:t>
            </w:r>
          </w:p>
          <w:p w14:paraId="7ACA86DB"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Disposable green tray wrap 120 x 150</w:t>
            </w:r>
          </w:p>
          <w:p w14:paraId="2C427624" w14:textId="4AB6B3A0"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Dissecting forcep debakey 6</w:t>
            </w:r>
            <w:r w:rsidR="00C63860" w:rsidRPr="00C63860">
              <w:rPr>
                <w:rFonts w:asciiTheme="minorHAnsi" w:hAnsiTheme="minorHAnsi"/>
                <w:color w:val="00B0F0"/>
                <w:sz w:val="22"/>
                <w:szCs w:val="22"/>
              </w:rPr>
              <w:t>”</w:t>
            </w:r>
          </w:p>
          <w:p w14:paraId="012BD6BA" w14:textId="07CBAF61"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Dissecting forcep debakey 8</w:t>
            </w:r>
            <w:r w:rsidR="00C63860" w:rsidRPr="00C63860">
              <w:rPr>
                <w:rFonts w:asciiTheme="minorHAnsi" w:hAnsiTheme="minorHAnsi"/>
                <w:color w:val="00B0F0"/>
                <w:sz w:val="22"/>
                <w:szCs w:val="22"/>
              </w:rPr>
              <w:t>”</w:t>
            </w:r>
          </w:p>
          <w:p w14:paraId="733D518D" w14:textId="0E62392D"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Dissecting forcep debakey 9 1/2</w:t>
            </w:r>
            <w:r w:rsidR="00C63860" w:rsidRPr="00C63860">
              <w:rPr>
                <w:rFonts w:asciiTheme="minorHAnsi" w:hAnsiTheme="minorHAnsi"/>
                <w:color w:val="00B0F0"/>
                <w:sz w:val="22"/>
                <w:szCs w:val="22"/>
              </w:rPr>
              <w:t>”</w:t>
            </w:r>
          </w:p>
          <w:p w14:paraId="371424F7"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Dissecting forcep gillies toothed</w:t>
            </w:r>
          </w:p>
          <w:p w14:paraId="5D4F95C0" w14:textId="2830D59B"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Dissecting forcep non toothed 5</w:t>
            </w:r>
            <w:r w:rsidR="00C63860" w:rsidRPr="00C63860">
              <w:rPr>
                <w:rFonts w:asciiTheme="minorHAnsi" w:hAnsiTheme="minorHAnsi"/>
                <w:color w:val="00B0F0"/>
                <w:sz w:val="22"/>
                <w:szCs w:val="22"/>
              </w:rPr>
              <w:t>”</w:t>
            </w:r>
          </w:p>
          <w:p w14:paraId="5A782310"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Doyen intestinal clamp curved</w:t>
            </w:r>
          </w:p>
          <w:p w14:paraId="0D72F0F8"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Doyen intestinal clamp straight</w:t>
            </w:r>
          </w:p>
          <w:p w14:paraId="375784A4" w14:textId="4DE60C4E"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Dunhill artery forcep</w:t>
            </w:r>
          </w:p>
          <w:p w14:paraId="5D290F76"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Dyball retractor</w:t>
            </w:r>
          </w:p>
          <w:p w14:paraId="24577993"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Heiss artery forcep</w:t>
            </w:r>
          </w:p>
          <w:p w14:paraId="041D28E3"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Lahey artery forceps</w:t>
            </w:r>
          </w:p>
          <w:p w14:paraId="0269C19E" w14:textId="1C962E73"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Lanes dissecting forcep (1</w:t>
            </w:r>
            <w:r w:rsidR="00C63860" w:rsidRPr="00C63860">
              <w:rPr>
                <w:rFonts w:asciiTheme="minorHAnsi" w:hAnsiTheme="minorHAnsi"/>
                <w:color w:val="00B0F0"/>
                <w:sz w:val="22"/>
                <w:szCs w:val="22"/>
              </w:rPr>
              <w:t>–2</w:t>
            </w:r>
            <w:r w:rsidRPr="00C63860">
              <w:rPr>
                <w:rFonts w:asciiTheme="minorHAnsi" w:hAnsiTheme="minorHAnsi"/>
                <w:sz w:val="22"/>
                <w:szCs w:val="22"/>
              </w:rPr>
              <w:t xml:space="preserve"> teeth)</w:t>
            </w:r>
          </w:p>
          <w:p w14:paraId="53DD5B0D"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Lang stevenson intestinal clamps</w:t>
            </w:r>
          </w:p>
          <w:p w14:paraId="4C0DD1C0"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Littlewoods tissue forcep</w:t>
            </w:r>
          </w:p>
          <w:p w14:paraId="01C2BA5B"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Massons needle holder</w:t>
            </w:r>
          </w:p>
          <w:p w14:paraId="48FFD22F"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Mayo pin holding next 1 item</w:t>
            </w:r>
          </w:p>
          <w:p w14:paraId="536EC3C7" w14:textId="2673F161"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Mayo pin holding next 3 items</w:t>
            </w:r>
          </w:p>
          <w:p w14:paraId="41A63E80"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Mayo pin holding next 4 items</w:t>
            </w:r>
          </w:p>
          <w:p w14:paraId="3F33DD0C"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Mayo pin holding next 6 items</w:t>
            </w:r>
          </w:p>
          <w:p w14:paraId="679078D8"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 xml:space="preserve">Monopolar diathermy </w:t>
            </w:r>
            <w:r w:rsidRPr="00C63860">
              <w:rPr>
                <w:rFonts w:asciiTheme="minorHAnsi" w:hAnsiTheme="minorHAnsi"/>
                <w:sz w:val="22"/>
                <w:szCs w:val="22"/>
                <w:highlight w:val="magenta"/>
              </w:rPr>
              <w:t>lead</w:t>
            </w:r>
            <w:r w:rsidRPr="00C63860">
              <w:rPr>
                <w:rFonts w:asciiTheme="minorHAnsi" w:hAnsiTheme="minorHAnsi"/>
                <w:sz w:val="22"/>
                <w:szCs w:val="22"/>
              </w:rPr>
              <w:t xml:space="preserve"> pin fitting</w:t>
            </w:r>
          </w:p>
          <w:p w14:paraId="3787D710"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Moynihan cholecystectomy clamp</w:t>
            </w:r>
          </w:p>
          <w:p w14:paraId="7DEE3B89" w14:textId="54DB7139"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Needle holder mayo hegar 7 1/4</w:t>
            </w:r>
            <w:r w:rsidR="00C63860" w:rsidRPr="00C63860">
              <w:rPr>
                <w:rFonts w:asciiTheme="minorHAnsi" w:hAnsiTheme="minorHAnsi"/>
                <w:color w:val="00B0F0"/>
                <w:sz w:val="22"/>
                <w:szCs w:val="22"/>
              </w:rPr>
              <w:t>”</w:t>
            </w:r>
          </w:p>
          <w:p w14:paraId="389DADD7" w14:textId="115DCF30"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Needle holder mayo hegar 8 1/2</w:t>
            </w:r>
            <w:r w:rsidR="00C63860" w:rsidRPr="00C63860">
              <w:rPr>
                <w:rFonts w:asciiTheme="minorHAnsi" w:hAnsiTheme="minorHAnsi"/>
                <w:color w:val="00B0F0"/>
                <w:sz w:val="22"/>
                <w:szCs w:val="22"/>
              </w:rPr>
              <w:t>”</w:t>
            </w:r>
          </w:p>
          <w:p w14:paraId="1A207D26"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Nelson robert scissors</w:t>
            </w:r>
          </w:p>
          <w:p w14:paraId="720D699B"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Parker kerr intestinal clamp curved</w:t>
            </w:r>
          </w:p>
          <w:p w14:paraId="1F8AD204"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Parker kerr intestinal clamp straight</w:t>
            </w:r>
          </w:p>
          <w:p w14:paraId="583ECFA8"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Retractor langenbeck medium</w:t>
            </w:r>
          </w:p>
          <w:p w14:paraId="37AC7EAC"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Retractor morris large</w:t>
            </w:r>
          </w:p>
          <w:p w14:paraId="180CFF4B" w14:textId="7CB144E2"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Roberts artery forcep</w:t>
            </w:r>
          </w:p>
          <w:p w14:paraId="467B82A2"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Scissor mayo curved</w:t>
            </w:r>
          </w:p>
          <w:p w14:paraId="7E8507E6" w14:textId="3D00EF0F"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Scissor mayo straight 5 3/4</w:t>
            </w:r>
            <w:r w:rsidR="00C63860" w:rsidRPr="00C63860">
              <w:rPr>
                <w:rFonts w:asciiTheme="minorHAnsi" w:hAnsiTheme="minorHAnsi"/>
                <w:color w:val="00B0F0"/>
                <w:sz w:val="22"/>
                <w:szCs w:val="22"/>
              </w:rPr>
              <w:t>”</w:t>
            </w:r>
          </w:p>
          <w:p w14:paraId="4E3C4C60"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Scissor mcindoe curved</w:t>
            </w:r>
          </w:p>
          <w:p w14:paraId="26657F43"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Sh/sh scissor</w:t>
            </w:r>
          </w:p>
          <w:p w14:paraId="2D8DC2F0"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Soaker sheet to be placed under basket/tray</w:t>
            </w:r>
          </w:p>
          <w:p w14:paraId="612F8D10"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Sponge holder rampley</w:t>
            </w:r>
          </w:p>
          <w:p w14:paraId="53B13FB6"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Styles tissue forcep</w:t>
            </w:r>
          </w:p>
          <w:p w14:paraId="03819AD9"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Trayliner</w:t>
            </w:r>
          </w:p>
          <w:p w14:paraId="05BA30D7" w14:textId="77777777" w:rsidR="00C63860"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Wash basket</w:t>
            </w:r>
          </w:p>
          <w:p w14:paraId="109D8E85" w14:textId="1E1E2690"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Waughs diathermy dissecting forcep</w:t>
            </w:r>
          </w:p>
        </w:tc>
        <w:tc>
          <w:tcPr>
            <w:tcW w:w="0" w:type="auto"/>
            <w:tcBorders>
              <w:top w:val="none" w:sz="0" w:space="0" w:color="auto"/>
              <w:bottom w:val="none" w:sz="0" w:space="0" w:color="auto"/>
            </w:tcBorders>
            <w:shd w:val="clear" w:color="auto" w:fill="auto"/>
          </w:tcPr>
          <w:p w14:paraId="07713B78"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Artery forcep mosquito curved</w:t>
            </w:r>
          </w:p>
          <w:p w14:paraId="1E031215"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 xml:space="preserve">B </w:t>
            </w:r>
            <w:r w:rsidRPr="00C63860">
              <w:rPr>
                <w:rFonts w:asciiTheme="minorHAnsi" w:hAnsiTheme="minorHAnsi"/>
                <w:i/>
                <w:color w:val="00B0F0"/>
                <w:sz w:val="22"/>
                <w:szCs w:val="22"/>
              </w:rPr>
              <w:t>p</w:t>
            </w:r>
            <w:r w:rsidRPr="00C63860">
              <w:rPr>
                <w:rFonts w:asciiTheme="minorHAnsi" w:hAnsiTheme="minorHAnsi"/>
                <w:sz w:val="22"/>
                <w:szCs w:val="22"/>
              </w:rPr>
              <w:t xml:space="preserve"> handle no 3</w:t>
            </w:r>
          </w:p>
          <w:p w14:paraId="76D97EE6"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 xml:space="preserve">B </w:t>
            </w:r>
            <w:r w:rsidRPr="00C63860">
              <w:rPr>
                <w:rFonts w:asciiTheme="minorHAnsi" w:hAnsiTheme="minorHAnsi"/>
                <w:i/>
                <w:color w:val="00B0F0"/>
                <w:sz w:val="22"/>
                <w:szCs w:val="22"/>
              </w:rPr>
              <w:t>p</w:t>
            </w:r>
            <w:r w:rsidRPr="00C63860">
              <w:rPr>
                <w:rFonts w:asciiTheme="minorHAnsi" w:hAnsiTheme="minorHAnsi"/>
                <w:sz w:val="22"/>
                <w:szCs w:val="22"/>
              </w:rPr>
              <w:t xml:space="preserve"> handle no 4</w:t>
            </w:r>
          </w:p>
          <w:p w14:paraId="10E64481"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Babcock tissue forcep</w:t>
            </w:r>
          </w:p>
          <w:p w14:paraId="6CDEC195"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Catspaw retractor</w:t>
            </w:r>
          </w:p>
          <w:p w14:paraId="38B55E3A"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Diathermy dissecting forcep mcindoe</w:t>
            </w:r>
          </w:p>
          <w:p w14:paraId="20EC9C88"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Diathermy quiver</w:t>
            </w:r>
          </w:p>
          <w:p w14:paraId="303DCF7F"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Disposable blue tray wrap 120 x 150</w:t>
            </w:r>
          </w:p>
          <w:p w14:paraId="4E4DF68E"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Disposable green tray wrap 120 x 150</w:t>
            </w:r>
          </w:p>
          <w:p w14:paraId="1FF88100" w14:textId="1292DA6A"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Dissecting forcep debakey 6</w:t>
            </w:r>
            <w:r w:rsidR="00C63860" w:rsidRPr="00C63860">
              <w:rPr>
                <w:rFonts w:asciiTheme="minorHAnsi" w:hAnsiTheme="minorHAnsi"/>
                <w:color w:val="00B0F0"/>
                <w:sz w:val="22"/>
                <w:szCs w:val="22"/>
              </w:rPr>
              <w:t>”</w:t>
            </w:r>
          </w:p>
          <w:p w14:paraId="1B79A78E"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Dissecting forcep gillies toothed</w:t>
            </w:r>
          </w:p>
          <w:p w14:paraId="251DC229"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Dunhill artery forcep</w:t>
            </w:r>
          </w:p>
          <w:p w14:paraId="01AE74FE"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Heiss artery forcep</w:t>
            </w:r>
          </w:p>
          <w:p w14:paraId="1CCADC70"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Lahey artery forceps</w:t>
            </w:r>
          </w:p>
          <w:p w14:paraId="2D7775F4" w14:textId="33F323D5"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Lanes dissecting forcep (1</w:t>
            </w:r>
            <w:r w:rsidR="00C63860" w:rsidRPr="00C63860">
              <w:rPr>
                <w:rFonts w:asciiTheme="minorHAnsi" w:hAnsiTheme="minorHAnsi"/>
                <w:color w:val="00B0F0"/>
                <w:sz w:val="22"/>
                <w:szCs w:val="22"/>
              </w:rPr>
              <w:t>–2</w:t>
            </w:r>
            <w:r w:rsidRPr="00C63860">
              <w:rPr>
                <w:rFonts w:asciiTheme="minorHAnsi" w:hAnsiTheme="minorHAnsi"/>
                <w:sz w:val="22"/>
                <w:szCs w:val="22"/>
              </w:rPr>
              <w:t xml:space="preserve"> teeth)</w:t>
            </w:r>
          </w:p>
          <w:p w14:paraId="5AF4E423"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Littlewoods tissue forcep</w:t>
            </w:r>
          </w:p>
          <w:p w14:paraId="7FE0EC07"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Mayo pin holding next 2 items</w:t>
            </w:r>
          </w:p>
          <w:p w14:paraId="72CBB629"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Mayo pin holding next 3 items</w:t>
            </w:r>
          </w:p>
          <w:p w14:paraId="0C183936"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Mayo pin holding next 4 items</w:t>
            </w:r>
          </w:p>
          <w:p w14:paraId="185778E7"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Meyarding finger retractor</w:t>
            </w:r>
          </w:p>
          <w:p w14:paraId="6EC5F6CE"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 xml:space="preserve">Monopolar diathermy </w:t>
            </w:r>
            <w:r w:rsidRPr="00C63860">
              <w:rPr>
                <w:rFonts w:asciiTheme="minorHAnsi" w:hAnsiTheme="minorHAnsi"/>
                <w:sz w:val="22"/>
                <w:szCs w:val="22"/>
                <w:highlight w:val="magenta"/>
              </w:rPr>
              <w:t>lead</w:t>
            </w:r>
            <w:r w:rsidRPr="00C63860">
              <w:rPr>
                <w:rFonts w:asciiTheme="minorHAnsi" w:hAnsiTheme="minorHAnsi"/>
                <w:sz w:val="22"/>
                <w:szCs w:val="22"/>
              </w:rPr>
              <w:t xml:space="preserve"> pin fitting</w:t>
            </w:r>
          </w:p>
          <w:p w14:paraId="3B9A2237"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Needle holder crilewood</w:t>
            </w:r>
          </w:p>
          <w:p w14:paraId="231F68AE"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Needle holder mayo hegar</w:t>
            </w:r>
          </w:p>
          <w:p w14:paraId="06FFA6BE"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Poirers/allis tissue forcep</w:t>
            </w:r>
          </w:p>
          <w:p w14:paraId="18AC7E19"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Retractor langenbeck medium</w:t>
            </w:r>
          </w:p>
          <w:p w14:paraId="2C6E4BF7"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Retractor langenbeck small</w:t>
            </w:r>
          </w:p>
          <w:p w14:paraId="1E651621"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Retractor morris medium</w:t>
            </w:r>
          </w:p>
          <w:p w14:paraId="270EA9D6"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Retractor self-retaining travers</w:t>
            </w:r>
          </w:p>
          <w:p w14:paraId="789632E8"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Retractor self-retaining west</w:t>
            </w:r>
          </w:p>
          <w:p w14:paraId="352BE904"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Scissor kilner curved</w:t>
            </w:r>
          </w:p>
          <w:p w14:paraId="7097064F"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Scissor mayo curved</w:t>
            </w:r>
          </w:p>
          <w:p w14:paraId="6CD9E5F4" w14:textId="59C3B6C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Scissor mayo straight 5 3/4</w:t>
            </w:r>
            <w:r w:rsidR="00C63860" w:rsidRPr="00C63860">
              <w:rPr>
                <w:rFonts w:asciiTheme="minorHAnsi" w:hAnsiTheme="minorHAnsi"/>
                <w:color w:val="00B0F0"/>
                <w:sz w:val="22"/>
                <w:szCs w:val="22"/>
              </w:rPr>
              <w:t>”</w:t>
            </w:r>
          </w:p>
          <w:p w14:paraId="7E57B926"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Scissor mcindoe curved</w:t>
            </w:r>
          </w:p>
          <w:p w14:paraId="0666DC39"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Sh/sh scissor</w:t>
            </w:r>
          </w:p>
          <w:p w14:paraId="331B1C19"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Soaker sheet to be placed under basket/tray</w:t>
            </w:r>
          </w:p>
          <w:p w14:paraId="3211B70F" w14:textId="11F9E254"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Spencer wells artery forceps 7</w:t>
            </w:r>
            <w:r w:rsidR="00C63860" w:rsidRPr="00C63860">
              <w:rPr>
                <w:rFonts w:asciiTheme="minorHAnsi" w:hAnsiTheme="minorHAnsi"/>
                <w:color w:val="00B0F0"/>
                <w:sz w:val="22"/>
                <w:szCs w:val="22"/>
              </w:rPr>
              <w:t>”</w:t>
            </w:r>
            <w:r w:rsidRPr="00C63860">
              <w:rPr>
                <w:rFonts w:asciiTheme="minorHAnsi" w:hAnsiTheme="minorHAnsi"/>
                <w:sz w:val="22"/>
                <w:szCs w:val="22"/>
              </w:rPr>
              <w:t xml:space="preserve"> curved</w:t>
            </w:r>
          </w:p>
          <w:p w14:paraId="6CA89B54" w14:textId="6AE03D78"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Spencer wells artery forceps 8</w:t>
            </w:r>
            <w:r w:rsidR="00C63860" w:rsidRPr="00C63860">
              <w:rPr>
                <w:rFonts w:asciiTheme="minorHAnsi" w:hAnsiTheme="minorHAnsi"/>
                <w:color w:val="00B0F0"/>
                <w:sz w:val="22"/>
                <w:szCs w:val="22"/>
              </w:rPr>
              <w:t>”</w:t>
            </w:r>
            <w:r w:rsidRPr="00C63860">
              <w:rPr>
                <w:rFonts w:asciiTheme="minorHAnsi" w:hAnsiTheme="minorHAnsi"/>
                <w:sz w:val="22"/>
                <w:szCs w:val="22"/>
              </w:rPr>
              <w:t xml:space="preserve"> straight</w:t>
            </w:r>
          </w:p>
          <w:p w14:paraId="1B5BE067"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Sponge holder rampley</w:t>
            </w:r>
          </w:p>
          <w:p w14:paraId="2EBC7EB3"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T.o.e. dissecting forcep</w:t>
            </w:r>
          </w:p>
          <w:p w14:paraId="1055641C"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Trayliner</w:t>
            </w:r>
          </w:p>
          <w:p w14:paraId="36EE39CC" w14:textId="77777777" w:rsidR="00470AE4" w:rsidRPr="00C63860"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63860">
              <w:rPr>
                <w:rFonts w:asciiTheme="minorHAnsi" w:hAnsiTheme="minorHAnsi"/>
                <w:sz w:val="22"/>
                <w:szCs w:val="22"/>
              </w:rPr>
              <w:t>Wash basket</w:t>
            </w:r>
          </w:p>
        </w:tc>
      </w:tr>
    </w:tbl>
    <w:p w14:paraId="6C071D01" w14:textId="53E83B78" w:rsidR="00C63860" w:rsidRPr="00C63860" w:rsidRDefault="00470AE4" w:rsidP="00666643">
      <w:pPr>
        <w:pStyle w:val="Heading1"/>
        <w:spacing w:before="240" w:after="240"/>
        <w:rPr>
          <w:bdr w:val="none" w:sz="0" w:space="0" w:color="auto" w:frame="1"/>
        </w:rPr>
      </w:pPr>
      <w:bookmarkStart w:id="113" w:name="_Toc86673006"/>
      <w:r w:rsidRPr="00C63860">
        <w:t>Appendix 4</w:t>
      </w:r>
      <w:r w:rsidR="00D66487" w:rsidRPr="00C63860">
        <w:t xml:space="preserve">: </w:t>
      </w:r>
      <w:r w:rsidRPr="00C63860">
        <w:rPr>
          <w:bdr w:val="none" w:sz="0" w:space="0" w:color="auto" w:frame="1"/>
        </w:rPr>
        <w:t xml:space="preserve">Additional </w:t>
      </w:r>
      <w:r w:rsidRPr="00C63860" w:rsidDel="00E4293C">
        <w:rPr>
          <w:bdr w:val="none" w:sz="0" w:space="0" w:color="auto" w:frame="1"/>
        </w:rPr>
        <w:t>notes on</w:t>
      </w:r>
      <w:r w:rsidRPr="00C63860">
        <w:rPr>
          <w:bdr w:val="none" w:sz="0" w:space="0" w:color="auto" w:frame="1"/>
        </w:rPr>
        <w:t xml:space="preserve"> calculations of costs and </w:t>
      </w:r>
      <w:r w:rsidR="00666643" w:rsidRPr="00C63860">
        <w:rPr>
          <w:bdr w:val="none" w:sz="0" w:space="0" w:color="auto" w:frame="1"/>
        </w:rPr>
        <w:t>Q</w:t>
      </w:r>
      <w:r w:rsidRPr="00C63860">
        <w:rPr>
          <w:bdr w:val="none" w:sz="0" w:space="0" w:color="auto" w:frame="1"/>
        </w:rPr>
        <w:t>uality-</w:t>
      </w:r>
      <w:r w:rsidR="00666643" w:rsidRPr="00C63860">
        <w:rPr>
          <w:bdr w:val="none" w:sz="0" w:space="0" w:color="auto" w:frame="1"/>
        </w:rPr>
        <w:t>A</w:t>
      </w:r>
      <w:r w:rsidRPr="00C63860">
        <w:rPr>
          <w:bdr w:val="none" w:sz="0" w:space="0" w:color="auto" w:frame="1"/>
        </w:rPr>
        <w:t xml:space="preserve">djusted </w:t>
      </w:r>
      <w:r w:rsidR="00C63860" w:rsidRPr="00C63860">
        <w:rPr>
          <w:color w:val="00B0F0"/>
          <w:bdr w:val="none" w:sz="0" w:space="0" w:color="auto" w:frame="1"/>
        </w:rPr>
        <w:t>Life-year</w:t>
      </w:r>
      <w:r w:rsidRPr="00C63860">
        <w:rPr>
          <w:bdr w:val="none" w:sz="0" w:space="0" w:color="auto" w:frame="1"/>
        </w:rPr>
        <w:t>s</w:t>
      </w:r>
      <w:bookmarkEnd w:id="113"/>
    </w:p>
    <w:p w14:paraId="381546C2" w14:textId="52F0695E" w:rsidR="00470AE4" w:rsidRPr="00C63860" w:rsidRDefault="00470AE4" w:rsidP="00455F64">
      <w:pPr>
        <w:spacing w:before="240" w:after="240" w:line="276" w:lineRule="auto"/>
        <w:rPr>
          <w:rFonts w:asciiTheme="minorHAnsi" w:hAnsiTheme="minorHAnsi" w:cstheme="minorHAnsi"/>
          <w:b/>
          <w:bCs/>
        </w:rPr>
      </w:pPr>
      <w:r w:rsidRPr="00C63860">
        <w:rPr>
          <w:rFonts w:asciiTheme="minorHAnsi" w:hAnsiTheme="minorHAnsi" w:cstheme="minorBidi"/>
          <w:b/>
          <w:bCs/>
        </w:rPr>
        <w:t>A4.1 Search for appropriate health-related quality of life (HRQoL) scores and adjustment</w:t>
      </w:r>
    </w:p>
    <w:p w14:paraId="5592E92E" w14:textId="3E0E6FC3" w:rsidR="1B9E37B7" w:rsidRPr="00C63860" w:rsidRDefault="1B9E37B7" w:rsidP="1B9E37B7">
      <w:pPr>
        <w:spacing w:after="240"/>
        <w:jc w:val="both"/>
        <w:rPr>
          <w:rFonts w:eastAsia="Calibri"/>
          <w:color w:val="000000" w:themeColor="text1"/>
        </w:rPr>
      </w:pPr>
      <w:r w:rsidRPr="00C63860">
        <w:rPr>
          <w:rFonts w:eastAsia="Calibri"/>
          <w:i/>
          <w:iCs/>
          <w:color w:val="D13438"/>
          <w:u w:val="single"/>
        </w:rPr>
        <w:t>Search strategies and criteria for selection of studies</w:t>
      </w:r>
    </w:p>
    <w:p w14:paraId="2348500D" w14:textId="0EDA7970" w:rsidR="00470AE4" w:rsidRPr="00C63860" w:rsidRDefault="00470AE4" w:rsidP="00455F64">
      <w:pPr>
        <w:spacing w:before="240" w:after="240" w:line="276" w:lineRule="auto"/>
        <w:rPr>
          <w:rFonts w:asciiTheme="minorHAnsi" w:hAnsiTheme="minorHAnsi" w:cstheme="minorHAnsi"/>
          <w:bCs/>
        </w:rPr>
      </w:pPr>
      <w:r w:rsidRPr="00C63860">
        <w:rPr>
          <w:rFonts w:asciiTheme="minorHAnsi" w:hAnsiTheme="minorHAnsi" w:cstheme="minorBidi"/>
        </w:rPr>
        <w:t>The approach to estimating QALYs required that appropriate HRQoL values were identified from a literature review. We undertook separate search strategies for each condition in MEDLINE (</w:t>
      </w:r>
      <w:r w:rsidR="00C63860" w:rsidRPr="00C63860">
        <w:rPr>
          <w:rFonts w:asciiTheme="minorHAnsi" w:hAnsiTheme="minorHAnsi" w:cstheme="minorBidi"/>
          <w:i/>
          <w:color w:val="FF0000"/>
        </w:rPr>
        <w:t>Table 26</w:t>
      </w:r>
      <w:r w:rsidRPr="00C63860">
        <w:rPr>
          <w:rFonts w:asciiTheme="minorHAnsi" w:hAnsiTheme="minorHAnsi" w:cstheme="minorBidi"/>
        </w:rPr>
        <w:t xml:space="preserve">). The criteria used to select the most appropriate source of HRQoL, recognised the specific requirements of the ESORT study (see study protocol on </w:t>
      </w:r>
      <w:r w:rsidRPr="00C63860">
        <w:rPr>
          <w:rFonts w:asciiTheme="minorHAnsi" w:hAnsiTheme="minorHAnsi" w:cstheme="minorBidi"/>
          <w:i/>
        </w:rPr>
        <w:t>project webpage</w:t>
      </w:r>
      <w:r w:rsidRPr="00C63860">
        <w:rPr>
          <w:rFonts w:asciiTheme="minorHAnsi" w:hAnsiTheme="minorHAnsi" w:cstheme="minorBidi"/>
        </w:rPr>
        <w:t>) and were prioritised according to:</w:t>
      </w:r>
    </w:p>
    <w:p w14:paraId="093ABD45" w14:textId="2ADDFAF5" w:rsidR="26D7B802" w:rsidRPr="00C63860" w:rsidRDefault="00470AE4" w:rsidP="26D7B802">
      <w:pPr>
        <w:numPr>
          <w:ilvl w:val="0"/>
          <w:numId w:val="27"/>
        </w:numPr>
        <w:spacing w:before="240" w:after="240" w:line="276" w:lineRule="auto"/>
        <w:contextualSpacing/>
        <w:rPr>
          <w:rFonts w:asciiTheme="minorHAnsi" w:eastAsiaTheme="minorEastAsia" w:hAnsiTheme="minorHAnsi" w:cstheme="minorBidi"/>
        </w:rPr>
      </w:pPr>
      <w:r w:rsidRPr="00C63860" w:rsidDel="008D670E">
        <w:rPr>
          <w:rFonts w:cstheme="minorBidi"/>
        </w:rPr>
        <w:t xml:space="preserve">The study </w:t>
      </w:r>
      <w:r w:rsidRPr="00C63860">
        <w:rPr>
          <w:rFonts w:cstheme="minorBidi"/>
        </w:rPr>
        <w:t xml:space="preserve">measured HRQoL following an emergency admission for patients with at least one of the diagnostic subcategories described in </w:t>
      </w:r>
      <w:r w:rsidR="00C63860" w:rsidRPr="00C63860">
        <w:rPr>
          <w:rFonts w:cstheme="minorBidi"/>
          <w:i/>
          <w:color w:val="FF0000"/>
        </w:rPr>
        <w:t>Table 21</w:t>
      </w:r>
      <w:r w:rsidRPr="00C63860">
        <w:rPr>
          <w:rFonts w:cstheme="minorBidi"/>
        </w:rPr>
        <w:t>.</w:t>
      </w:r>
    </w:p>
    <w:p w14:paraId="2833D8D1" w14:textId="7564067F" w:rsidR="00470AE4" w:rsidRPr="00C63860" w:rsidRDefault="00470AE4" w:rsidP="00455F64">
      <w:pPr>
        <w:numPr>
          <w:ilvl w:val="0"/>
          <w:numId w:val="27"/>
        </w:numPr>
        <w:spacing w:before="240" w:after="240" w:line="276" w:lineRule="auto"/>
        <w:contextualSpacing/>
        <w:rPr>
          <w:rFonts w:asciiTheme="minorHAnsi" w:hAnsiTheme="minorHAnsi" w:cstheme="minorBidi"/>
        </w:rPr>
      </w:pPr>
      <w:r w:rsidRPr="00C63860" w:rsidDel="008D670E">
        <w:rPr>
          <w:rFonts w:asciiTheme="minorHAnsi" w:hAnsiTheme="minorHAnsi" w:cstheme="minorBidi"/>
        </w:rPr>
        <w:t xml:space="preserve">The study </w:t>
      </w:r>
      <w:r w:rsidR="3BC6B206" w:rsidRPr="00C63860">
        <w:rPr>
          <w:rFonts w:asciiTheme="minorHAnsi" w:hAnsiTheme="minorHAnsi" w:cstheme="minorBidi"/>
        </w:rPr>
        <w:t>considered</w:t>
      </w:r>
      <w:r w:rsidRPr="00C63860">
        <w:rPr>
          <w:rFonts w:asciiTheme="minorHAnsi" w:hAnsiTheme="minorHAnsi" w:cstheme="minorBidi"/>
        </w:rPr>
        <w:t xml:space="preserve"> at least one intervention regarded as </w:t>
      </w:r>
      <w:r w:rsidR="3BC6B206" w:rsidRPr="00C63860">
        <w:rPr>
          <w:rFonts w:asciiTheme="minorHAnsi" w:hAnsiTheme="minorHAnsi" w:cstheme="minorBidi"/>
        </w:rPr>
        <w:t>ES</w:t>
      </w:r>
      <w:r w:rsidR="000250A0" w:rsidRPr="00C63860">
        <w:rPr>
          <w:rFonts w:asciiTheme="minorHAnsi" w:hAnsiTheme="minorHAnsi" w:cstheme="minorBidi"/>
        </w:rPr>
        <w:t>66</w:t>
      </w:r>
      <w:r w:rsidRPr="00C63860">
        <w:rPr>
          <w:rFonts w:asciiTheme="minorHAnsi" w:hAnsiTheme="minorHAnsi" w:cstheme="minorBidi"/>
        </w:rPr>
        <w:t xml:space="preserve"> by the clinical panel.</w:t>
      </w:r>
    </w:p>
    <w:p w14:paraId="68119873" w14:textId="469760B0" w:rsidR="00470AE4" w:rsidRPr="00C63860" w:rsidRDefault="00470AE4" w:rsidP="00455F64">
      <w:pPr>
        <w:numPr>
          <w:ilvl w:val="0"/>
          <w:numId w:val="27"/>
        </w:numPr>
        <w:spacing w:before="240" w:after="240" w:line="276" w:lineRule="auto"/>
        <w:contextualSpacing/>
        <w:rPr>
          <w:rFonts w:asciiTheme="minorHAnsi" w:hAnsiTheme="minorHAnsi" w:cstheme="minorBidi"/>
        </w:rPr>
      </w:pPr>
      <w:r w:rsidRPr="00C63860" w:rsidDel="0016710B">
        <w:rPr>
          <w:rFonts w:asciiTheme="minorHAnsi" w:hAnsiTheme="minorHAnsi" w:cstheme="minorBidi"/>
        </w:rPr>
        <w:t>The intervention was performed</w:t>
      </w:r>
      <w:r w:rsidRPr="00C63860">
        <w:rPr>
          <w:rFonts w:asciiTheme="minorHAnsi" w:hAnsiTheme="minorHAnsi" w:cstheme="minorBidi"/>
        </w:rPr>
        <w:t xml:space="preserve"> in the emergency (non-elective) setting.</w:t>
      </w:r>
    </w:p>
    <w:p w14:paraId="06125B68" w14:textId="0346FE7B" w:rsidR="00470AE4" w:rsidRPr="00C63860" w:rsidRDefault="00470AE4" w:rsidP="00455F64">
      <w:pPr>
        <w:numPr>
          <w:ilvl w:val="0"/>
          <w:numId w:val="27"/>
        </w:numPr>
        <w:spacing w:before="240" w:after="240" w:line="276" w:lineRule="auto"/>
        <w:contextualSpacing/>
        <w:rPr>
          <w:rFonts w:asciiTheme="minorHAnsi" w:hAnsiTheme="minorHAnsi" w:cstheme="minorBidi"/>
        </w:rPr>
      </w:pPr>
      <w:r w:rsidRPr="00C63860" w:rsidDel="0016710B">
        <w:rPr>
          <w:rFonts w:asciiTheme="minorHAnsi" w:hAnsiTheme="minorHAnsi" w:cstheme="minorBidi"/>
        </w:rPr>
        <w:t>The study evaluated</w:t>
      </w:r>
      <w:r w:rsidRPr="00C63860">
        <w:rPr>
          <w:rFonts w:asciiTheme="minorHAnsi" w:hAnsiTheme="minorHAnsi" w:cstheme="minorBidi"/>
        </w:rPr>
        <w:t xml:space="preserve"> HRQoL using </w:t>
      </w:r>
      <w:r w:rsidRPr="00C63860" w:rsidDel="006944BD">
        <w:rPr>
          <w:rFonts w:asciiTheme="minorHAnsi" w:hAnsiTheme="minorHAnsi" w:cstheme="minorBidi"/>
        </w:rPr>
        <w:t>the</w:t>
      </w:r>
      <w:r w:rsidRPr="00C63860">
        <w:rPr>
          <w:rFonts w:asciiTheme="minorHAnsi" w:hAnsiTheme="minorHAnsi" w:cstheme="minorBidi"/>
        </w:rPr>
        <w:t xml:space="preserve"> tool recommended by NICE in their methodological guidance, the EuroQoL 5-dimension (E</w:t>
      </w:r>
      <w:r w:rsidR="00C63860" w:rsidRPr="00C63860">
        <w:rPr>
          <w:rFonts w:asciiTheme="minorHAnsi" w:hAnsiTheme="minorHAnsi" w:cstheme="minorBidi"/>
          <w:color w:val="00B0F0"/>
        </w:rPr>
        <w:t>Q-5</w:t>
      </w:r>
      <w:r w:rsidRPr="00C63860">
        <w:rPr>
          <w:rFonts w:asciiTheme="minorHAnsi" w:hAnsiTheme="minorHAnsi" w:cstheme="minorBidi"/>
        </w:rPr>
        <w:t>D) instrument</w:t>
      </w:r>
      <w:r w:rsidRPr="00C63860" w:rsidDel="007B55D6">
        <w:rPr>
          <w:rFonts w:asciiTheme="minorHAnsi" w:hAnsiTheme="minorHAnsi" w:cstheme="minorBidi"/>
        </w:rPr>
        <w:t xml:space="preserve"> in its </w:t>
      </w:r>
      <w:r w:rsidRPr="00C63860">
        <w:rPr>
          <w:rFonts w:asciiTheme="minorHAnsi" w:hAnsiTheme="minorHAnsi" w:cstheme="minorBidi"/>
        </w:rPr>
        <w:t>three-level (3L) version.</w:t>
      </w:r>
      <w:r w:rsidRPr="00C63860">
        <w:rPr>
          <w:rFonts w:asciiTheme="minorHAnsi" w:hAnsiTheme="minorHAnsi" w:cstheme="minorBidi"/>
          <w:vertAlign w:val="superscript"/>
        </w:rPr>
        <w:t>63</w:t>
      </w:r>
    </w:p>
    <w:p w14:paraId="09496047" w14:textId="189524BC" w:rsidR="00470AE4" w:rsidRPr="00C63860" w:rsidRDefault="00470AE4" w:rsidP="00455F64">
      <w:pPr>
        <w:numPr>
          <w:ilvl w:val="0"/>
          <w:numId w:val="27"/>
        </w:numPr>
        <w:spacing w:before="240" w:after="240" w:line="276" w:lineRule="auto"/>
        <w:contextualSpacing/>
        <w:rPr>
          <w:rFonts w:asciiTheme="minorHAnsi" w:hAnsiTheme="minorHAnsi" w:cstheme="minorBidi"/>
        </w:rPr>
      </w:pPr>
      <w:r w:rsidRPr="00C63860" w:rsidDel="007B55D6">
        <w:rPr>
          <w:rFonts w:asciiTheme="minorHAnsi" w:hAnsiTheme="minorHAnsi" w:cstheme="minorBidi"/>
        </w:rPr>
        <w:t>The study evaluated</w:t>
      </w:r>
      <w:r w:rsidRPr="00C63860">
        <w:rPr>
          <w:rFonts w:asciiTheme="minorHAnsi" w:hAnsiTheme="minorHAnsi" w:cstheme="minorBidi"/>
        </w:rPr>
        <w:t xml:space="preserve"> HRQoL at baseline (i.e. pre-operatively), and at one-year from baseline.</w:t>
      </w:r>
    </w:p>
    <w:p w14:paraId="5EFF3FCF" w14:textId="2CAF1112" w:rsidR="00470AE4" w:rsidRPr="00C63860" w:rsidRDefault="00470AE4" w:rsidP="00455F64">
      <w:pPr>
        <w:numPr>
          <w:ilvl w:val="0"/>
          <w:numId w:val="27"/>
        </w:numPr>
        <w:spacing w:before="240" w:after="240" w:line="276" w:lineRule="auto"/>
        <w:contextualSpacing/>
        <w:rPr>
          <w:rFonts w:asciiTheme="minorHAnsi" w:hAnsiTheme="minorHAnsi" w:cstheme="minorBidi"/>
        </w:rPr>
      </w:pPr>
      <w:r w:rsidRPr="00C63860" w:rsidDel="00AD222F">
        <w:rPr>
          <w:rFonts w:asciiTheme="minorHAnsi" w:hAnsiTheme="minorHAnsi" w:cstheme="minorBidi"/>
        </w:rPr>
        <w:t>The study was</w:t>
      </w:r>
      <w:r w:rsidRPr="00C63860" w:rsidDel="00373911">
        <w:rPr>
          <w:rFonts w:asciiTheme="minorHAnsi" w:hAnsiTheme="minorHAnsi" w:cstheme="minorBidi"/>
        </w:rPr>
        <w:t xml:space="preserve"> </w:t>
      </w:r>
      <w:r w:rsidRPr="00C63860">
        <w:rPr>
          <w:rFonts w:asciiTheme="minorHAnsi" w:hAnsiTheme="minorHAnsi" w:cstheme="minorBidi"/>
        </w:rPr>
        <w:t>conducted in the UK, or in a country with similar demographics and healthcare system.</w:t>
      </w:r>
    </w:p>
    <w:p w14:paraId="5D0C449F" w14:textId="77777777" w:rsidR="00C63860" w:rsidRPr="00C63860" w:rsidRDefault="00470AE4" w:rsidP="00455F64">
      <w:pPr>
        <w:numPr>
          <w:ilvl w:val="0"/>
          <w:numId w:val="27"/>
        </w:numPr>
        <w:spacing w:before="240" w:after="240" w:line="276" w:lineRule="auto"/>
        <w:contextualSpacing/>
        <w:rPr>
          <w:rFonts w:asciiTheme="minorHAnsi" w:hAnsiTheme="minorHAnsi" w:cstheme="minorBidi"/>
        </w:rPr>
      </w:pPr>
      <w:r w:rsidRPr="00C63860" w:rsidDel="00640533">
        <w:rPr>
          <w:rFonts w:asciiTheme="minorHAnsi" w:hAnsiTheme="minorHAnsi" w:cstheme="minorBidi"/>
        </w:rPr>
        <w:t>The study w</w:t>
      </w:r>
      <w:r w:rsidRPr="00C63860">
        <w:rPr>
          <w:rFonts w:asciiTheme="minorHAnsi" w:hAnsiTheme="minorHAnsi" w:cstheme="minorBidi"/>
        </w:rPr>
        <w:t>as conducted no earlier than ten years before the start date of the ESORT study (i.e. 2010).</w:t>
      </w:r>
    </w:p>
    <w:p w14:paraId="12F3FF1E" w14:textId="72450636" w:rsidR="1B9E37B7" w:rsidRPr="00C63860" w:rsidRDefault="1B9E37B7" w:rsidP="732F2BDB">
      <w:pPr>
        <w:spacing w:after="240" w:line="276" w:lineRule="auto"/>
        <w:jc w:val="both"/>
        <w:rPr>
          <w:rFonts w:eastAsia="Calibri"/>
          <w:color w:val="000000" w:themeColor="text1"/>
        </w:rPr>
      </w:pPr>
      <w:r w:rsidRPr="00C63860">
        <w:rPr>
          <w:rFonts w:eastAsia="Calibri"/>
          <w:i/>
          <w:iCs/>
          <w:color w:val="D13438"/>
          <w:u w:val="single"/>
        </w:rPr>
        <w:t>Findings of the literature review</w:t>
      </w:r>
    </w:p>
    <w:p w14:paraId="5D3389A1" w14:textId="1AE025A9" w:rsidR="1B9E37B7" w:rsidRPr="00C63860" w:rsidRDefault="1B9E37B7" w:rsidP="732F2BDB">
      <w:pPr>
        <w:spacing w:after="240" w:line="276" w:lineRule="auto"/>
        <w:jc w:val="both"/>
        <w:rPr>
          <w:rFonts w:eastAsia="Calibri"/>
          <w:color w:val="000000" w:themeColor="text1"/>
        </w:rPr>
      </w:pPr>
      <w:r w:rsidRPr="00C63860">
        <w:rPr>
          <w:rFonts w:eastAsia="Calibri"/>
          <w:color w:val="D13438"/>
          <w:u w:val="single"/>
        </w:rPr>
        <w:t xml:space="preserve">The literature review (up to </w:t>
      </w:r>
      <w:r w:rsidR="009E0102" w:rsidRPr="00C63860">
        <w:rPr>
          <w:rFonts w:eastAsia="Calibri"/>
          <w:color w:val="D13438"/>
          <w:u w:val="single"/>
        </w:rPr>
        <w:t>September</w:t>
      </w:r>
      <w:r w:rsidRPr="00C63860">
        <w:rPr>
          <w:rFonts w:eastAsia="Calibri"/>
          <w:color w:val="D13438"/>
          <w:u w:val="single"/>
        </w:rPr>
        <w:t xml:space="preserve"> 2021) identified: five studies for appendicitis (</w:t>
      </w:r>
      <w:r w:rsidR="00BD123B" w:rsidRPr="00C63860">
        <w:rPr>
          <w:rFonts w:eastAsia="Calibri"/>
          <w:color w:val="D13438"/>
          <w:u w:val="single"/>
          <w:vertAlign w:val="superscript"/>
        </w:rPr>
        <w:t>8</w:t>
      </w:r>
      <w:r w:rsidR="00DC543E" w:rsidRPr="00C63860">
        <w:rPr>
          <w:rFonts w:eastAsia="Calibri"/>
          <w:color w:val="D13438"/>
          <w:u w:val="single"/>
          <w:vertAlign w:val="superscript"/>
        </w:rPr>
        <w:t>,</w:t>
      </w:r>
      <w:r w:rsidR="00786C4F" w:rsidRPr="00C63860">
        <w:rPr>
          <w:rFonts w:eastAsia="Calibri"/>
          <w:color w:val="D13438"/>
          <w:u w:val="single"/>
          <w:vertAlign w:val="superscript"/>
        </w:rPr>
        <w:t>67,</w:t>
      </w:r>
      <w:r w:rsidR="007A77AF" w:rsidRPr="00C63860">
        <w:rPr>
          <w:rFonts w:eastAsia="Calibri"/>
          <w:color w:val="D13438"/>
          <w:u w:val="single"/>
          <w:vertAlign w:val="superscript"/>
        </w:rPr>
        <w:t>134</w:t>
      </w:r>
      <w:r w:rsidR="00C63860" w:rsidRPr="00C63860">
        <w:rPr>
          <w:rFonts w:eastAsia="Calibri"/>
          <w:color w:val="00B0F0"/>
          <w:u w:val="single"/>
          <w:vertAlign w:val="superscript"/>
        </w:rPr>
        <w:t>–1</w:t>
      </w:r>
      <w:r w:rsidR="006F31C5" w:rsidRPr="00C63860">
        <w:rPr>
          <w:rFonts w:eastAsia="Calibri"/>
          <w:color w:val="D13438"/>
          <w:u w:val="single"/>
          <w:vertAlign w:val="superscript"/>
        </w:rPr>
        <w:t>36</w:t>
      </w:r>
      <w:r w:rsidRPr="00C63860">
        <w:rPr>
          <w:rFonts w:eastAsia="Calibri"/>
          <w:color w:val="D13438"/>
          <w:u w:val="single"/>
        </w:rPr>
        <w:t xml:space="preserve">), </w:t>
      </w:r>
      <w:r w:rsidR="15FCFD5B" w:rsidRPr="00C63860">
        <w:rPr>
          <w:rFonts w:eastAsia="Calibri"/>
          <w:color w:val="D13438"/>
          <w:u w:val="single"/>
        </w:rPr>
        <w:t>one</w:t>
      </w:r>
      <w:r w:rsidRPr="00C63860">
        <w:rPr>
          <w:rFonts w:eastAsia="Calibri"/>
          <w:color w:val="D13438"/>
          <w:u w:val="single"/>
        </w:rPr>
        <w:t xml:space="preserve"> study for diverticular disease (</w:t>
      </w:r>
      <w:r w:rsidR="007B39E6" w:rsidRPr="00C63860">
        <w:rPr>
          <w:rFonts w:eastAsia="Calibri"/>
          <w:color w:val="D13438"/>
          <w:u w:val="single"/>
          <w:vertAlign w:val="superscript"/>
        </w:rPr>
        <w:t>94</w:t>
      </w:r>
      <w:r w:rsidR="007B39E6" w:rsidRPr="00C63860">
        <w:rPr>
          <w:rFonts w:eastAsia="Calibri"/>
          <w:color w:val="D13438"/>
          <w:u w:val="single"/>
        </w:rPr>
        <w:t>)</w:t>
      </w:r>
      <w:r w:rsidRPr="00C63860">
        <w:rPr>
          <w:rFonts w:eastAsia="Calibri"/>
          <w:color w:val="D13438"/>
          <w:u w:val="single"/>
        </w:rPr>
        <w:t>, 2</w:t>
      </w:r>
      <w:r w:rsidR="000250A0" w:rsidRPr="00C63860">
        <w:rPr>
          <w:rFonts w:eastAsia="Calibri"/>
          <w:color w:val="D13438"/>
          <w:u w:val="single"/>
        </w:rPr>
        <w:t>4</w:t>
      </w:r>
      <w:r w:rsidRPr="00C63860">
        <w:rPr>
          <w:rFonts w:eastAsia="Calibri"/>
          <w:color w:val="D13438"/>
          <w:u w:val="single"/>
        </w:rPr>
        <w:t xml:space="preserve"> studies for cholelithiasis (</w:t>
      </w:r>
      <w:r w:rsidR="00F140E7" w:rsidRPr="00C63860">
        <w:rPr>
          <w:rFonts w:eastAsia="Calibri"/>
          <w:color w:val="D13438"/>
          <w:u w:val="single"/>
          <w:vertAlign w:val="superscript"/>
        </w:rPr>
        <w:t>83,</w:t>
      </w:r>
      <w:r w:rsidR="00485311" w:rsidRPr="00C63860">
        <w:rPr>
          <w:rFonts w:eastAsia="Calibri"/>
          <w:color w:val="D13438"/>
          <w:u w:val="single"/>
          <w:vertAlign w:val="superscript"/>
        </w:rPr>
        <w:t>137</w:t>
      </w:r>
      <w:r w:rsidR="00C63860" w:rsidRPr="00C63860">
        <w:rPr>
          <w:rFonts w:eastAsia="Calibri"/>
          <w:color w:val="00B0F0"/>
          <w:u w:val="single"/>
          <w:vertAlign w:val="superscript"/>
        </w:rPr>
        <w:t>–1</w:t>
      </w:r>
      <w:r w:rsidR="00F140E7" w:rsidRPr="00C63860">
        <w:rPr>
          <w:rFonts w:eastAsia="Calibri"/>
          <w:color w:val="D13438"/>
          <w:u w:val="single"/>
          <w:vertAlign w:val="superscript"/>
        </w:rPr>
        <w:t>60</w:t>
      </w:r>
      <w:r w:rsidRPr="00C63860">
        <w:rPr>
          <w:rFonts w:eastAsia="Calibri"/>
          <w:color w:val="D13438"/>
          <w:u w:val="single"/>
        </w:rPr>
        <w:t xml:space="preserve">), </w:t>
      </w:r>
      <w:r w:rsidR="00660F0A" w:rsidRPr="00C63860">
        <w:rPr>
          <w:rFonts w:eastAsia="Calibri"/>
          <w:color w:val="D13438"/>
          <w:u w:val="single"/>
        </w:rPr>
        <w:t>124</w:t>
      </w:r>
      <w:r w:rsidRPr="00C63860" w:rsidDel="00660F0A">
        <w:rPr>
          <w:rFonts w:eastAsia="Calibri"/>
          <w:color w:val="D13438"/>
          <w:u w:val="single"/>
        </w:rPr>
        <w:t xml:space="preserve"> </w:t>
      </w:r>
      <w:r w:rsidRPr="00C63860">
        <w:rPr>
          <w:rFonts w:eastAsia="Calibri"/>
          <w:color w:val="D13438"/>
          <w:u w:val="single"/>
        </w:rPr>
        <w:t>studies for hernia (</w:t>
      </w:r>
      <w:r w:rsidR="004D3F18" w:rsidRPr="00C63860">
        <w:rPr>
          <w:rFonts w:eastAsia="Calibri"/>
          <w:color w:val="D13438"/>
          <w:u w:val="single"/>
          <w:vertAlign w:val="superscript"/>
        </w:rPr>
        <w:t>84,</w:t>
      </w:r>
      <w:r w:rsidR="005C5ADE" w:rsidRPr="00C63860">
        <w:rPr>
          <w:rFonts w:eastAsia="Calibri"/>
          <w:color w:val="D13438"/>
          <w:u w:val="single"/>
          <w:vertAlign w:val="superscript"/>
        </w:rPr>
        <w:t>161</w:t>
      </w:r>
      <w:r w:rsidR="00C63860" w:rsidRPr="00C63860">
        <w:rPr>
          <w:rFonts w:eastAsia="Calibri"/>
          <w:color w:val="00B0F0"/>
          <w:u w:val="single"/>
          <w:vertAlign w:val="superscript"/>
        </w:rPr>
        <w:t>–2</w:t>
      </w:r>
      <w:r w:rsidR="005C5ADE" w:rsidRPr="00C63860">
        <w:rPr>
          <w:rFonts w:eastAsia="Calibri"/>
          <w:color w:val="D13438"/>
          <w:u w:val="single"/>
          <w:vertAlign w:val="superscript"/>
        </w:rPr>
        <w:t>84</w:t>
      </w:r>
      <w:r w:rsidR="004D3F18" w:rsidRPr="00C63860">
        <w:rPr>
          <w:rFonts w:eastAsia="Calibri"/>
          <w:color w:val="D13438"/>
          <w:u w:val="single"/>
        </w:rPr>
        <w:t>)</w:t>
      </w:r>
      <w:r w:rsidRPr="00C63860">
        <w:rPr>
          <w:rFonts w:eastAsia="Calibri"/>
          <w:color w:val="D13438"/>
          <w:u w:val="single"/>
        </w:rPr>
        <w:t>, and four</w:t>
      </w:r>
      <w:r w:rsidR="00025DAD" w:rsidRPr="00C63860">
        <w:rPr>
          <w:rFonts w:eastAsia="Calibri"/>
          <w:color w:val="D13438"/>
          <w:u w:val="single"/>
        </w:rPr>
        <w:t xml:space="preserve"> </w:t>
      </w:r>
      <w:r w:rsidRPr="00C63860">
        <w:rPr>
          <w:rFonts w:eastAsia="Calibri"/>
          <w:color w:val="D13438"/>
          <w:u w:val="single"/>
        </w:rPr>
        <w:t>for intestinal obstruction (</w:t>
      </w:r>
      <w:r w:rsidR="00173E48" w:rsidRPr="00C63860">
        <w:rPr>
          <w:rFonts w:eastAsia="Calibri"/>
          <w:color w:val="D13438"/>
          <w:u w:val="single"/>
          <w:vertAlign w:val="superscript"/>
        </w:rPr>
        <w:t>85,2</w:t>
      </w:r>
      <w:r w:rsidR="00524E91" w:rsidRPr="00C63860">
        <w:rPr>
          <w:rFonts w:eastAsia="Calibri"/>
          <w:color w:val="D13438"/>
          <w:u w:val="single"/>
          <w:vertAlign w:val="superscript"/>
        </w:rPr>
        <w:t>85</w:t>
      </w:r>
      <w:r w:rsidR="00C63860" w:rsidRPr="00C63860">
        <w:rPr>
          <w:rFonts w:eastAsia="Calibri"/>
          <w:color w:val="00B0F0"/>
          <w:u w:val="single"/>
          <w:vertAlign w:val="superscript"/>
        </w:rPr>
        <w:t>–2</w:t>
      </w:r>
      <w:r w:rsidR="00524E91" w:rsidRPr="00C63860">
        <w:rPr>
          <w:rFonts w:eastAsia="Calibri"/>
          <w:color w:val="D13438"/>
          <w:u w:val="single"/>
          <w:vertAlign w:val="superscript"/>
        </w:rPr>
        <w:t>87</w:t>
      </w:r>
      <w:r w:rsidR="00524E91" w:rsidRPr="00C63860">
        <w:rPr>
          <w:rFonts w:eastAsia="Calibri"/>
          <w:color w:val="D13438"/>
          <w:u w:val="single"/>
        </w:rPr>
        <w:t>)</w:t>
      </w:r>
      <w:r w:rsidR="008F1AD7" w:rsidRPr="00C63860">
        <w:rPr>
          <w:rFonts w:eastAsia="Calibri"/>
          <w:color w:val="D13438"/>
          <w:u w:val="single"/>
        </w:rPr>
        <w:t xml:space="preserve">. </w:t>
      </w:r>
      <w:r w:rsidRPr="00C63860" w:rsidDel="001244B7">
        <w:rPr>
          <w:rFonts w:eastAsia="Calibri"/>
          <w:color w:val="D13438"/>
          <w:u w:val="single"/>
        </w:rPr>
        <w:t xml:space="preserve">In addition to these, </w:t>
      </w:r>
      <w:r w:rsidR="000B5A97" w:rsidRPr="00C63860">
        <w:rPr>
          <w:rFonts w:eastAsia="Calibri"/>
          <w:color w:val="D13438"/>
          <w:u w:val="single"/>
        </w:rPr>
        <w:t>o</w:t>
      </w:r>
      <w:r w:rsidRPr="00C63860">
        <w:rPr>
          <w:rFonts w:eastAsia="Calibri"/>
          <w:color w:val="D13438"/>
          <w:u w:val="single"/>
        </w:rPr>
        <w:t xml:space="preserve">ne additional study that met the inclusion criteria for diverticular disease </w:t>
      </w:r>
      <w:r w:rsidRPr="00C63860" w:rsidDel="000B5A97">
        <w:rPr>
          <w:rFonts w:eastAsia="Calibri"/>
          <w:color w:val="D13438"/>
          <w:u w:val="single"/>
        </w:rPr>
        <w:t xml:space="preserve">was identified by the team on a separate search </w:t>
      </w:r>
      <w:r w:rsidRPr="00C63860">
        <w:rPr>
          <w:rFonts w:eastAsia="Calibri"/>
          <w:color w:val="D13438"/>
          <w:u w:val="single"/>
        </w:rPr>
        <w:t>(</w:t>
      </w:r>
      <w:r w:rsidR="00660F0A" w:rsidRPr="00C63860">
        <w:rPr>
          <w:rFonts w:eastAsia="Calibri"/>
          <w:color w:val="D13438"/>
          <w:u w:val="single"/>
          <w:vertAlign w:val="superscript"/>
        </w:rPr>
        <w:t>14</w:t>
      </w:r>
      <w:r w:rsidRPr="00C63860">
        <w:rPr>
          <w:rFonts w:eastAsia="Calibri"/>
          <w:color w:val="D13438"/>
          <w:u w:val="single"/>
        </w:rPr>
        <w:t xml:space="preserve">), </w:t>
      </w:r>
      <w:r w:rsidRPr="00C63860" w:rsidDel="00BE3EEA">
        <w:rPr>
          <w:rFonts w:eastAsia="Calibri"/>
          <w:color w:val="D13438"/>
          <w:u w:val="single"/>
        </w:rPr>
        <w:t xml:space="preserve">therefore the total number of studies </w:t>
      </w:r>
      <w:r w:rsidRPr="00C63860">
        <w:rPr>
          <w:rFonts w:eastAsia="Calibri"/>
          <w:color w:val="D13438"/>
          <w:u w:val="single"/>
        </w:rPr>
        <w:t>reviewed for this condition was two.</w:t>
      </w:r>
    </w:p>
    <w:p w14:paraId="131412E6" w14:textId="56A51560" w:rsidR="00C63860" w:rsidRPr="00C63860" w:rsidRDefault="1B9E37B7" w:rsidP="1B777C48">
      <w:pPr>
        <w:rPr>
          <w:rFonts w:eastAsia="Calibri"/>
          <w:color w:val="D13438"/>
          <w:u w:val="single"/>
        </w:rPr>
      </w:pPr>
      <w:r w:rsidRPr="00C63860">
        <w:rPr>
          <w:rFonts w:eastAsia="Calibri"/>
          <w:color w:val="D13438"/>
          <w:u w:val="single"/>
        </w:rPr>
        <w:t>The main reasons why studies</w:t>
      </w:r>
      <w:r w:rsidRPr="00C63860" w:rsidDel="00D57FF2">
        <w:rPr>
          <w:rFonts w:eastAsia="Calibri"/>
          <w:color w:val="D13438"/>
          <w:u w:val="single"/>
        </w:rPr>
        <w:t xml:space="preserve"> above </w:t>
      </w:r>
      <w:r w:rsidRPr="00C63860">
        <w:rPr>
          <w:rFonts w:eastAsia="Calibri"/>
          <w:color w:val="D13438"/>
          <w:u w:val="single"/>
        </w:rPr>
        <w:t xml:space="preserve">failed to meet the inclusion criteria were: (i) </w:t>
      </w:r>
      <w:r w:rsidR="15FCFD5B" w:rsidRPr="00C63860">
        <w:rPr>
          <w:rFonts w:eastAsia="Calibri"/>
          <w:color w:val="D13438"/>
          <w:u w:val="single"/>
        </w:rPr>
        <w:t xml:space="preserve">had </w:t>
      </w:r>
      <w:r w:rsidRPr="00C63860">
        <w:rPr>
          <w:rFonts w:eastAsia="Calibri"/>
          <w:color w:val="D13438"/>
          <w:u w:val="single"/>
        </w:rPr>
        <w:t>different definition of</w:t>
      </w:r>
      <w:r w:rsidR="00D156FF" w:rsidRPr="00C63860">
        <w:rPr>
          <w:rFonts w:eastAsia="Calibri"/>
          <w:color w:val="D13438"/>
          <w:u w:val="single"/>
        </w:rPr>
        <w:t xml:space="preserve"> </w:t>
      </w:r>
      <w:r w:rsidRPr="00C63860">
        <w:rPr>
          <w:rFonts w:eastAsia="Calibri"/>
          <w:color w:val="D13438"/>
          <w:u w:val="single"/>
        </w:rPr>
        <w:t xml:space="preserve">study population </w:t>
      </w:r>
      <w:r w:rsidRPr="00C63860">
        <w:rPr>
          <w:rFonts w:eastAsia="Calibri"/>
          <w:color w:val="D13438"/>
          <w:highlight w:val="magenta"/>
          <w:u w:val="single"/>
        </w:rPr>
        <w:t>compared to</w:t>
      </w:r>
      <w:r w:rsidRPr="00C63860">
        <w:rPr>
          <w:rFonts w:eastAsia="Calibri"/>
          <w:color w:val="D13438"/>
          <w:u w:val="single"/>
        </w:rPr>
        <w:t xml:space="preserve"> ESORT (e.g</w:t>
      </w:r>
      <w:r w:rsidRPr="00C63860">
        <w:rPr>
          <w:rFonts w:eastAsia="Calibri"/>
          <w:color w:val="D13438"/>
          <w:u w:val="single"/>
          <w:vertAlign w:val="superscript"/>
        </w:rPr>
        <w:t>.</w:t>
      </w:r>
      <w:r w:rsidRPr="00C63860">
        <w:rPr>
          <w:rFonts w:eastAsia="Calibri"/>
          <w:color w:val="D13438"/>
          <w:u w:val="single"/>
        </w:rPr>
        <w:t xml:space="preserve">, </w:t>
      </w:r>
      <w:r w:rsidR="00660F0A" w:rsidRPr="00C63860">
        <w:rPr>
          <w:rFonts w:eastAsia="Calibri"/>
          <w:color w:val="D13438"/>
          <w:u w:val="single"/>
          <w:vertAlign w:val="superscript"/>
        </w:rPr>
        <w:t>13</w:t>
      </w:r>
      <w:r w:rsidR="00D95B69" w:rsidRPr="00C63860">
        <w:rPr>
          <w:rFonts w:eastAsia="Calibri"/>
          <w:color w:val="D13438"/>
          <w:u w:val="single"/>
          <w:vertAlign w:val="superscript"/>
        </w:rPr>
        <w:t>7</w:t>
      </w:r>
      <w:r w:rsidRPr="00C63860">
        <w:rPr>
          <w:rFonts w:eastAsia="Calibri"/>
          <w:color w:val="D13438"/>
          <w:u w:val="single"/>
        </w:rPr>
        <w:t>)</w:t>
      </w:r>
      <w:r w:rsidRPr="00C63860">
        <w:rPr>
          <w:rFonts w:eastAsia="Calibri"/>
          <w:color w:val="D13438"/>
          <w:u w:val="single"/>
          <w:vertAlign w:val="superscript"/>
        </w:rPr>
        <w:t>,</w:t>
      </w:r>
      <w:r w:rsidRPr="00C63860">
        <w:rPr>
          <w:rFonts w:eastAsia="Calibri"/>
          <w:color w:val="D13438"/>
          <w:u w:val="single"/>
        </w:rPr>
        <w:t xml:space="preserve"> (ii) </w:t>
      </w:r>
      <w:r w:rsidR="15FCFD5B" w:rsidRPr="00C63860">
        <w:rPr>
          <w:rFonts w:eastAsia="Calibri"/>
          <w:color w:val="D13438"/>
          <w:u w:val="single"/>
        </w:rPr>
        <w:t>had</w:t>
      </w:r>
      <w:r w:rsidR="15FCFD5B" w:rsidRPr="00C63860" w:rsidDel="008843D9">
        <w:rPr>
          <w:rFonts w:eastAsia="Calibri"/>
          <w:color w:val="D13438"/>
          <w:u w:val="single"/>
        </w:rPr>
        <w:t xml:space="preserve"> </w:t>
      </w:r>
      <w:r w:rsidRPr="00C63860" w:rsidDel="008843D9">
        <w:rPr>
          <w:rFonts w:eastAsia="Calibri"/>
          <w:color w:val="D13438"/>
          <w:u w:val="single"/>
        </w:rPr>
        <w:t xml:space="preserve">insufficient </w:t>
      </w:r>
      <w:r w:rsidRPr="00C63860">
        <w:rPr>
          <w:rFonts w:eastAsia="Calibri"/>
          <w:color w:val="D13438"/>
          <w:u w:val="single"/>
        </w:rPr>
        <w:t xml:space="preserve">duration of follow-up period (e.g., </w:t>
      </w:r>
      <w:r w:rsidR="00660F0A" w:rsidRPr="00C63860">
        <w:rPr>
          <w:rFonts w:eastAsia="Calibri"/>
          <w:color w:val="D13438"/>
          <w:u w:val="single"/>
          <w:vertAlign w:val="superscript"/>
        </w:rPr>
        <w:t>134</w:t>
      </w:r>
      <w:r w:rsidRPr="00C63860">
        <w:rPr>
          <w:rFonts w:eastAsia="Calibri"/>
          <w:color w:val="D13438"/>
          <w:u w:val="single"/>
        </w:rPr>
        <w:t xml:space="preserve">), (iii) </w:t>
      </w:r>
      <w:r w:rsidR="00470AE4" w:rsidRPr="00C63860">
        <w:rPr>
          <w:rFonts w:asciiTheme="minorHAnsi" w:hAnsiTheme="minorHAnsi" w:cstheme="minorBidi"/>
        </w:rPr>
        <w:t xml:space="preserve">interventions considered were </w:t>
      </w:r>
      <w:r w:rsidRPr="00C63860">
        <w:rPr>
          <w:rFonts w:eastAsia="Calibri"/>
          <w:i/>
          <w:color w:val="D13438"/>
          <w:u w:val="single"/>
        </w:rPr>
        <w:t>not</w:t>
      </w:r>
      <w:r w:rsidRPr="00C63860">
        <w:rPr>
          <w:rFonts w:eastAsia="Calibri"/>
          <w:color w:val="D13438"/>
          <w:u w:val="single"/>
        </w:rPr>
        <w:t xml:space="preserve"> performed in the emergency setting (e.g., </w:t>
      </w:r>
      <w:r w:rsidR="00660F0A" w:rsidRPr="00C63860">
        <w:rPr>
          <w:rFonts w:eastAsia="Calibri"/>
          <w:color w:val="D13438"/>
          <w:u w:val="single"/>
          <w:vertAlign w:val="superscript"/>
        </w:rPr>
        <w:t>250</w:t>
      </w:r>
      <w:r w:rsidR="15FCFD5B" w:rsidRPr="00C63860">
        <w:rPr>
          <w:rFonts w:eastAsia="Calibri"/>
          <w:color w:val="D13438"/>
          <w:u w:val="single"/>
        </w:rPr>
        <w:t xml:space="preserve">), (iv) instrument used to measure HRQoL was </w:t>
      </w:r>
      <w:r w:rsidR="15FCFD5B" w:rsidRPr="00C63860">
        <w:rPr>
          <w:rFonts w:eastAsia="Calibri"/>
          <w:i/>
          <w:iCs/>
          <w:color w:val="D13438"/>
          <w:u w:val="single"/>
        </w:rPr>
        <w:t xml:space="preserve">not </w:t>
      </w:r>
      <w:r w:rsidR="15FCFD5B" w:rsidRPr="00C63860">
        <w:rPr>
          <w:rFonts w:eastAsia="Calibri"/>
          <w:color w:val="D13438"/>
          <w:u w:val="single"/>
        </w:rPr>
        <w:t>the E</w:t>
      </w:r>
      <w:r w:rsidR="00C63860" w:rsidRPr="00C63860">
        <w:rPr>
          <w:rFonts w:eastAsia="Calibri"/>
          <w:color w:val="00B0F0"/>
          <w:u w:val="single"/>
        </w:rPr>
        <w:t>Q-5</w:t>
      </w:r>
      <w:r w:rsidR="15FCFD5B" w:rsidRPr="00C63860">
        <w:rPr>
          <w:rFonts w:eastAsia="Calibri"/>
          <w:color w:val="D13438"/>
          <w:u w:val="single"/>
        </w:rPr>
        <w:t xml:space="preserve">D index (e.g., </w:t>
      </w:r>
      <w:r w:rsidR="00660F0A" w:rsidRPr="00C63860">
        <w:rPr>
          <w:rFonts w:eastAsia="Calibri"/>
          <w:color w:val="D13438"/>
          <w:u w:val="single"/>
          <w:vertAlign w:val="superscript"/>
        </w:rPr>
        <w:t>162</w:t>
      </w:r>
      <w:r w:rsidR="15FCFD5B" w:rsidRPr="00C63860">
        <w:rPr>
          <w:rFonts w:eastAsia="Calibri"/>
          <w:color w:val="D13438"/>
          <w:u w:val="single"/>
        </w:rPr>
        <w:t>).</w:t>
      </w:r>
    </w:p>
    <w:p w14:paraId="46D63D88" w14:textId="519E3485" w:rsidR="1B9E37B7" w:rsidRPr="00C63860" w:rsidRDefault="15FCFD5B" w:rsidP="0090570D">
      <w:pPr>
        <w:spacing w:before="240" w:after="240" w:line="276" w:lineRule="auto"/>
        <w:rPr>
          <w:rFonts w:eastAsia="Calibri"/>
          <w:color w:val="D13438"/>
          <w:u w:val="single"/>
        </w:rPr>
      </w:pPr>
      <w:r w:rsidRPr="00C63860">
        <w:rPr>
          <w:rFonts w:eastAsia="Calibri"/>
          <w:color w:val="D13438"/>
          <w:u w:val="single"/>
        </w:rPr>
        <w:t>Of the studies identified, only two s</w:t>
      </w:r>
      <w:r w:rsidR="1B9E37B7" w:rsidRPr="00C63860" w:rsidDel="15FCFD5B">
        <w:rPr>
          <w:rFonts w:eastAsia="Calibri"/>
          <w:color w:val="D13438"/>
          <w:u w:val="single"/>
        </w:rPr>
        <w:t>tudies</w:t>
      </w:r>
      <w:r w:rsidRPr="00C63860">
        <w:rPr>
          <w:rFonts w:eastAsia="Calibri"/>
          <w:color w:val="D13438"/>
          <w:u w:val="single"/>
        </w:rPr>
        <w:t>(</w:t>
      </w:r>
      <w:r w:rsidR="002D5FAF" w:rsidRPr="00C63860">
        <w:rPr>
          <w:rFonts w:eastAsia="Calibri"/>
          <w:color w:val="D13438"/>
          <w:u w:val="single"/>
          <w:vertAlign w:val="superscript"/>
        </w:rPr>
        <w:t>8</w:t>
      </w:r>
      <w:r w:rsidR="000C0CA9" w:rsidRPr="00C63860">
        <w:rPr>
          <w:rFonts w:eastAsia="Calibri"/>
          <w:color w:val="D13438"/>
          <w:u w:val="single"/>
          <w:vertAlign w:val="superscript"/>
        </w:rPr>
        <w:t>,</w:t>
      </w:r>
      <w:r w:rsidRPr="00C63860">
        <w:rPr>
          <w:rFonts w:eastAsia="Calibri"/>
          <w:color w:val="D13438"/>
          <w:u w:val="single"/>
          <w:vertAlign w:val="superscript"/>
        </w:rPr>
        <w:t xml:space="preserve"> </w:t>
      </w:r>
      <w:r w:rsidR="000C0CA9" w:rsidRPr="00C63860">
        <w:rPr>
          <w:rFonts w:eastAsia="Calibri"/>
          <w:color w:val="D13438"/>
          <w:u w:val="single"/>
          <w:vertAlign w:val="superscript"/>
        </w:rPr>
        <w:t>67</w:t>
      </w:r>
      <w:r w:rsidRPr="00C63860">
        <w:rPr>
          <w:rFonts w:eastAsia="Calibri"/>
          <w:color w:val="D13438"/>
          <w:u w:val="single"/>
        </w:rPr>
        <w:t>) met the criteria for appendicitis, one for diverticular disease (</w:t>
      </w:r>
      <w:r w:rsidR="000C0CA9" w:rsidRPr="00C63860">
        <w:rPr>
          <w:rFonts w:eastAsia="Calibri"/>
          <w:color w:val="D13438"/>
          <w:u w:val="single"/>
          <w:vertAlign w:val="superscript"/>
        </w:rPr>
        <w:t>14</w:t>
      </w:r>
      <w:r w:rsidRPr="00C63860">
        <w:rPr>
          <w:rFonts w:eastAsia="Calibri"/>
          <w:color w:val="D13438"/>
          <w:u w:val="single"/>
        </w:rPr>
        <w:t>), three for cholelithiasis (</w:t>
      </w:r>
      <w:r w:rsidR="00006560" w:rsidRPr="00C63860">
        <w:rPr>
          <w:rFonts w:eastAsia="Calibri"/>
          <w:color w:val="D13438"/>
          <w:u w:val="single"/>
          <w:vertAlign w:val="superscript"/>
        </w:rPr>
        <w:t>83,</w:t>
      </w:r>
      <w:r w:rsidR="005F2E00" w:rsidRPr="00C63860">
        <w:rPr>
          <w:rFonts w:eastAsia="Calibri"/>
          <w:color w:val="D13438"/>
          <w:u w:val="single"/>
          <w:vertAlign w:val="superscript"/>
        </w:rPr>
        <w:t>138,</w:t>
      </w:r>
      <w:r w:rsidR="003415E0" w:rsidRPr="00C63860">
        <w:rPr>
          <w:rFonts w:eastAsia="Calibri"/>
          <w:color w:val="D13438"/>
          <w:u w:val="single"/>
          <w:vertAlign w:val="superscript"/>
        </w:rPr>
        <w:t>149</w:t>
      </w:r>
      <w:r w:rsidRPr="00C63860">
        <w:rPr>
          <w:rFonts w:eastAsia="Calibri"/>
          <w:color w:val="D13438"/>
          <w:u w:val="single"/>
        </w:rPr>
        <w:t>), one for hernia (</w:t>
      </w:r>
      <w:r w:rsidR="003415E0" w:rsidRPr="00C63860">
        <w:rPr>
          <w:rFonts w:eastAsia="Calibri"/>
          <w:color w:val="D13438"/>
          <w:u w:val="single"/>
          <w:vertAlign w:val="superscript"/>
        </w:rPr>
        <w:t>84</w:t>
      </w:r>
      <w:r w:rsidRPr="00C63860">
        <w:rPr>
          <w:rFonts w:eastAsia="Calibri"/>
          <w:color w:val="D13438"/>
          <w:u w:val="single"/>
        </w:rPr>
        <w:t>) and one for intestinal obstruction (</w:t>
      </w:r>
      <w:r w:rsidR="003415E0" w:rsidRPr="00C63860">
        <w:rPr>
          <w:rFonts w:eastAsia="Calibri"/>
          <w:color w:val="D13438"/>
          <w:u w:val="single"/>
          <w:vertAlign w:val="superscript"/>
        </w:rPr>
        <w:t>85</w:t>
      </w:r>
      <w:r w:rsidRPr="00C63860">
        <w:rPr>
          <w:rFonts w:eastAsia="Calibri"/>
          <w:color w:val="D13438"/>
          <w:u w:val="single"/>
        </w:rPr>
        <w:t>). For appendicitis, O</w:t>
      </w:r>
      <w:r w:rsidR="00C63860" w:rsidRPr="00C63860">
        <w:rPr>
          <w:rFonts w:eastAsia="Calibri"/>
          <w:color w:val="00B0F0"/>
          <w:u w:val="single"/>
        </w:rPr>
        <w:t>’</w:t>
      </w:r>
      <w:r w:rsidRPr="00C63860">
        <w:rPr>
          <w:rFonts w:eastAsia="Calibri"/>
          <w:color w:val="D13438"/>
          <w:u w:val="single"/>
        </w:rPr>
        <w:t>Leary</w:t>
      </w:r>
      <w:r w:rsidRPr="00C63860">
        <w:rPr>
          <w:rFonts w:eastAsia="Calibri"/>
          <w:i/>
          <w:color w:val="00B0F0"/>
          <w:u w:val="single"/>
        </w:rPr>
        <w:t xml:space="preserve"> et al</w:t>
      </w:r>
      <w:r w:rsidRPr="00C63860">
        <w:rPr>
          <w:rFonts w:eastAsia="Calibri"/>
          <w:color w:val="D13438"/>
          <w:u w:val="single"/>
        </w:rPr>
        <w:t>.</w:t>
      </w:r>
      <w:r w:rsidR="003415E0" w:rsidRPr="00C63860">
        <w:rPr>
          <w:rFonts w:eastAsia="Calibri"/>
          <w:color w:val="D13438"/>
          <w:u w:val="single"/>
          <w:vertAlign w:val="superscript"/>
        </w:rPr>
        <w:t>8</w:t>
      </w:r>
      <w:r w:rsidRPr="00C63860">
        <w:rPr>
          <w:rFonts w:eastAsia="Calibri"/>
          <w:color w:val="D13438"/>
          <w:u w:val="single"/>
          <w:vertAlign w:val="superscript"/>
        </w:rPr>
        <w:t xml:space="preserve"> </w:t>
      </w:r>
      <w:r w:rsidRPr="00C63860">
        <w:rPr>
          <w:rFonts w:eastAsia="Calibri"/>
          <w:color w:val="D13438"/>
          <w:u w:val="single"/>
        </w:rPr>
        <w:t>was chosen over Sippola</w:t>
      </w:r>
      <w:r w:rsidRPr="00C63860">
        <w:rPr>
          <w:rFonts w:eastAsia="Calibri"/>
          <w:i/>
          <w:color w:val="00B0F0"/>
          <w:u w:val="single"/>
        </w:rPr>
        <w:t xml:space="preserve"> et al</w:t>
      </w:r>
      <w:r w:rsidRPr="00C63860">
        <w:rPr>
          <w:rFonts w:eastAsia="Calibri"/>
          <w:color w:val="D13438"/>
          <w:u w:val="single"/>
        </w:rPr>
        <w:t>.</w:t>
      </w:r>
      <w:r w:rsidR="003415E0" w:rsidRPr="00C63860">
        <w:rPr>
          <w:rFonts w:eastAsia="Calibri"/>
          <w:color w:val="D13438"/>
          <w:u w:val="single"/>
          <w:vertAlign w:val="superscript"/>
        </w:rPr>
        <w:t>67</w:t>
      </w:r>
      <w:r w:rsidRPr="00C63860">
        <w:rPr>
          <w:rFonts w:eastAsia="Calibri"/>
          <w:color w:val="D13438"/>
          <w:u w:val="single"/>
        </w:rPr>
        <w:t xml:space="preserve"> because</w:t>
      </w:r>
      <w:r w:rsidR="00DE3E1E" w:rsidRPr="00C63860">
        <w:rPr>
          <w:rFonts w:eastAsia="Calibri"/>
          <w:color w:val="D13438"/>
          <w:u w:val="single"/>
        </w:rPr>
        <w:t xml:space="preserve"> </w:t>
      </w:r>
      <w:r w:rsidRPr="00C63860" w:rsidDel="00AF34B3">
        <w:rPr>
          <w:rFonts w:eastAsia="Calibri"/>
          <w:color w:val="D13438"/>
          <w:u w:val="single"/>
        </w:rPr>
        <w:t xml:space="preserve">the </w:t>
      </w:r>
      <w:r w:rsidRPr="00C63860" w:rsidDel="00AF34B3">
        <w:rPr>
          <w:rFonts w:eastAsia="Calibri"/>
          <w:color w:val="D13438"/>
          <w:highlight w:val="magenta"/>
          <w:u w:val="single"/>
        </w:rPr>
        <w:t>latter</w:t>
      </w:r>
      <w:r w:rsidRPr="00C63860" w:rsidDel="00AF34B3">
        <w:rPr>
          <w:rFonts w:eastAsia="Calibri"/>
          <w:color w:val="D13438"/>
          <w:u w:val="single"/>
        </w:rPr>
        <w:t xml:space="preserve"> reported outcomes </w:t>
      </w:r>
      <w:r w:rsidR="00501C41" w:rsidRPr="00C63860">
        <w:rPr>
          <w:rFonts w:eastAsia="Calibri"/>
          <w:color w:val="D13438"/>
          <w:u w:val="single"/>
        </w:rPr>
        <w:t xml:space="preserve">for </w:t>
      </w:r>
      <w:r w:rsidR="732F2BDB" w:rsidRPr="00C63860" w:rsidDel="00AF34B3">
        <w:rPr>
          <w:rFonts w:eastAsia="Calibri"/>
          <w:color w:val="D13438"/>
          <w:u w:val="single"/>
        </w:rPr>
        <w:t>a median follow-up of seven years whereas O</w:t>
      </w:r>
      <w:r w:rsidR="00C63860" w:rsidRPr="00C63860">
        <w:rPr>
          <w:rFonts w:eastAsia="Calibri"/>
          <w:color w:val="00B0F0"/>
          <w:u w:val="single"/>
        </w:rPr>
        <w:t>’</w:t>
      </w:r>
      <w:r w:rsidR="732F2BDB" w:rsidRPr="00C63860" w:rsidDel="00AF34B3">
        <w:rPr>
          <w:rFonts w:eastAsia="Calibri"/>
          <w:color w:val="D13438"/>
          <w:u w:val="single"/>
        </w:rPr>
        <w:t>Leary</w:t>
      </w:r>
      <w:r w:rsidR="732F2BDB" w:rsidRPr="00C63860" w:rsidDel="00DE3E1E">
        <w:rPr>
          <w:rFonts w:eastAsia="Calibri"/>
          <w:i/>
          <w:color w:val="00B0F0"/>
          <w:u w:val="single"/>
        </w:rPr>
        <w:t xml:space="preserve"> </w:t>
      </w:r>
      <w:r w:rsidR="003415E0" w:rsidRPr="00C63860">
        <w:rPr>
          <w:rFonts w:eastAsia="Calibri"/>
          <w:i/>
          <w:color w:val="00B0F0"/>
          <w:u w:val="single"/>
        </w:rPr>
        <w:t>et al</w:t>
      </w:r>
      <w:r w:rsidR="003415E0" w:rsidRPr="00C63860">
        <w:rPr>
          <w:rFonts w:eastAsia="Calibri"/>
          <w:color w:val="D13438"/>
          <w:u w:val="single"/>
        </w:rPr>
        <w:t>.</w:t>
      </w:r>
      <w:r w:rsidR="003415E0" w:rsidRPr="00C63860">
        <w:rPr>
          <w:rFonts w:eastAsia="Calibri"/>
          <w:color w:val="D13438"/>
          <w:u w:val="single"/>
          <w:vertAlign w:val="superscript"/>
        </w:rPr>
        <w:t>8</w:t>
      </w:r>
      <w:r w:rsidR="732F2BDB" w:rsidRPr="00C63860">
        <w:rPr>
          <w:rFonts w:eastAsia="Calibri"/>
          <w:color w:val="D13438"/>
          <w:u w:val="single"/>
        </w:rPr>
        <w:t xml:space="preserve"> </w:t>
      </w:r>
      <w:r w:rsidR="732F2BDB" w:rsidRPr="00C63860" w:rsidDel="00DE3E1E">
        <w:rPr>
          <w:rFonts w:eastAsia="Calibri"/>
          <w:color w:val="D13438"/>
          <w:u w:val="single"/>
        </w:rPr>
        <w:t>reported HRQoL at baseline and one year</w:t>
      </w:r>
      <w:r w:rsidRPr="00C63860" w:rsidDel="00AF34B3">
        <w:rPr>
          <w:rFonts w:eastAsia="Calibri"/>
          <w:color w:val="D13438"/>
          <w:u w:val="single"/>
        </w:rPr>
        <w:t>.</w:t>
      </w:r>
      <w:r w:rsidRPr="00C63860">
        <w:rPr>
          <w:rFonts w:eastAsia="Calibri"/>
          <w:color w:val="D13438"/>
          <w:u w:val="single"/>
        </w:rPr>
        <w:t xml:space="preserve"> </w:t>
      </w:r>
      <w:r w:rsidRPr="00C63860" w:rsidDel="000E390D">
        <w:rPr>
          <w:rFonts w:eastAsia="Calibri"/>
          <w:color w:val="D13438"/>
          <w:u w:val="single"/>
        </w:rPr>
        <w:t>Neither of the three studies identified for abdominal wall hernia was restricted to patients admitted as an emergency. Rutegard</w:t>
      </w:r>
      <w:r w:rsidRPr="00C63860" w:rsidDel="000E390D">
        <w:rPr>
          <w:rFonts w:eastAsia="Calibri"/>
          <w:i/>
          <w:color w:val="00B0F0"/>
          <w:u w:val="single"/>
        </w:rPr>
        <w:t xml:space="preserve"> et al</w:t>
      </w:r>
      <w:r w:rsidRPr="00C63860">
        <w:rPr>
          <w:rFonts w:eastAsia="Calibri"/>
          <w:color w:val="D13438"/>
          <w:u w:val="single"/>
        </w:rPr>
        <w:t>.</w:t>
      </w:r>
      <w:r w:rsidR="003415E0" w:rsidRPr="00C63860">
        <w:rPr>
          <w:rFonts w:eastAsia="Calibri"/>
          <w:color w:val="D13438"/>
          <w:u w:val="single"/>
          <w:vertAlign w:val="superscript"/>
        </w:rPr>
        <w:t>84</w:t>
      </w:r>
      <w:r w:rsidRPr="00C63860" w:rsidDel="000E390D">
        <w:rPr>
          <w:rFonts w:eastAsia="Calibri"/>
          <w:color w:val="D13438"/>
          <w:u w:val="single"/>
          <w:vertAlign w:val="superscript"/>
        </w:rPr>
        <w:t xml:space="preserve"> </w:t>
      </w:r>
      <w:r w:rsidRPr="00C63860" w:rsidDel="000E390D">
        <w:rPr>
          <w:rFonts w:eastAsia="Calibri"/>
          <w:color w:val="D13438"/>
          <w:u w:val="single"/>
        </w:rPr>
        <w:t xml:space="preserve">was selected over the other two because it was the only one to restrict the population to symptomatic patients. </w:t>
      </w:r>
      <w:r w:rsidRPr="00C63860" w:rsidDel="0067771E">
        <w:rPr>
          <w:rFonts w:eastAsia="Calibri"/>
          <w:color w:val="D13438"/>
          <w:u w:val="single"/>
        </w:rPr>
        <w:t xml:space="preserve">Likewise, most studies identified for cholelithiasis considered elective cholecystectomies. However, </w:t>
      </w:r>
      <w:r w:rsidRPr="00C63860">
        <w:rPr>
          <w:rFonts w:eastAsia="Calibri"/>
          <w:color w:val="D13438"/>
          <w:u w:val="single"/>
        </w:rPr>
        <w:t>Sutherland</w:t>
      </w:r>
      <w:r w:rsidRPr="00C63860">
        <w:rPr>
          <w:rFonts w:eastAsia="Calibri"/>
          <w:i/>
          <w:color w:val="00B0F0"/>
          <w:u w:val="single"/>
        </w:rPr>
        <w:t xml:space="preserve"> et al</w:t>
      </w:r>
      <w:r w:rsidRPr="00C63860">
        <w:rPr>
          <w:rFonts w:eastAsia="Calibri"/>
          <w:color w:val="D13438"/>
          <w:u w:val="single"/>
        </w:rPr>
        <w:t>.</w:t>
      </w:r>
      <w:r w:rsidR="003415E0" w:rsidRPr="00C63860">
        <w:rPr>
          <w:rFonts w:eastAsia="Calibri"/>
          <w:color w:val="D13438"/>
          <w:u w:val="single"/>
          <w:vertAlign w:val="superscript"/>
        </w:rPr>
        <w:t>83</w:t>
      </w:r>
      <w:r w:rsidRPr="00C63860">
        <w:rPr>
          <w:rFonts w:eastAsia="Calibri"/>
          <w:color w:val="D13438"/>
          <w:u w:val="single"/>
        </w:rPr>
        <w:t>, was favoured over Karimuddin</w:t>
      </w:r>
      <w:r w:rsidRPr="00C63860">
        <w:rPr>
          <w:rFonts w:eastAsia="Calibri"/>
          <w:i/>
          <w:color w:val="00B0F0"/>
          <w:u w:val="single"/>
        </w:rPr>
        <w:t xml:space="preserve"> et al</w:t>
      </w:r>
      <w:r w:rsidRPr="00C63860">
        <w:rPr>
          <w:rFonts w:eastAsia="Calibri"/>
          <w:color w:val="D13438"/>
          <w:u w:val="single"/>
        </w:rPr>
        <w:t xml:space="preserve">. </w:t>
      </w:r>
      <w:r w:rsidR="003415E0" w:rsidRPr="00C63860">
        <w:rPr>
          <w:rFonts w:eastAsia="Calibri"/>
          <w:color w:val="D13438"/>
          <w:u w:val="single"/>
          <w:vertAlign w:val="superscript"/>
        </w:rPr>
        <w:t>138</w:t>
      </w:r>
      <w:r w:rsidRPr="00C63860">
        <w:rPr>
          <w:rFonts w:eastAsia="Calibri"/>
          <w:color w:val="D13438"/>
          <w:u w:val="single"/>
        </w:rPr>
        <w:t xml:space="preserve"> and Rosenmuller</w:t>
      </w:r>
      <w:r w:rsidRPr="00C63860">
        <w:rPr>
          <w:rFonts w:eastAsia="Calibri"/>
          <w:i/>
          <w:color w:val="00B0F0"/>
          <w:u w:val="single"/>
        </w:rPr>
        <w:t xml:space="preserve"> et al</w:t>
      </w:r>
      <w:r w:rsidRPr="00C63860">
        <w:rPr>
          <w:rFonts w:eastAsia="Calibri"/>
          <w:color w:val="D13438"/>
          <w:u w:val="single"/>
        </w:rPr>
        <w:t>.</w:t>
      </w:r>
      <w:r w:rsidR="003415E0" w:rsidRPr="00C63860">
        <w:rPr>
          <w:rFonts w:eastAsia="Calibri"/>
          <w:color w:val="D13438"/>
          <w:u w:val="single"/>
          <w:vertAlign w:val="superscript"/>
        </w:rPr>
        <w:t>149</w:t>
      </w:r>
      <w:r w:rsidR="00C63860" w:rsidRPr="00C63860">
        <w:rPr>
          <w:rFonts w:eastAsia="Calibri"/>
          <w:color w:val="00B0F0"/>
          <w:u w:val="single"/>
        </w:rPr>
        <w:t>,</w:t>
      </w:r>
      <w:r w:rsidRPr="00C63860">
        <w:rPr>
          <w:rFonts w:eastAsia="Calibri"/>
          <w:color w:val="D13438"/>
          <w:u w:val="single"/>
        </w:rPr>
        <w:t xml:space="preserve"> because it restricted the population to symptomatic patients.</w:t>
      </w:r>
      <w:r w:rsidR="00C44FC7" w:rsidRPr="00C63860">
        <w:rPr>
          <w:rFonts w:eastAsia="Calibri"/>
          <w:color w:val="D13438"/>
          <w:u w:val="single"/>
        </w:rPr>
        <w:t xml:space="preserve"> </w:t>
      </w:r>
      <w:r w:rsidR="0060175B" w:rsidRPr="00C63860">
        <w:rPr>
          <w:rFonts w:eastAsia="Calibri"/>
          <w:color w:val="D13438"/>
          <w:u w:val="single"/>
        </w:rPr>
        <w:t>While it was not possible to find studies conducted in the UK the studies that met the selection criteria were from similar health care systems, and from populations with similar demographics and cultural norms to the UK.</w:t>
      </w:r>
      <w:r w:rsidR="00C63860" w:rsidRPr="00C63860">
        <w:rPr>
          <w:rFonts w:eastAsia="Calibri"/>
          <w:color w:val="D13438"/>
          <w:u w:val="single"/>
        </w:rPr>
        <w:t xml:space="preserve"> </w:t>
      </w:r>
      <w:r w:rsidR="0060175B" w:rsidRPr="00C63860">
        <w:rPr>
          <w:rFonts w:eastAsia="Calibri"/>
          <w:color w:val="D13438"/>
          <w:u w:val="single"/>
        </w:rPr>
        <w:t xml:space="preserve">The </w:t>
      </w:r>
      <w:r w:rsidR="004309DF" w:rsidRPr="00C63860">
        <w:rPr>
          <w:rFonts w:eastAsia="Calibri"/>
          <w:color w:val="D13438"/>
          <w:u w:val="single"/>
        </w:rPr>
        <w:t>O</w:t>
      </w:r>
      <w:r w:rsidR="00C63860" w:rsidRPr="00C63860">
        <w:rPr>
          <w:rFonts w:eastAsia="Calibri"/>
          <w:color w:val="00B0F0"/>
          <w:u w:val="single"/>
        </w:rPr>
        <w:t>’</w:t>
      </w:r>
      <w:r w:rsidR="004309DF" w:rsidRPr="00C63860">
        <w:rPr>
          <w:rFonts w:eastAsia="Calibri"/>
          <w:color w:val="D13438"/>
          <w:u w:val="single"/>
        </w:rPr>
        <w:t>Leary</w:t>
      </w:r>
      <w:r w:rsidR="004309DF" w:rsidRPr="00C63860">
        <w:rPr>
          <w:rFonts w:eastAsia="Calibri"/>
          <w:i/>
          <w:color w:val="00B0F0"/>
          <w:u w:val="single"/>
        </w:rPr>
        <w:t xml:space="preserve"> et al</w:t>
      </w:r>
      <w:r w:rsidR="004309DF" w:rsidRPr="00C63860">
        <w:rPr>
          <w:rFonts w:eastAsia="Calibri"/>
          <w:color w:val="D13438"/>
          <w:u w:val="single"/>
        </w:rPr>
        <w:t>.</w:t>
      </w:r>
      <w:r w:rsidR="004309DF" w:rsidRPr="00C63860">
        <w:rPr>
          <w:rFonts w:eastAsia="Calibri"/>
          <w:color w:val="D13438"/>
          <w:u w:val="single"/>
          <w:vertAlign w:val="superscript"/>
        </w:rPr>
        <w:t xml:space="preserve">8 </w:t>
      </w:r>
      <w:r w:rsidR="004309DF" w:rsidRPr="00C63860">
        <w:rPr>
          <w:rFonts w:eastAsia="Calibri"/>
          <w:color w:val="D13438"/>
          <w:u w:val="single"/>
        </w:rPr>
        <w:t>study was undertaken in</w:t>
      </w:r>
      <w:r w:rsidR="00C63860" w:rsidRPr="00C63860">
        <w:rPr>
          <w:rFonts w:eastAsia="Calibri"/>
          <w:color w:val="D13438"/>
          <w:u w:val="single"/>
        </w:rPr>
        <w:t xml:space="preserve"> </w:t>
      </w:r>
      <w:r w:rsidR="0060175B" w:rsidRPr="00C63860">
        <w:rPr>
          <w:rFonts w:eastAsia="Calibri"/>
          <w:color w:val="D13438"/>
          <w:u w:val="single"/>
        </w:rPr>
        <w:t xml:space="preserve">Ireland, </w:t>
      </w:r>
      <w:r w:rsidR="004309DF" w:rsidRPr="00C63860">
        <w:rPr>
          <w:rFonts w:asciiTheme="minorHAnsi" w:hAnsiTheme="minorHAnsi" w:cstheme="minorBidi"/>
        </w:rPr>
        <w:t>Thornell</w:t>
      </w:r>
      <w:r w:rsidR="004309DF" w:rsidRPr="00C63860">
        <w:rPr>
          <w:rFonts w:asciiTheme="minorHAnsi" w:hAnsiTheme="minorHAnsi" w:cstheme="minorBidi"/>
          <w:i/>
          <w:color w:val="00B0F0"/>
        </w:rPr>
        <w:t xml:space="preserve"> et al</w:t>
      </w:r>
      <w:r w:rsidR="004309DF" w:rsidRPr="00C63860">
        <w:rPr>
          <w:rFonts w:asciiTheme="minorHAnsi" w:hAnsiTheme="minorHAnsi" w:cstheme="minorBidi"/>
        </w:rPr>
        <w:t>.</w:t>
      </w:r>
      <w:r w:rsidR="004309DF" w:rsidRPr="00C63860">
        <w:rPr>
          <w:rFonts w:asciiTheme="minorHAnsi" w:hAnsiTheme="minorHAnsi" w:cstheme="minorBidi"/>
          <w:vertAlign w:val="superscript"/>
        </w:rPr>
        <w:t>14</w:t>
      </w:r>
      <w:r w:rsidR="004309DF" w:rsidRPr="00C63860">
        <w:rPr>
          <w:rFonts w:asciiTheme="minorHAnsi" w:hAnsiTheme="minorHAnsi" w:cstheme="minorBidi"/>
        </w:rPr>
        <w:t xml:space="preserve"> in </w:t>
      </w:r>
      <w:r w:rsidR="00D50934" w:rsidRPr="00C63860">
        <w:rPr>
          <w:rFonts w:eastAsia="Calibri"/>
          <w:color w:val="D13438"/>
          <w:u w:val="single"/>
        </w:rPr>
        <w:t>Sweden</w:t>
      </w:r>
      <w:r w:rsidR="003A27DC" w:rsidRPr="00C63860">
        <w:rPr>
          <w:rFonts w:eastAsia="Calibri"/>
          <w:color w:val="D13438"/>
          <w:u w:val="single"/>
        </w:rPr>
        <w:t xml:space="preserve"> and </w:t>
      </w:r>
      <w:r w:rsidR="00D50934" w:rsidRPr="00C63860">
        <w:rPr>
          <w:rFonts w:eastAsia="Calibri"/>
          <w:color w:val="D13438"/>
          <w:u w:val="single"/>
        </w:rPr>
        <w:t xml:space="preserve">Denmark, </w:t>
      </w:r>
      <w:r w:rsidR="004309DF" w:rsidRPr="00C63860">
        <w:rPr>
          <w:rFonts w:asciiTheme="minorHAnsi" w:hAnsiTheme="minorHAnsi" w:cstheme="minorBidi"/>
        </w:rPr>
        <w:t>Sutherland</w:t>
      </w:r>
      <w:r w:rsidR="004309DF" w:rsidRPr="00C63860">
        <w:rPr>
          <w:rFonts w:asciiTheme="minorHAnsi" w:hAnsiTheme="minorHAnsi" w:cstheme="minorBidi"/>
          <w:i/>
          <w:color w:val="00B0F0"/>
        </w:rPr>
        <w:t xml:space="preserve"> et al</w:t>
      </w:r>
      <w:r w:rsidR="004309DF" w:rsidRPr="00C63860">
        <w:rPr>
          <w:rFonts w:asciiTheme="minorHAnsi" w:hAnsiTheme="minorHAnsi" w:cstheme="minorBidi"/>
        </w:rPr>
        <w:t>.</w:t>
      </w:r>
      <w:r w:rsidR="004309DF" w:rsidRPr="00C63860">
        <w:rPr>
          <w:rFonts w:asciiTheme="minorHAnsi" w:hAnsiTheme="minorHAnsi" w:cstheme="minorBidi"/>
          <w:vertAlign w:val="superscript"/>
        </w:rPr>
        <w:t xml:space="preserve">83 </w:t>
      </w:r>
      <w:r w:rsidR="004309DF" w:rsidRPr="00C63860">
        <w:rPr>
          <w:rFonts w:eastAsia="Calibri"/>
          <w:color w:val="D13438"/>
          <w:u w:val="single"/>
        </w:rPr>
        <w:t xml:space="preserve">in </w:t>
      </w:r>
      <w:r w:rsidR="00427A8C" w:rsidRPr="00C63860">
        <w:rPr>
          <w:rFonts w:eastAsia="Calibri"/>
          <w:color w:val="D13438"/>
          <w:u w:val="single"/>
        </w:rPr>
        <w:t xml:space="preserve">Canada, </w:t>
      </w:r>
      <w:r w:rsidR="004309DF" w:rsidRPr="00C63860">
        <w:rPr>
          <w:rFonts w:eastAsia="Calibri"/>
          <w:color w:val="D13438"/>
          <w:u w:val="single"/>
        </w:rPr>
        <w:t>Rutegard</w:t>
      </w:r>
      <w:r w:rsidR="004309DF" w:rsidRPr="00C63860">
        <w:rPr>
          <w:rFonts w:eastAsia="Calibri"/>
          <w:i/>
          <w:color w:val="00B0F0"/>
          <w:u w:val="single"/>
        </w:rPr>
        <w:t xml:space="preserve"> et al</w:t>
      </w:r>
      <w:r w:rsidR="004309DF" w:rsidRPr="00C63860">
        <w:rPr>
          <w:rFonts w:eastAsia="Calibri"/>
          <w:color w:val="D13438"/>
          <w:u w:val="single"/>
        </w:rPr>
        <w:t>.</w:t>
      </w:r>
      <w:r w:rsidR="004309DF" w:rsidRPr="00C63860">
        <w:rPr>
          <w:rFonts w:eastAsia="Calibri"/>
          <w:color w:val="D13438"/>
          <w:u w:val="single"/>
          <w:vertAlign w:val="superscript"/>
        </w:rPr>
        <w:t xml:space="preserve">84 </w:t>
      </w:r>
      <w:r w:rsidR="008F2F8A" w:rsidRPr="00C63860">
        <w:rPr>
          <w:rFonts w:eastAsia="Calibri"/>
          <w:color w:val="D13438"/>
          <w:u w:val="single"/>
        </w:rPr>
        <w:t xml:space="preserve">in Sweden and </w:t>
      </w:r>
      <w:r w:rsidR="008F2F8A" w:rsidRPr="00C63860">
        <w:rPr>
          <w:rFonts w:asciiTheme="minorHAnsi" w:hAnsiTheme="minorHAnsi" w:cstheme="minorBidi"/>
        </w:rPr>
        <w:t>Young and Zahid</w:t>
      </w:r>
      <w:r w:rsidR="008F2F8A" w:rsidRPr="00C63860">
        <w:rPr>
          <w:rFonts w:asciiTheme="minorHAnsi" w:hAnsiTheme="minorHAnsi" w:cstheme="minorBidi"/>
          <w:vertAlign w:val="superscript"/>
        </w:rPr>
        <w:t xml:space="preserve">85 </w:t>
      </w:r>
      <w:r w:rsidR="008F2F8A" w:rsidRPr="00C63860">
        <w:rPr>
          <w:rFonts w:asciiTheme="minorHAnsi" w:hAnsiTheme="minorHAnsi" w:cstheme="minorBidi"/>
        </w:rPr>
        <w:t>in</w:t>
      </w:r>
      <w:r w:rsidR="008F2F8A" w:rsidRPr="00C63860">
        <w:rPr>
          <w:rFonts w:eastAsia="Calibri"/>
          <w:color w:val="D13438"/>
          <w:u w:val="single"/>
        </w:rPr>
        <w:t xml:space="preserve"> Australia</w:t>
      </w:r>
      <w:r w:rsidR="0060175B" w:rsidRPr="00C63860">
        <w:rPr>
          <w:rFonts w:eastAsia="Calibri"/>
          <w:color w:val="D13438"/>
          <w:u w:val="single"/>
        </w:rPr>
        <w:t>.</w:t>
      </w:r>
    </w:p>
    <w:p w14:paraId="414DAA60" w14:textId="77777777" w:rsidR="00C63860" w:rsidRPr="00C63860" w:rsidRDefault="35840B7B" w:rsidP="732F2BDB">
      <w:pPr>
        <w:spacing w:before="240" w:after="240" w:line="276" w:lineRule="auto"/>
        <w:rPr>
          <w:rFonts w:eastAsia="Calibri"/>
          <w:color w:val="000000" w:themeColor="text1"/>
          <w:u w:val="single"/>
        </w:rPr>
      </w:pPr>
      <w:r w:rsidRPr="00C63860">
        <w:rPr>
          <w:rFonts w:asciiTheme="minorHAnsi" w:hAnsiTheme="minorHAnsi" w:cstheme="minorBidi"/>
        </w:rPr>
        <w:t>Four out of the five studies selected compared different forms of ES, rather than ES versus NES strategies (Thornell</w:t>
      </w:r>
      <w:r w:rsidRPr="00C63860">
        <w:rPr>
          <w:rFonts w:asciiTheme="minorHAnsi" w:hAnsiTheme="minorHAnsi" w:cstheme="minorBidi"/>
          <w:i/>
          <w:color w:val="00B0F0"/>
        </w:rPr>
        <w:t xml:space="preserve"> et al</w:t>
      </w:r>
      <w:r w:rsidRPr="00C63860">
        <w:rPr>
          <w:rFonts w:asciiTheme="minorHAnsi" w:hAnsiTheme="minorHAnsi" w:cstheme="minorBidi"/>
        </w:rPr>
        <w:t>.</w:t>
      </w:r>
      <w:r w:rsidR="003415E0" w:rsidRPr="00C63860" w:rsidDel="003415E0">
        <w:rPr>
          <w:rFonts w:asciiTheme="minorHAnsi" w:hAnsiTheme="minorHAnsi" w:cstheme="minorBidi"/>
          <w:vertAlign w:val="superscript"/>
        </w:rPr>
        <w:t>14</w:t>
      </w:r>
      <w:r w:rsidR="004F5EDC" w:rsidRPr="00C63860">
        <w:rPr>
          <w:rFonts w:asciiTheme="minorHAnsi" w:hAnsiTheme="minorHAnsi" w:cstheme="minorBidi"/>
        </w:rPr>
        <w:t>,</w:t>
      </w:r>
      <w:r w:rsidRPr="00C63860">
        <w:rPr>
          <w:rFonts w:asciiTheme="minorHAnsi" w:hAnsiTheme="minorHAnsi" w:cstheme="minorBidi"/>
        </w:rPr>
        <w:t xml:space="preserve"> Sutherland</w:t>
      </w:r>
      <w:r w:rsidRPr="00C63860">
        <w:rPr>
          <w:rFonts w:asciiTheme="minorHAnsi" w:hAnsiTheme="minorHAnsi" w:cstheme="minorBidi"/>
          <w:i/>
          <w:color w:val="00B0F0"/>
        </w:rPr>
        <w:t xml:space="preserve"> et al</w:t>
      </w:r>
      <w:r w:rsidRPr="00C63860">
        <w:rPr>
          <w:rFonts w:asciiTheme="minorHAnsi" w:hAnsiTheme="minorHAnsi" w:cstheme="minorBidi"/>
        </w:rPr>
        <w:t>.</w:t>
      </w:r>
      <w:r w:rsidR="003415E0" w:rsidRPr="00C63860">
        <w:rPr>
          <w:rFonts w:asciiTheme="minorHAnsi" w:hAnsiTheme="minorHAnsi" w:cstheme="minorBidi"/>
          <w:vertAlign w:val="superscript"/>
        </w:rPr>
        <w:t>83</w:t>
      </w:r>
      <w:r w:rsidR="004F5EDC" w:rsidRPr="00C63860">
        <w:rPr>
          <w:rFonts w:asciiTheme="minorHAnsi" w:hAnsiTheme="minorHAnsi" w:cstheme="minorBidi"/>
        </w:rPr>
        <w:t>,</w:t>
      </w:r>
      <w:r w:rsidRPr="00C63860">
        <w:rPr>
          <w:rFonts w:asciiTheme="minorHAnsi" w:hAnsiTheme="minorHAnsi" w:cstheme="minorBidi"/>
        </w:rPr>
        <w:t xml:space="preserve"> Rutegard</w:t>
      </w:r>
      <w:r w:rsidRPr="00C63860">
        <w:rPr>
          <w:rFonts w:asciiTheme="minorHAnsi" w:hAnsiTheme="minorHAnsi" w:cstheme="minorBidi"/>
          <w:i/>
          <w:color w:val="00B0F0"/>
        </w:rPr>
        <w:t xml:space="preserve"> et al</w:t>
      </w:r>
      <w:r w:rsidR="004F5EDC" w:rsidRPr="00C63860">
        <w:rPr>
          <w:rFonts w:asciiTheme="minorHAnsi" w:hAnsiTheme="minorHAnsi" w:cstheme="minorBidi"/>
        </w:rPr>
        <w:t>.</w:t>
      </w:r>
      <w:r w:rsidR="004F5EDC" w:rsidRPr="00C63860">
        <w:rPr>
          <w:rFonts w:asciiTheme="minorHAnsi" w:hAnsiTheme="minorHAnsi" w:cstheme="minorBidi"/>
          <w:vertAlign w:val="superscript"/>
        </w:rPr>
        <w:t>84</w:t>
      </w:r>
      <w:r w:rsidRPr="00C63860">
        <w:rPr>
          <w:rFonts w:asciiTheme="minorHAnsi" w:hAnsiTheme="minorHAnsi" w:cstheme="minorBidi"/>
        </w:rPr>
        <w:t xml:space="preserve"> and Young and Zahid</w:t>
      </w:r>
      <w:r w:rsidR="004F5EDC" w:rsidRPr="00C63860">
        <w:rPr>
          <w:rFonts w:asciiTheme="minorHAnsi" w:hAnsiTheme="minorHAnsi" w:cstheme="minorBidi"/>
          <w:vertAlign w:val="superscript"/>
        </w:rPr>
        <w:t>85</w:t>
      </w:r>
      <w:r w:rsidRPr="00C63860">
        <w:rPr>
          <w:rFonts w:asciiTheme="minorHAnsi" w:hAnsiTheme="minorHAnsi" w:cstheme="minorBidi"/>
        </w:rPr>
        <w:t xml:space="preserve">). </w:t>
      </w:r>
      <w:r w:rsidRPr="00C63860" w:rsidDel="0057197D">
        <w:rPr>
          <w:rFonts w:asciiTheme="minorHAnsi" w:hAnsiTheme="minorHAnsi" w:cstheme="minorBidi"/>
        </w:rPr>
        <w:t>For this reason, as a unified approach across all five conditions, we</w:t>
      </w:r>
      <w:r w:rsidRPr="00C63860">
        <w:rPr>
          <w:rFonts w:asciiTheme="minorHAnsi" w:hAnsiTheme="minorHAnsi" w:cstheme="minorBidi"/>
        </w:rPr>
        <w:t xml:space="preserve"> applied the same HRQoL scores at baseline and one year to both comparison groups as outlined in Section 4.2.5, in keeping with the assumption noted above, that any differences in HRQoL between the comparison groups would be captured by differences in one-year mortality, and the rate and duration of emergency readmissions.</w:t>
      </w:r>
    </w:p>
    <w:p w14:paraId="64094A59" w14:textId="044205A8" w:rsidR="00C63860" w:rsidRPr="00C63860" w:rsidRDefault="00C63860" w:rsidP="005764AC">
      <w:pPr>
        <w:pStyle w:val="Caption"/>
        <w:rPr>
          <w:rFonts w:asciiTheme="minorHAnsi" w:hAnsiTheme="minorHAnsi"/>
          <w:b/>
          <w:bCs/>
          <w:color w:val="auto"/>
          <w:sz w:val="22"/>
          <w:szCs w:val="22"/>
        </w:rPr>
      </w:pPr>
      <w:bookmarkStart w:id="114" w:name="_Toc86670798"/>
      <w:r w:rsidRPr="00C63860">
        <w:rPr>
          <w:b/>
          <w:bCs/>
          <w:color w:val="FF0000"/>
          <w:sz w:val="22"/>
          <w:szCs w:val="22"/>
        </w:rPr>
        <w:t xml:space="preserve">Table </w:t>
      </w:r>
      <w:r w:rsidRPr="00C63860">
        <w:rPr>
          <w:b/>
          <w:bCs/>
          <w:noProof/>
          <w:color w:val="FF0000"/>
          <w:sz w:val="22"/>
          <w:szCs w:val="22"/>
        </w:rPr>
        <w:t>26</w:t>
      </w:r>
      <w:r w:rsidR="005764AC" w:rsidRPr="00C63860">
        <w:rPr>
          <w:b/>
          <w:bCs/>
          <w:color w:val="auto"/>
          <w:sz w:val="22"/>
          <w:szCs w:val="22"/>
        </w:rPr>
        <w:t xml:space="preserve">: Search strategies for HRQoL </w:t>
      </w:r>
      <w:r w:rsidR="005764AC" w:rsidRPr="00C63860">
        <w:rPr>
          <w:b/>
          <w:bCs/>
          <w:color w:val="auto"/>
          <w:sz w:val="22"/>
          <w:szCs w:val="22"/>
          <w:highlight w:val="magenta"/>
        </w:rPr>
        <w:t>data</w:t>
      </w:r>
      <w:bookmarkEnd w:id="114"/>
    </w:p>
    <w:p w14:paraId="74CE4E5E" w14:textId="353597B2" w:rsidR="00470AE4" w:rsidRPr="00C63860" w:rsidRDefault="00470AE4" w:rsidP="00470AE4">
      <w:pPr>
        <w:rPr>
          <w:rFonts w:asciiTheme="minorHAnsi" w:hAnsiTheme="minorHAnsi"/>
          <w:b/>
          <w:highlight w:val="green"/>
        </w:rPr>
      </w:pPr>
      <w:r w:rsidRPr="00C63860">
        <w:rPr>
          <w:rFonts w:asciiTheme="minorHAnsi" w:hAnsiTheme="minorHAnsi"/>
          <w:b/>
          <w:highlight w:val="green"/>
        </w:rPr>
        <w:t>(A) Appendicitis</w:t>
      </w:r>
    </w:p>
    <w:p w14:paraId="29A15F2A" w14:textId="77777777" w:rsidR="00470AE4" w:rsidRPr="00C63860" w:rsidRDefault="00470AE4" w:rsidP="00470AE4">
      <w:pPr>
        <w:rPr>
          <w:highlight w:val="green"/>
        </w:rPr>
      </w:pPr>
      <w:r w:rsidRPr="00C63860">
        <w:rPr>
          <w:rFonts w:ascii="Arial Unicode MS" w:eastAsia="Arial Unicode MS" w:hAnsi="Arial Unicode MS" w:cs="Arial Unicode MS"/>
          <w:highlight w:val="green"/>
        </w:rPr>
        <w:t>Database: Ovid MEDLINE(R) ALL &lt;1946 to August 19, 2021&gt;</w:t>
      </w:r>
    </w:p>
    <w:p w14:paraId="2ECCA134"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Search Strategy:</w:t>
      </w:r>
    </w:p>
    <w:p w14:paraId="7B5124A6"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w:t>
      </w:r>
    </w:p>
    <w:p w14:paraId="72F7EF8F"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     *appendicitis/ (16067)</w:t>
      </w:r>
    </w:p>
    <w:p w14:paraId="2CAE3983" w14:textId="3B38A2D6"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     *</w:t>
      </w:r>
      <w:r w:rsidR="00554E7D" w:rsidRPr="00C63860">
        <w:rPr>
          <w:rFonts w:ascii="Arial Unicode MS" w:eastAsia="Arial Unicode MS" w:hAnsi="Arial Unicode MS" w:cs="Arial Unicode MS"/>
          <w:highlight w:val="green"/>
        </w:rPr>
        <w:t>appendicectomy</w:t>
      </w:r>
      <w:r w:rsidRPr="00C63860">
        <w:rPr>
          <w:rFonts w:ascii="Arial Unicode MS" w:eastAsia="Arial Unicode MS" w:hAnsi="Arial Unicode MS" w:cs="Arial Unicode MS"/>
          <w:highlight w:val="green"/>
        </w:rPr>
        <w:t>/ (6399)</w:t>
      </w:r>
    </w:p>
    <w:p w14:paraId="32E1141B"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rPr>
        <w:t xml:space="preserve">3     appendic*.ti,ab. </w:t>
      </w:r>
      <w:r w:rsidRPr="00C63860">
        <w:rPr>
          <w:rFonts w:ascii="Arial Unicode MS" w:eastAsia="Arial Unicode MS" w:hAnsi="Arial Unicode MS" w:cs="Arial Unicode MS"/>
          <w:highlight w:val="green"/>
          <w:lang w:val="it-IT"/>
        </w:rPr>
        <w:t>(33073)</w:t>
      </w:r>
    </w:p>
    <w:p w14:paraId="7FCD2E84"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4     appendec*.ti,ab. (10129)</w:t>
      </w:r>
    </w:p>
    <w:p w14:paraId="7D7E6E91"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5     emergency+surgery*.ti,ab. (9412)</w:t>
      </w:r>
    </w:p>
    <w:p w14:paraId="7664B12D" w14:textId="52CF3225"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6     emergency+</w:t>
      </w:r>
      <w:r w:rsidR="00554E7D" w:rsidRPr="00C63860">
        <w:rPr>
          <w:rFonts w:ascii="Arial Unicode MS" w:eastAsia="Arial Unicode MS" w:hAnsi="Arial Unicode MS" w:cs="Arial Unicode MS"/>
          <w:highlight w:val="green"/>
          <w:lang w:val="it-IT"/>
        </w:rPr>
        <w:t>appendicectomy</w:t>
      </w:r>
      <w:r w:rsidRPr="00C63860">
        <w:rPr>
          <w:rFonts w:ascii="Arial Unicode MS" w:eastAsia="Arial Unicode MS" w:hAnsi="Arial Unicode MS" w:cs="Arial Unicode MS"/>
          <w:highlight w:val="green"/>
          <w:lang w:val="it-IT"/>
        </w:rPr>
        <w:t>*.ti,ab. (153)</w:t>
      </w:r>
    </w:p>
    <w:p w14:paraId="0FEDF8F9"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7     non-operative+manag*.mp. (1888)</w:t>
      </w:r>
    </w:p>
    <w:p w14:paraId="3775120B"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8     conservative+manag*.mp. (16648)</w:t>
      </w:r>
    </w:p>
    <w:p w14:paraId="21420292"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9     antibiotic*.ti,ab. (360099)</w:t>
      </w:r>
    </w:p>
    <w:p w14:paraId="7C6954F5"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lang w:val="it-IT"/>
        </w:rPr>
        <w:t xml:space="preserve">10     antibiotic+adj+therapy.ti,ab. </w:t>
      </w:r>
      <w:r w:rsidRPr="00C63860">
        <w:rPr>
          <w:rFonts w:ascii="Arial Unicode MS" w:eastAsia="Arial Unicode MS" w:hAnsi="Arial Unicode MS" w:cs="Arial Unicode MS"/>
          <w:highlight w:val="green"/>
        </w:rPr>
        <w:t>(0)</w:t>
      </w:r>
    </w:p>
    <w:p w14:paraId="6FED2480"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11     Anti-Bacterial+Agents/tu (135940)</w:t>
      </w:r>
    </w:p>
    <w:p w14:paraId="779E391C"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12     Watchful+wait$.tu. (0)</w:t>
      </w:r>
    </w:p>
    <w:p w14:paraId="0C01D5B2"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rPr>
        <w:t xml:space="preserve">13     delayed+surg$.ti,ab. </w:t>
      </w:r>
      <w:r w:rsidRPr="00C63860">
        <w:rPr>
          <w:rFonts w:ascii="Arial Unicode MS" w:eastAsia="Arial Unicode MS" w:hAnsi="Arial Unicode MS" w:cs="Arial Unicode MS"/>
          <w:highlight w:val="green"/>
          <w:lang w:val="it-IT"/>
        </w:rPr>
        <w:t>(2186)</w:t>
      </w:r>
    </w:p>
    <w:p w14:paraId="3D6FBE25"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14     trial.ti,ab. (657219)</w:t>
      </w:r>
    </w:p>
    <w:p w14:paraId="02DE58ED"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15     RCT.ti,ab. (24987)</w:t>
      </w:r>
    </w:p>
    <w:p w14:paraId="27063A84"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16     randomi#ed+controlled+trial.pt. (541163)</w:t>
      </w:r>
    </w:p>
    <w:p w14:paraId="34FF9932"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17     controlled+clinical+trial.pt. (94345)</w:t>
      </w:r>
    </w:p>
    <w:p w14:paraId="4CA4E955"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18     case+control+stud$.ti,ab. (113048)</w:t>
      </w:r>
    </w:p>
    <w:p w14:paraId="6D98375F"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19     cross-sectional+stud$.ti,ab. (197037)</w:t>
      </w:r>
    </w:p>
    <w:p w14:paraId="03911B05"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20     cohort+stud$.ti,ab. (244943)</w:t>
      </w:r>
    </w:p>
    <w:p w14:paraId="70C64AAE"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21     observational+stud$.ti,ab. (126477)</w:t>
      </w:r>
    </w:p>
    <w:p w14:paraId="022BFA70"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24     Economic+evaluation.ti,ab. (9983)</w:t>
      </w:r>
    </w:p>
    <w:p w14:paraId="6C334CAA"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25     EuroQol-5+Dimension.ti,ab. (670)</w:t>
      </w:r>
    </w:p>
    <w:p w14:paraId="0710F586" w14:textId="7F4F7FF5"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 xml:space="preserve">26     </w:t>
      </w:r>
      <w:r w:rsidR="006F6056" w:rsidRPr="00C63860">
        <w:rPr>
          <w:rFonts w:ascii="Arial Unicode MS" w:eastAsia="Arial Unicode MS" w:hAnsi="Arial Unicode MS" w:cs="Arial Unicode MS"/>
          <w:color w:val="00B0F0"/>
          <w:highlight w:val="green"/>
        </w:rPr>
        <w:t>“</w:t>
      </w:r>
      <w:r w:rsidR="006F6056" w:rsidRPr="00C63860">
        <w:rPr>
          <w:rFonts w:ascii="Arial Unicode MS" w:eastAsia="Arial Unicode MS" w:hAnsi="Arial Unicode MS" w:cs="Arial Unicode MS"/>
          <w:highlight w:val="green"/>
        </w:rPr>
        <w:t>EQ-5D</w:t>
      </w:r>
      <w:r w:rsidR="006F6056" w:rsidRPr="00C63860">
        <w:rPr>
          <w:rFonts w:ascii="Arial Unicode MS" w:eastAsia="Arial Unicode MS" w:hAnsi="Arial Unicode MS" w:cs="Arial Unicode MS"/>
          <w:color w:val="00B0F0"/>
          <w:highlight w:val="green"/>
        </w:rPr>
        <w:t>”</w:t>
      </w:r>
      <w:r w:rsidRPr="00C63860">
        <w:rPr>
          <w:rFonts w:ascii="Arial Unicode MS" w:eastAsia="Arial Unicode MS" w:hAnsi="Arial Unicode MS" w:cs="Arial Unicode MS"/>
          <w:highlight w:val="green"/>
        </w:rPr>
        <w:t>.ab. (9451)</w:t>
      </w:r>
    </w:p>
    <w:p w14:paraId="30A7BF1E"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27     or/1-2 (19106)</w:t>
      </w:r>
    </w:p>
    <w:p w14:paraId="2E5BA689"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28     or/3-13 (496587)</w:t>
      </w:r>
    </w:p>
    <w:p w14:paraId="0D1097EF"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29     and/27-28 (16860)</w:t>
      </w:r>
    </w:p>
    <w:p w14:paraId="50A16E36"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30     or/14-24 (1682168)</w:t>
      </w:r>
    </w:p>
    <w:p w14:paraId="5C0DE4E8"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31     and/29-30 (1350)</w:t>
      </w:r>
    </w:p>
    <w:p w14:paraId="1C138993"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32     or/25-26 (9720)</w:t>
      </w:r>
    </w:p>
    <w:p w14:paraId="34919875"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33     and/31-32 (4)</w:t>
      </w:r>
    </w:p>
    <w:p w14:paraId="509281FE"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w:t>
      </w:r>
    </w:p>
    <w:p w14:paraId="1F91BDAC" w14:textId="790E8169" w:rsidR="00470AE4" w:rsidRPr="00C63860" w:rsidRDefault="00C63860" w:rsidP="00470AE4">
      <w:pPr>
        <w:spacing w:after="160" w:line="259" w:lineRule="auto"/>
        <w:rPr>
          <w:rFonts w:asciiTheme="minorHAnsi" w:hAnsiTheme="minorHAnsi" w:cstheme="minorHAnsi"/>
          <w:b/>
          <w:highlight w:val="green"/>
        </w:rPr>
      </w:pPr>
      <w:r w:rsidRPr="00C63860">
        <w:rPr>
          <w:rFonts w:asciiTheme="minorHAnsi" w:hAnsiTheme="minorHAnsi" w:cstheme="minorHAnsi"/>
          <w:b/>
          <w:highlight w:val="green"/>
        </w:rPr>
        <w:t xml:space="preserve">  </w:t>
      </w:r>
    </w:p>
    <w:p w14:paraId="35264581" w14:textId="77777777" w:rsidR="00470AE4" w:rsidRPr="00C63860" w:rsidRDefault="00470AE4" w:rsidP="00470AE4">
      <w:pPr>
        <w:rPr>
          <w:rFonts w:asciiTheme="minorHAnsi" w:hAnsiTheme="minorHAnsi" w:cstheme="minorHAnsi"/>
          <w:b/>
          <w:highlight w:val="green"/>
        </w:rPr>
      </w:pPr>
      <w:r w:rsidRPr="00C63860">
        <w:rPr>
          <w:rFonts w:asciiTheme="minorHAnsi" w:hAnsiTheme="minorHAnsi" w:cstheme="minorHAnsi"/>
          <w:b/>
          <w:highlight w:val="green"/>
        </w:rPr>
        <w:t>(B) Cholelithiasis</w:t>
      </w:r>
    </w:p>
    <w:p w14:paraId="7369B25A" w14:textId="66F72534" w:rsidR="007E1E5D" w:rsidRPr="00C63860" w:rsidRDefault="007E1E5D" w:rsidP="007E1E5D">
      <w:pPr>
        <w:rPr>
          <w:sz w:val="24"/>
          <w:szCs w:val="24"/>
          <w:highlight w:val="green"/>
        </w:rPr>
      </w:pPr>
      <w:r w:rsidRPr="00C63860">
        <w:rPr>
          <w:rFonts w:ascii="Arial Unicode MS" w:eastAsia="Arial Unicode MS" w:hAnsi="Arial Unicode MS" w:cs="Arial Unicode MS"/>
          <w:szCs w:val="24"/>
          <w:highlight w:val="green"/>
        </w:rPr>
        <w:t>Database: Ovid MEDLINE(R) &lt;1946 to April Week 2 2022&gt;</w:t>
      </w:r>
    </w:p>
    <w:p w14:paraId="38EC0C39"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Search Strategy:</w:t>
      </w:r>
    </w:p>
    <w:p w14:paraId="529DC557"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w:t>
      </w:r>
    </w:p>
    <w:p w14:paraId="09A88442"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1     cholelithiasis.ti,ab. (7694)</w:t>
      </w:r>
    </w:p>
    <w:p w14:paraId="20E68FCD"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2     *cholecystitis/ (9171)</w:t>
      </w:r>
    </w:p>
    <w:p w14:paraId="48276B50"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3     gallston*.ti,ab. (14648)</w:t>
      </w:r>
    </w:p>
    <w:p w14:paraId="2B4CAC9D"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4     Gall* disease.ti,ab. (4221)</w:t>
      </w:r>
    </w:p>
    <w:p w14:paraId="3786C0A1"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5     *cholecystectomy/ (8810)</w:t>
      </w:r>
    </w:p>
    <w:p w14:paraId="47989FCD"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6     cholecystectom$.ti,ab. (27011)</w:t>
      </w:r>
    </w:p>
    <w:p w14:paraId="453767F8"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7     ((excis* or remov* or surg* of) adj4 gallbladder).ti,ab. (2201)</w:t>
      </w:r>
    </w:p>
    <w:p w14:paraId="799C6F87" w14:textId="77777777" w:rsidR="007E1E5D" w:rsidRPr="00C63860" w:rsidRDefault="007E1E5D" w:rsidP="007E1E5D">
      <w:pPr>
        <w:rPr>
          <w:rFonts w:ascii="Arial Unicode MS" w:eastAsia="Arial Unicode MS" w:hAnsi="Arial Unicode MS" w:cs="Arial Unicode MS"/>
          <w:szCs w:val="24"/>
          <w:highlight w:val="green"/>
          <w:lang w:val="it-IT"/>
        </w:rPr>
      </w:pPr>
      <w:r w:rsidRPr="00C63860">
        <w:rPr>
          <w:rFonts w:ascii="Arial Unicode MS" w:eastAsia="Arial Unicode MS" w:hAnsi="Arial Unicode MS" w:cs="Arial Unicode MS"/>
          <w:szCs w:val="24"/>
          <w:highlight w:val="green"/>
        </w:rPr>
        <w:t xml:space="preserve">8     ((early or emergency) adj (drain* or surg* or cholec*)).ti,ab. </w:t>
      </w:r>
      <w:r w:rsidRPr="00C63860">
        <w:rPr>
          <w:rFonts w:ascii="Arial Unicode MS" w:eastAsia="Arial Unicode MS" w:hAnsi="Arial Unicode MS" w:cs="Arial Unicode MS"/>
          <w:szCs w:val="24"/>
          <w:highlight w:val="green"/>
          <w:lang w:val="it-IT"/>
        </w:rPr>
        <w:t>(20616)</w:t>
      </w:r>
    </w:p>
    <w:p w14:paraId="016F9777" w14:textId="77777777" w:rsidR="007E1E5D" w:rsidRPr="00C63860" w:rsidRDefault="007E1E5D" w:rsidP="007E1E5D">
      <w:pPr>
        <w:rPr>
          <w:rFonts w:ascii="Arial Unicode MS" w:eastAsia="Arial Unicode MS" w:hAnsi="Arial Unicode MS" w:cs="Arial Unicode MS"/>
          <w:szCs w:val="24"/>
          <w:highlight w:val="green"/>
          <w:lang w:val="it-IT"/>
        </w:rPr>
      </w:pPr>
      <w:r w:rsidRPr="00C63860">
        <w:rPr>
          <w:rFonts w:ascii="Arial Unicode MS" w:eastAsia="Arial Unicode MS" w:hAnsi="Arial Unicode MS" w:cs="Arial Unicode MS"/>
          <w:szCs w:val="24"/>
          <w:highlight w:val="green"/>
          <w:lang w:val="it-IT"/>
        </w:rPr>
        <w:t>9     trial.ti,ab. (606312)</w:t>
      </w:r>
    </w:p>
    <w:p w14:paraId="311268CD" w14:textId="77777777" w:rsidR="007E1E5D" w:rsidRPr="00C63860" w:rsidRDefault="007E1E5D" w:rsidP="007E1E5D">
      <w:pPr>
        <w:rPr>
          <w:rFonts w:ascii="Arial Unicode MS" w:eastAsia="Arial Unicode MS" w:hAnsi="Arial Unicode MS" w:cs="Arial Unicode MS"/>
          <w:szCs w:val="24"/>
          <w:highlight w:val="green"/>
          <w:lang w:val="it-IT"/>
        </w:rPr>
      </w:pPr>
      <w:r w:rsidRPr="00C63860">
        <w:rPr>
          <w:rFonts w:ascii="Arial Unicode MS" w:eastAsia="Arial Unicode MS" w:hAnsi="Arial Unicode MS" w:cs="Arial Unicode MS"/>
          <w:szCs w:val="24"/>
          <w:highlight w:val="green"/>
          <w:lang w:val="it-IT"/>
        </w:rPr>
        <w:t>10     RCT.ti,ab. (22408)</w:t>
      </w:r>
    </w:p>
    <w:p w14:paraId="2A4B5FA2" w14:textId="77777777" w:rsidR="007E1E5D" w:rsidRPr="00C63860" w:rsidRDefault="007E1E5D" w:rsidP="007E1E5D">
      <w:pPr>
        <w:rPr>
          <w:rFonts w:ascii="Arial Unicode MS" w:eastAsia="Arial Unicode MS" w:hAnsi="Arial Unicode MS" w:cs="Arial Unicode MS"/>
          <w:szCs w:val="24"/>
          <w:highlight w:val="green"/>
          <w:lang w:val="it-IT"/>
        </w:rPr>
      </w:pPr>
      <w:r w:rsidRPr="00C63860">
        <w:rPr>
          <w:rFonts w:ascii="Arial Unicode MS" w:eastAsia="Arial Unicode MS" w:hAnsi="Arial Unicode MS" w:cs="Arial Unicode MS"/>
          <w:szCs w:val="24"/>
          <w:highlight w:val="green"/>
          <w:lang w:val="it-IT"/>
        </w:rPr>
        <w:t>11     randomi#ed+controlled+trial.pt. (563728)</w:t>
      </w:r>
    </w:p>
    <w:p w14:paraId="28A0A30E"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12     controlled+clinical+trial.pt. (94782)</w:t>
      </w:r>
    </w:p>
    <w:p w14:paraId="359C2013"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13     case+control+stud$.ti,ab. (103937)</w:t>
      </w:r>
    </w:p>
    <w:p w14:paraId="41873BC7" w14:textId="77777777" w:rsidR="007E1E5D" w:rsidRPr="00C63860" w:rsidRDefault="007E1E5D" w:rsidP="007E1E5D">
      <w:pPr>
        <w:rPr>
          <w:rFonts w:ascii="Arial Unicode MS" w:eastAsia="Arial Unicode MS" w:hAnsi="Arial Unicode MS" w:cs="Arial Unicode MS"/>
          <w:szCs w:val="24"/>
          <w:highlight w:val="green"/>
          <w:lang w:val="it-IT"/>
        </w:rPr>
      </w:pPr>
      <w:r w:rsidRPr="00C63860">
        <w:rPr>
          <w:rFonts w:ascii="Arial Unicode MS" w:eastAsia="Arial Unicode MS" w:hAnsi="Arial Unicode MS" w:cs="Arial Unicode MS"/>
          <w:szCs w:val="24"/>
          <w:highlight w:val="green"/>
        </w:rPr>
        <w:t xml:space="preserve">14     cross-sectional+stud$.ti,ab. </w:t>
      </w:r>
      <w:r w:rsidRPr="00C63860">
        <w:rPr>
          <w:rFonts w:ascii="Arial Unicode MS" w:eastAsia="Arial Unicode MS" w:hAnsi="Arial Unicode MS" w:cs="Arial Unicode MS"/>
          <w:szCs w:val="24"/>
          <w:highlight w:val="green"/>
          <w:lang w:val="it-IT"/>
        </w:rPr>
        <w:t>(171512)</w:t>
      </w:r>
    </w:p>
    <w:p w14:paraId="7C0D0C5E" w14:textId="77777777" w:rsidR="007E1E5D" w:rsidRPr="00C63860" w:rsidRDefault="007E1E5D" w:rsidP="007E1E5D">
      <w:pPr>
        <w:rPr>
          <w:rFonts w:ascii="Arial Unicode MS" w:eastAsia="Arial Unicode MS" w:hAnsi="Arial Unicode MS" w:cs="Arial Unicode MS"/>
          <w:szCs w:val="24"/>
          <w:highlight w:val="green"/>
          <w:lang w:val="it-IT"/>
        </w:rPr>
      </w:pPr>
      <w:r w:rsidRPr="00C63860">
        <w:rPr>
          <w:rFonts w:ascii="Arial Unicode MS" w:eastAsia="Arial Unicode MS" w:hAnsi="Arial Unicode MS" w:cs="Arial Unicode MS"/>
          <w:szCs w:val="24"/>
          <w:highlight w:val="green"/>
          <w:lang w:val="it-IT"/>
        </w:rPr>
        <w:t>15     cohort+stud$.ti,ab. (230818)</w:t>
      </w:r>
    </w:p>
    <w:p w14:paraId="1BA07281"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lang w:val="it-IT"/>
        </w:rPr>
        <w:t xml:space="preserve">16     retrospective stud$.ti,ab. </w:t>
      </w:r>
      <w:r w:rsidRPr="00C63860">
        <w:rPr>
          <w:rFonts w:ascii="Arial Unicode MS" w:eastAsia="Arial Unicode MS" w:hAnsi="Arial Unicode MS" w:cs="Arial Unicode MS"/>
          <w:szCs w:val="24"/>
          <w:highlight w:val="green"/>
        </w:rPr>
        <w:t>(162780)</w:t>
      </w:r>
    </w:p>
    <w:p w14:paraId="7555782E"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17     retrospective analy$.ti,ab. (81357)</w:t>
      </w:r>
    </w:p>
    <w:p w14:paraId="6AF07B30"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18     observational+stud$.ti,ab. (114701)</w:t>
      </w:r>
    </w:p>
    <w:p w14:paraId="26B2D1A8"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19     (cost adj (utility or effectiv*)).ti,ab. (129042)</w:t>
      </w:r>
    </w:p>
    <w:p w14:paraId="3521DF31"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20     Economic+evaluation.ti,ab. (9060)</w:t>
      </w:r>
    </w:p>
    <w:p w14:paraId="6F7C2760"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21     EuroQol.mp. (5920)</w:t>
      </w:r>
    </w:p>
    <w:p w14:paraId="08FF8025"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22     EQ-5D*.af. (8893)</w:t>
      </w:r>
    </w:p>
    <w:p w14:paraId="4CE3BF11"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23     or/1-8 (71556)</w:t>
      </w:r>
    </w:p>
    <w:p w14:paraId="5825CEC8"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24     or/9-20 (1905866)</w:t>
      </w:r>
    </w:p>
    <w:p w14:paraId="3D7AC62B"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25     and/23-24 (9231)</w:t>
      </w:r>
    </w:p>
    <w:p w14:paraId="2A112E99"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26     or/21-22 (11568)</w:t>
      </w:r>
    </w:p>
    <w:p w14:paraId="7035684A" w14:textId="77777777" w:rsidR="007E1E5D" w:rsidRPr="00C63860" w:rsidRDefault="007E1E5D" w:rsidP="007E1E5D">
      <w:pPr>
        <w:rPr>
          <w:rFonts w:ascii="Arial Unicode MS" w:eastAsia="Arial Unicode MS" w:hAnsi="Arial Unicode MS" w:cs="Arial Unicode MS"/>
          <w:szCs w:val="24"/>
          <w:highlight w:val="green"/>
        </w:rPr>
      </w:pPr>
      <w:r w:rsidRPr="00C63860">
        <w:rPr>
          <w:rFonts w:ascii="Arial Unicode MS" w:eastAsia="Arial Unicode MS" w:hAnsi="Arial Unicode MS" w:cs="Arial Unicode MS"/>
          <w:szCs w:val="24"/>
          <w:highlight w:val="green"/>
        </w:rPr>
        <w:t>27     and/25-26 (27)</w:t>
      </w:r>
    </w:p>
    <w:p w14:paraId="4BEECE60" w14:textId="77777777" w:rsidR="007E1E5D" w:rsidRPr="00C63860" w:rsidRDefault="007E1E5D" w:rsidP="007E1E5D">
      <w:pPr>
        <w:rPr>
          <w:rFonts w:ascii="Arial Unicode MS" w:eastAsia="Arial Unicode MS" w:hAnsi="Arial Unicode MS" w:cs="Arial Unicode MS"/>
          <w:szCs w:val="24"/>
          <w:highlight w:val="green"/>
        </w:rPr>
      </w:pPr>
    </w:p>
    <w:p w14:paraId="746A87E1" w14:textId="2B323630"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w:t>
      </w:r>
    </w:p>
    <w:p w14:paraId="0E04C028" w14:textId="36555CA3" w:rsidR="00470AE4" w:rsidRPr="00C63860" w:rsidRDefault="00C63860" w:rsidP="00470AE4">
      <w:pPr>
        <w:rPr>
          <w:rFonts w:asciiTheme="minorHAnsi" w:hAnsiTheme="minorHAnsi" w:cstheme="minorHAnsi"/>
          <w:b/>
          <w:highlight w:val="green"/>
        </w:rPr>
      </w:pPr>
      <w:r w:rsidRPr="00C63860">
        <w:rPr>
          <w:rFonts w:asciiTheme="minorHAnsi" w:hAnsiTheme="minorHAnsi" w:cstheme="minorHAnsi"/>
          <w:b/>
          <w:highlight w:val="green"/>
        </w:rPr>
        <w:t xml:space="preserve">  </w:t>
      </w:r>
    </w:p>
    <w:p w14:paraId="674C6A83" w14:textId="77777777" w:rsidR="00470AE4" w:rsidRPr="00C63860" w:rsidRDefault="00470AE4" w:rsidP="00470AE4">
      <w:pPr>
        <w:rPr>
          <w:rFonts w:asciiTheme="minorHAnsi" w:hAnsiTheme="minorHAnsi" w:cstheme="minorHAnsi"/>
          <w:b/>
          <w:highlight w:val="green"/>
        </w:rPr>
      </w:pPr>
      <w:r w:rsidRPr="00C63860">
        <w:rPr>
          <w:rFonts w:asciiTheme="minorHAnsi" w:hAnsiTheme="minorHAnsi" w:cstheme="minorHAnsi"/>
          <w:b/>
          <w:highlight w:val="green"/>
        </w:rPr>
        <w:t>(C) Diverticular disease</w:t>
      </w:r>
    </w:p>
    <w:p w14:paraId="799F1554" w14:textId="77777777" w:rsidR="00470AE4" w:rsidRPr="00C63860" w:rsidRDefault="00470AE4" w:rsidP="00470AE4">
      <w:pPr>
        <w:rPr>
          <w:highlight w:val="green"/>
        </w:rPr>
      </w:pPr>
      <w:r w:rsidRPr="00C63860">
        <w:rPr>
          <w:rFonts w:ascii="Arial Unicode MS" w:eastAsia="Arial Unicode MS" w:hAnsi="Arial Unicode MS" w:cs="Arial Unicode MS"/>
          <w:highlight w:val="green"/>
        </w:rPr>
        <w:t>Database: Ovid MEDLINE(R) ALL &lt;1946 to September 24, 2021&gt;</w:t>
      </w:r>
    </w:p>
    <w:p w14:paraId="67022D60"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Search Strategy:</w:t>
      </w:r>
    </w:p>
    <w:p w14:paraId="5993B170"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w:t>
      </w:r>
    </w:p>
    <w:p w14:paraId="120AEF4E"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     *diverticulitis/ (2667)</w:t>
      </w:r>
    </w:p>
    <w:p w14:paraId="488B401A"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     *Diverticulum/ (8202)</w:t>
      </w:r>
    </w:p>
    <w:p w14:paraId="21270B33"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     Diverticul*.mp. (33728)</w:t>
      </w:r>
    </w:p>
    <w:p w14:paraId="71E570A0"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rPr>
        <w:t xml:space="preserve">4     emergency+surgery*.ti,ab. </w:t>
      </w:r>
      <w:r w:rsidRPr="00C63860">
        <w:rPr>
          <w:rFonts w:ascii="Arial Unicode MS" w:eastAsia="Arial Unicode MS" w:hAnsi="Arial Unicode MS" w:cs="Arial Unicode MS"/>
          <w:highlight w:val="green"/>
          <w:lang w:val="it-IT"/>
        </w:rPr>
        <w:t>(9470)</w:t>
      </w:r>
    </w:p>
    <w:p w14:paraId="0A1EA6CF"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5     Drainage*.ti,ab. (97292)</w:t>
      </w:r>
    </w:p>
    <w:p w14:paraId="54F21044"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6     Lavage*.ti,ab. (52937)</w:t>
      </w:r>
    </w:p>
    <w:p w14:paraId="6566DBF7"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7     Percutaneous+drainage*.ti,ab. (4232)</w:t>
      </w:r>
    </w:p>
    <w:p w14:paraId="361175B6"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8     sigmoidectomy*.ti,ab. (1089)</w:t>
      </w:r>
    </w:p>
    <w:p w14:paraId="56DD9EEF"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9     colectomy*.mp. (24998)</w:t>
      </w:r>
    </w:p>
    <w:p w14:paraId="0F270C2C"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10     conservative+manag*.mp. (16769)</w:t>
      </w:r>
    </w:p>
    <w:p w14:paraId="680AA330"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11     antibiotic*.ti,ab. (362483)</w:t>
      </w:r>
    </w:p>
    <w:p w14:paraId="7B2352E8"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lang w:val="it-IT"/>
        </w:rPr>
        <w:t xml:space="preserve">12     antibiotic+adj+therapy.ti,ab. </w:t>
      </w:r>
      <w:r w:rsidRPr="00C63860">
        <w:rPr>
          <w:rFonts w:ascii="Arial Unicode MS" w:eastAsia="Arial Unicode MS" w:hAnsi="Arial Unicode MS" w:cs="Arial Unicode MS"/>
          <w:highlight w:val="green"/>
        </w:rPr>
        <w:t>(0)</w:t>
      </w:r>
    </w:p>
    <w:p w14:paraId="153092C2"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13     Anti-Bacterial+Agents/tu (136787)</w:t>
      </w:r>
    </w:p>
    <w:p w14:paraId="037AD55A"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14     Watchful+wait$.tu. (0)</w:t>
      </w:r>
    </w:p>
    <w:p w14:paraId="1A578C01"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rPr>
        <w:t xml:space="preserve">15     delayed+surg$.ti,ab. </w:t>
      </w:r>
      <w:r w:rsidRPr="00C63860">
        <w:rPr>
          <w:rFonts w:ascii="Arial Unicode MS" w:eastAsia="Arial Unicode MS" w:hAnsi="Arial Unicode MS" w:cs="Arial Unicode MS"/>
          <w:highlight w:val="green"/>
          <w:lang w:val="it-IT"/>
        </w:rPr>
        <w:t>(2207)</w:t>
      </w:r>
    </w:p>
    <w:p w14:paraId="2BA2BF95"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16     trial.ti,ab. (662690)</w:t>
      </w:r>
    </w:p>
    <w:p w14:paraId="1D9C79F8"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17     RCT.ti,ab. (25317)</w:t>
      </w:r>
    </w:p>
    <w:p w14:paraId="16FFD379"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18     randomi#ed+controlled+trial.pt. (544498)</w:t>
      </w:r>
    </w:p>
    <w:p w14:paraId="6F607B28"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19     controlled+clinical+trial.pt. (94426)</w:t>
      </w:r>
    </w:p>
    <w:p w14:paraId="6361A231"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20     case+control+stud$.ti,ab. (113845)</w:t>
      </w:r>
    </w:p>
    <w:p w14:paraId="33982AF6"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21     cross-sectional+stud$.ti,ab. (200110)</w:t>
      </w:r>
    </w:p>
    <w:p w14:paraId="6FB4EE30"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22     cohort+stud$.ti,ab. (248537)</w:t>
      </w:r>
    </w:p>
    <w:p w14:paraId="0B22AAF1"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23     observational+stud$.ti,ab. (128258)</w:t>
      </w:r>
    </w:p>
    <w:p w14:paraId="4C048AA2"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rPr>
        <w:t xml:space="preserve">24     Economic+evaluation.ti,ab. </w:t>
      </w:r>
      <w:r w:rsidRPr="00C63860">
        <w:rPr>
          <w:rFonts w:ascii="Arial Unicode MS" w:eastAsia="Arial Unicode MS" w:hAnsi="Arial Unicode MS" w:cs="Arial Unicode MS"/>
          <w:highlight w:val="green"/>
          <w:lang w:val="it-IT"/>
        </w:rPr>
        <w:t>(10055)</w:t>
      </w:r>
    </w:p>
    <w:p w14:paraId="654753B3"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25     EuroQol-5+Dimension.ti,ab. (690)</w:t>
      </w:r>
    </w:p>
    <w:p w14:paraId="7C62D49D" w14:textId="43F3C955"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lang w:val="it-IT"/>
        </w:rPr>
        <w:t xml:space="preserve">26     </w:t>
      </w:r>
      <w:r w:rsidR="006F6056" w:rsidRPr="00C63860">
        <w:rPr>
          <w:rFonts w:ascii="Arial Unicode MS" w:eastAsia="Arial Unicode MS" w:hAnsi="Arial Unicode MS" w:cs="Arial Unicode MS"/>
          <w:color w:val="00B0F0"/>
          <w:highlight w:val="green"/>
          <w:lang w:val="it-IT"/>
        </w:rPr>
        <w:t>“</w:t>
      </w:r>
      <w:r w:rsidR="006F6056" w:rsidRPr="00C63860">
        <w:rPr>
          <w:rFonts w:ascii="Arial Unicode MS" w:eastAsia="Arial Unicode MS" w:hAnsi="Arial Unicode MS" w:cs="Arial Unicode MS"/>
          <w:highlight w:val="green"/>
          <w:lang w:val="it-IT"/>
        </w:rPr>
        <w:t>EQ-5D</w:t>
      </w:r>
      <w:r w:rsidR="006F6056" w:rsidRPr="00C63860">
        <w:rPr>
          <w:rFonts w:ascii="Arial Unicode MS" w:eastAsia="Arial Unicode MS" w:hAnsi="Arial Unicode MS" w:cs="Arial Unicode MS"/>
          <w:color w:val="00B0F0"/>
          <w:highlight w:val="green"/>
          <w:lang w:val="it-IT"/>
        </w:rPr>
        <w:t>”</w:t>
      </w:r>
      <w:r w:rsidRPr="00C63860">
        <w:rPr>
          <w:rFonts w:ascii="Arial Unicode MS" w:eastAsia="Arial Unicode MS" w:hAnsi="Arial Unicode MS" w:cs="Arial Unicode MS"/>
          <w:highlight w:val="green"/>
          <w:lang w:val="it-IT"/>
        </w:rPr>
        <w:t xml:space="preserve">.ti,ab. </w:t>
      </w:r>
      <w:r w:rsidRPr="00C63860">
        <w:rPr>
          <w:rFonts w:ascii="Arial Unicode MS" w:eastAsia="Arial Unicode MS" w:hAnsi="Arial Unicode MS" w:cs="Arial Unicode MS"/>
          <w:highlight w:val="green"/>
        </w:rPr>
        <w:t>(9680)</w:t>
      </w:r>
    </w:p>
    <w:p w14:paraId="76837C06"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27     or/1-3 (10504)</w:t>
      </w:r>
    </w:p>
    <w:p w14:paraId="2D39EF16"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28     or/4-15 (651442)</w:t>
      </w:r>
    </w:p>
    <w:p w14:paraId="2295F10A"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29     and/27-28 (10504)</w:t>
      </w:r>
    </w:p>
    <w:p w14:paraId="6D4CE280"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30     or/16-24 (1697513)</w:t>
      </w:r>
    </w:p>
    <w:p w14:paraId="399A287C"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31     and/29-30 (200)</w:t>
      </w:r>
    </w:p>
    <w:p w14:paraId="6A0FEABF"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32     or/25-26 (9957)</w:t>
      </w:r>
    </w:p>
    <w:p w14:paraId="7FAD8915"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33     and/31-32 (2)</w:t>
      </w:r>
    </w:p>
    <w:p w14:paraId="3F70F9D1"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w:t>
      </w:r>
    </w:p>
    <w:p w14:paraId="6C2CA542" w14:textId="4E85BAC1" w:rsidR="00470AE4" w:rsidRPr="00C63860" w:rsidRDefault="00C63860" w:rsidP="00470AE4">
      <w:pPr>
        <w:spacing w:after="160" w:line="259" w:lineRule="auto"/>
        <w:rPr>
          <w:rFonts w:asciiTheme="minorHAnsi" w:eastAsia="Arial Unicode MS" w:hAnsiTheme="minorHAnsi" w:cs="Arial Unicode MS"/>
          <w:b/>
          <w:highlight w:val="green"/>
        </w:rPr>
      </w:pPr>
      <w:r w:rsidRPr="00C63860">
        <w:rPr>
          <w:rFonts w:asciiTheme="minorHAnsi" w:eastAsia="Arial Unicode MS" w:hAnsiTheme="minorHAnsi" w:cs="Arial Unicode MS"/>
          <w:b/>
          <w:highlight w:val="green"/>
        </w:rPr>
        <w:t xml:space="preserve">  </w:t>
      </w:r>
    </w:p>
    <w:p w14:paraId="07CCC91F" w14:textId="77777777" w:rsidR="00470AE4" w:rsidRPr="00C63860" w:rsidRDefault="00470AE4" w:rsidP="00470AE4">
      <w:pPr>
        <w:rPr>
          <w:rFonts w:asciiTheme="minorHAnsi" w:eastAsia="Arial Unicode MS" w:hAnsiTheme="minorHAnsi" w:cs="Arial Unicode MS"/>
          <w:b/>
          <w:highlight w:val="green"/>
        </w:rPr>
      </w:pPr>
      <w:r w:rsidRPr="00C63860">
        <w:rPr>
          <w:rFonts w:asciiTheme="minorHAnsi" w:eastAsia="Arial Unicode MS" w:hAnsiTheme="minorHAnsi" w:cs="Arial Unicode MS"/>
          <w:b/>
          <w:highlight w:val="green"/>
        </w:rPr>
        <w:t>(D) Hernia</w:t>
      </w:r>
    </w:p>
    <w:p w14:paraId="564C4C5A" w14:textId="77777777" w:rsidR="00470AE4" w:rsidRPr="00C63860" w:rsidRDefault="00470AE4" w:rsidP="00470AE4">
      <w:pPr>
        <w:rPr>
          <w:highlight w:val="green"/>
        </w:rPr>
      </w:pPr>
      <w:r w:rsidRPr="00C63860">
        <w:rPr>
          <w:rFonts w:ascii="Arial Unicode MS" w:eastAsia="Arial Unicode MS" w:hAnsi="Arial Unicode MS" w:cs="Arial Unicode MS"/>
          <w:highlight w:val="green"/>
        </w:rPr>
        <w:t>Database: Ovid MEDLINE(R) ALL &lt;1946 to September 24, 2021&gt;</w:t>
      </w:r>
    </w:p>
    <w:p w14:paraId="481A0B56"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Search Strategy:</w:t>
      </w:r>
    </w:p>
    <w:p w14:paraId="2A31B8A3"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w:t>
      </w:r>
    </w:p>
    <w:p w14:paraId="50850940"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     (inguinal or femoral or ventral or umbilical or abdominal wall).ti,ab. (335807)</w:t>
      </w:r>
    </w:p>
    <w:p w14:paraId="1AC0B365"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     hernia.ti,ab. (52281)</w:t>
      </w:r>
    </w:p>
    <w:p w14:paraId="6DAEE6AE"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     hernioplasty/ (9400)</w:t>
      </w:r>
    </w:p>
    <w:p w14:paraId="69D49BDE"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4     herniorrhaphy/ (9400)</w:t>
      </w:r>
    </w:p>
    <w:p w14:paraId="1C6C7AD4"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5     hernioplasty.ti,ab. (1602)</w:t>
      </w:r>
    </w:p>
    <w:p w14:paraId="08B0CF11"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6     herniorrhaphy.ti,ab. (2372)</w:t>
      </w:r>
    </w:p>
    <w:p w14:paraId="02046D8F"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7     repair+or+surg*.ti,ab. (22)</w:t>
      </w:r>
    </w:p>
    <w:p w14:paraId="7EEBCB21"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8     hernia+adj+repair.ti,ab. (0)</w:t>
      </w:r>
    </w:p>
    <w:p w14:paraId="36DCBC6F"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rPr>
        <w:t xml:space="preserve">9     (early adj3 (surg* or repair)).ti,ab. </w:t>
      </w:r>
      <w:r w:rsidRPr="00C63860">
        <w:rPr>
          <w:rFonts w:ascii="Arial Unicode MS" w:eastAsia="Arial Unicode MS" w:hAnsi="Arial Unicode MS" w:cs="Arial Unicode MS"/>
          <w:highlight w:val="green"/>
          <w:lang w:val="it-IT"/>
        </w:rPr>
        <w:t>(28362)</w:t>
      </w:r>
    </w:p>
    <w:p w14:paraId="4D35BA14"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10     trial.ti,ab. (657219)</w:t>
      </w:r>
    </w:p>
    <w:p w14:paraId="21305D3F"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11     RCT.ti,ab. (24987)</w:t>
      </w:r>
    </w:p>
    <w:p w14:paraId="5775F468"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12     randomi#ed+controlled+trial.pt. (541163)</w:t>
      </w:r>
    </w:p>
    <w:p w14:paraId="632E0E4C"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13     controlled+clinical+trial.pt. (94345)</w:t>
      </w:r>
    </w:p>
    <w:p w14:paraId="78E7759D"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14     case+control+stud$.ti,ab. (113048)</w:t>
      </w:r>
    </w:p>
    <w:p w14:paraId="6297F97A"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rPr>
        <w:t xml:space="preserve">15     cross-sectional+stud$.ti,ab. </w:t>
      </w:r>
      <w:r w:rsidRPr="00C63860">
        <w:rPr>
          <w:rFonts w:ascii="Arial Unicode MS" w:eastAsia="Arial Unicode MS" w:hAnsi="Arial Unicode MS" w:cs="Arial Unicode MS"/>
          <w:highlight w:val="green"/>
          <w:lang w:val="it-IT"/>
        </w:rPr>
        <w:t>(197037)</w:t>
      </w:r>
    </w:p>
    <w:p w14:paraId="7B4A9775"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16     cohort+stud$.ti,ab. (244943)</w:t>
      </w:r>
    </w:p>
    <w:p w14:paraId="77A1510C"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lang w:val="it-IT"/>
        </w:rPr>
        <w:t xml:space="preserve">17     retrospective+stud$.ti,ab. </w:t>
      </w:r>
      <w:r w:rsidRPr="00C63860">
        <w:rPr>
          <w:rFonts w:ascii="Arial Unicode MS" w:eastAsia="Arial Unicode MS" w:hAnsi="Arial Unicode MS" w:cs="Arial Unicode MS"/>
          <w:highlight w:val="green"/>
        </w:rPr>
        <w:t>(179855)</w:t>
      </w:r>
    </w:p>
    <w:p w14:paraId="02AF28C8"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18     observational+stud$.ti,ab. (126477)</w:t>
      </w:r>
    </w:p>
    <w:p w14:paraId="14BC3808"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19     (cost adj (utility or effectiv*)).ti,ab. (149693)</w:t>
      </w:r>
    </w:p>
    <w:p w14:paraId="13BE474E"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20     Economic+evaluation.ti,ab. (9983)</w:t>
      </w:r>
    </w:p>
    <w:p w14:paraId="05C22EE4" w14:textId="77777777" w:rsidR="00470AE4" w:rsidRPr="00C63860" w:rsidRDefault="00470AE4" w:rsidP="00470AE4">
      <w:pPr>
        <w:rPr>
          <w:rFonts w:ascii="Arial Unicode MS" w:eastAsia="Arial Unicode MS" w:hAnsi="Arial Unicode MS" w:cs="Arial Unicode MS"/>
          <w:highlight w:val="green"/>
          <w:lang w:val="nl-NL"/>
        </w:rPr>
      </w:pPr>
      <w:r w:rsidRPr="00C63860">
        <w:rPr>
          <w:rFonts w:ascii="Arial Unicode MS" w:eastAsia="Arial Unicode MS" w:hAnsi="Arial Unicode MS" w:cs="Arial Unicode MS"/>
          <w:highlight w:val="green"/>
        </w:rPr>
        <w:t xml:space="preserve">21     (quality of life or QoL or HRQoL).ti,ab. </w:t>
      </w:r>
      <w:r w:rsidRPr="00C63860">
        <w:rPr>
          <w:rFonts w:ascii="Arial Unicode MS" w:eastAsia="Arial Unicode MS" w:hAnsi="Arial Unicode MS" w:cs="Arial Unicode MS"/>
          <w:highlight w:val="green"/>
          <w:lang w:val="nl-NL"/>
        </w:rPr>
        <w:t>(312433)</w:t>
      </w:r>
    </w:p>
    <w:p w14:paraId="058D931C" w14:textId="77777777" w:rsidR="00470AE4" w:rsidRPr="00C63860" w:rsidRDefault="00470AE4" w:rsidP="00470AE4">
      <w:pPr>
        <w:rPr>
          <w:rFonts w:ascii="Arial Unicode MS" w:eastAsia="Arial Unicode MS" w:hAnsi="Arial Unicode MS" w:cs="Arial Unicode MS"/>
          <w:highlight w:val="green"/>
          <w:lang w:val="nl-NL"/>
        </w:rPr>
      </w:pPr>
      <w:r w:rsidRPr="00C63860">
        <w:rPr>
          <w:rFonts w:ascii="Arial Unicode MS" w:eastAsia="Arial Unicode MS" w:hAnsi="Arial Unicode MS" w:cs="Arial Unicode MS"/>
          <w:highlight w:val="green"/>
          <w:lang w:val="nl-NL"/>
        </w:rPr>
        <w:t>22     EuroQol.af. (6571)</w:t>
      </w:r>
    </w:p>
    <w:p w14:paraId="23514814" w14:textId="77777777" w:rsidR="00470AE4" w:rsidRPr="00C63860" w:rsidRDefault="00470AE4" w:rsidP="00470AE4">
      <w:pPr>
        <w:rPr>
          <w:rFonts w:ascii="Arial Unicode MS" w:eastAsia="Arial Unicode MS" w:hAnsi="Arial Unicode MS" w:cs="Arial Unicode MS"/>
          <w:highlight w:val="green"/>
          <w:lang w:val="nl-NL"/>
        </w:rPr>
      </w:pPr>
      <w:r w:rsidRPr="00C63860">
        <w:rPr>
          <w:rFonts w:ascii="Arial Unicode MS" w:eastAsia="Arial Unicode MS" w:hAnsi="Arial Unicode MS" w:cs="Arial Unicode MS"/>
          <w:highlight w:val="green"/>
          <w:lang w:val="nl-NL"/>
        </w:rPr>
        <w:t>23     EQ-5D*.af. (9689)</w:t>
      </w:r>
    </w:p>
    <w:p w14:paraId="0046F5DF"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24     and/1-2 (20870)</w:t>
      </w:r>
    </w:p>
    <w:p w14:paraId="3D530DE1"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25     or/3-9 (40553)</w:t>
      </w:r>
    </w:p>
    <w:p w14:paraId="36484E7A"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26     or/10-20 (1972540)</w:t>
      </w:r>
    </w:p>
    <w:p w14:paraId="0EF7691A"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27     or/21-23 (315435)</w:t>
      </w:r>
    </w:p>
    <w:p w14:paraId="4487C890"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28     and/24-27 (129)</w:t>
      </w:r>
    </w:p>
    <w:p w14:paraId="2826060B"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w:t>
      </w:r>
    </w:p>
    <w:p w14:paraId="55C2A3A5" w14:textId="54295A99" w:rsidR="00470AE4" w:rsidRPr="00C63860" w:rsidRDefault="00C63860" w:rsidP="00470AE4">
      <w:pPr>
        <w:rPr>
          <w:highlight w:val="green"/>
        </w:rPr>
      </w:pPr>
      <w:r w:rsidRPr="00C63860">
        <w:rPr>
          <w:highlight w:val="green"/>
        </w:rPr>
        <w:t xml:space="preserve">  </w:t>
      </w:r>
    </w:p>
    <w:p w14:paraId="270CCE01" w14:textId="77777777" w:rsidR="00470AE4" w:rsidRPr="00C63860" w:rsidRDefault="00470AE4" w:rsidP="00470AE4">
      <w:pPr>
        <w:rPr>
          <w:b/>
          <w:bCs/>
          <w:highlight w:val="green"/>
        </w:rPr>
      </w:pPr>
      <w:r w:rsidRPr="00C63860">
        <w:rPr>
          <w:b/>
          <w:bCs/>
          <w:highlight w:val="green"/>
        </w:rPr>
        <w:t>(E) Intestinal obstruction</w:t>
      </w:r>
    </w:p>
    <w:p w14:paraId="3147C6C5" w14:textId="77777777" w:rsidR="00470AE4" w:rsidRPr="00C63860" w:rsidRDefault="00470AE4" w:rsidP="00470AE4">
      <w:pPr>
        <w:rPr>
          <w:highlight w:val="green"/>
        </w:rPr>
      </w:pPr>
      <w:r w:rsidRPr="00C63860">
        <w:rPr>
          <w:rFonts w:ascii="Arial Unicode MS" w:eastAsia="Arial Unicode MS" w:hAnsi="Arial Unicode MS" w:cs="Arial Unicode MS"/>
          <w:highlight w:val="green"/>
        </w:rPr>
        <w:t>Database: Ovid MEDLINE(R) ALL &lt;1946 to September 24, 2021&gt;</w:t>
      </w:r>
    </w:p>
    <w:p w14:paraId="29A13535"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Search Strategy:</w:t>
      </w:r>
    </w:p>
    <w:p w14:paraId="2882EA3A"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w:t>
      </w:r>
    </w:p>
    <w:p w14:paraId="416080D9"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1     *Intestinal+Obstruction/di (1521)</w:t>
      </w:r>
    </w:p>
    <w:p w14:paraId="2E3BCD24"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     ((intestin* or bowel) adj4 obstruction).ti,ab. (24747)</w:t>
      </w:r>
    </w:p>
    <w:p w14:paraId="47399C6B"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     ((intestin* or bowel) adj4 blockage).ti,ab. (80)</w:t>
      </w:r>
    </w:p>
    <w:p w14:paraId="08329382"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4     ((intestin* or bowel) adj4 adhesion).ti,ab. (1139)</w:t>
      </w:r>
    </w:p>
    <w:p w14:paraId="1751A584"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5     ((early or emergency) adj (drain* or surg* or relief)).ti,ab. (23075)</w:t>
      </w:r>
    </w:p>
    <w:p w14:paraId="324770C7"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6     intussusception.ti,ab. (8815)</w:t>
      </w:r>
    </w:p>
    <w:p w14:paraId="79BE4221"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7     volvulus.ti,ab. (8826)</w:t>
      </w:r>
    </w:p>
    <w:p w14:paraId="12FBE2E7"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rPr>
        <w:t xml:space="preserve">8     gallstone+ileus.ti,ab. </w:t>
      </w:r>
      <w:r w:rsidRPr="00C63860">
        <w:rPr>
          <w:rFonts w:ascii="Arial Unicode MS" w:eastAsia="Arial Unicode MS" w:hAnsi="Arial Unicode MS" w:cs="Arial Unicode MS"/>
          <w:highlight w:val="green"/>
          <w:lang w:val="it-IT"/>
        </w:rPr>
        <w:t>(969)</w:t>
      </w:r>
    </w:p>
    <w:p w14:paraId="643C7595"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9     excision.ti,ab. (123989)</w:t>
      </w:r>
    </w:p>
    <w:p w14:paraId="7E77C1C5"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10     anastomosis.ti,ab. (60672)</w:t>
      </w:r>
    </w:p>
    <w:p w14:paraId="5351B14E"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11     ileostomy.ti,ab. (6729)</w:t>
      </w:r>
    </w:p>
    <w:p w14:paraId="000BD83A"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12     bypass.ti,ab. (138349)</w:t>
      </w:r>
    </w:p>
    <w:p w14:paraId="6172E935"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13     hemicolectomy.ti,ab. (4336)</w:t>
      </w:r>
    </w:p>
    <w:p w14:paraId="106982AE"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14     stenting.ti,ab. (33397)</w:t>
      </w:r>
    </w:p>
    <w:p w14:paraId="3AC707F5"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15     colectomy.ti,ab. (12406)</w:t>
      </w:r>
    </w:p>
    <w:p w14:paraId="00890512"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16     resection.ti,ab. (308640)</w:t>
      </w:r>
    </w:p>
    <w:p w14:paraId="23942675"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17     non-operative+manag*.mp. (1935)</w:t>
      </w:r>
    </w:p>
    <w:p w14:paraId="059422B6"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18     conservative+manag*.mp. (16821)</w:t>
      </w:r>
    </w:p>
    <w:p w14:paraId="1F0454AF"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lang w:val="it-IT"/>
        </w:rPr>
        <w:t xml:space="preserve">19     antibiotic*.ti,ab. </w:t>
      </w:r>
      <w:r w:rsidRPr="00C63860">
        <w:rPr>
          <w:rFonts w:ascii="Arial Unicode MS" w:eastAsia="Arial Unicode MS" w:hAnsi="Arial Unicode MS" w:cs="Arial Unicode MS"/>
          <w:highlight w:val="green"/>
        </w:rPr>
        <w:t>(364019)</w:t>
      </w:r>
    </w:p>
    <w:p w14:paraId="04316E05"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20     Watchful+wait$.tu. (0)</w:t>
      </w:r>
    </w:p>
    <w:p w14:paraId="775666A1"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rPr>
        <w:t xml:space="preserve">21     delayed+surgery.ti,ab. </w:t>
      </w:r>
      <w:r w:rsidRPr="00C63860">
        <w:rPr>
          <w:rFonts w:ascii="Arial Unicode MS" w:eastAsia="Arial Unicode MS" w:hAnsi="Arial Unicode MS" w:cs="Arial Unicode MS"/>
          <w:highlight w:val="green"/>
          <w:lang w:val="it-IT"/>
        </w:rPr>
        <w:t>(1401)</w:t>
      </w:r>
    </w:p>
    <w:p w14:paraId="48AC2882"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22     trial.ti,ab. (665581)</w:t>
      </w:r>
    </w:p>
    <w:p w14:paraId="0F9AE8C2"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23     RCT.ti,ab. (25491)</w:t>
      </w:r>
    </w:p>
    <w:p w14:paraId="44E012AC" w14:textId="77777777" w:rsidR="00470AE4" w:rsidRPr="00C63860" w:rsidRDefault="00470AE4" w:rsidP="00470AE4">
      <w:pPr>
        <w:rPr>
          <w:rFonts w:ascii="Arial Unicode MS" w:eastAsia="Arial Unicode MS" w:hAnsi="Arial Unicode MS" w:cs="Arial Unicode MS"/>
          <w:highlight w:val="green"/>
          <w:lang w:val="it-IT"/>
        </w:rPr>
      </w:pPr>
      <w:r w:rsidRPr="00C63860">
        <w:rPr>
          <w:rFonts w:ascii="Arial Unicode MS" w:eastAsia="Arial Unicode MS" w:hAnsi="Arial Unicode MS" w:cs="Arial Unicode MS"/>
          <w:highlight w:val="green"/>
          <w:lang w:val="it-IT"/>
        </w:rPr>
        <w:t>24     randomi#ed+controlled+trial.pt. (546615)</w:t>
      </w:r>
    </w:p>
    <w:p w14:paraId="6339332A"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25     controlled+clinical+trial.pt. (94462)</w:t>
      </w:r>
    </w:p>
    <w:p w14:paraId="246CB491"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26     case+control+stud$.ti,ab. (114292)</w:t>
      </w:r>
    </w:p>
    <w:p w14:paraId="7957DE23"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27     cross-sectional+stud$.ti,ab. (201749)</w:t>
      </w:r>
    </w:p>
    <w:p w14:paraId="3AF1DF26"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28     cohort+stud$.ti,ab. (250595)</w:t>
      </w:r>
    </w:p>
    <w:p w14:paraId="6C0A8726"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29     ((cohort or retros* or observat*) adj4 stud*).ti,ab. (738276)</w:t>
      </w:r>
    </w:p>
    <w:p w14:paraId="6AEFAE8B"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30     (cost adj (utility or effectiv*)).ti,ab. (151653)</w:t>
      </w:r>
    </w:p>
    <w:p w14:paraId="08080083"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31     Economic+evaluation.ti,ab. (10101)</w:t>
      </w:r>
    </w:p>
    <w:p w14:paraId="3608585D"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32     EuroQol.mp. (6624)</w:t>
      </w:r>
    </w:p>
    <w:p w14:paraId="7932B927"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33     EQ-5D*.af. (9916)</w:t>
      </w:r>
    </w:p>
    <w:p w14:paraId="29F6176A"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34     or/1-4 (26616)</w:t>
      </w:r>
    </w:p>
    <w:p w14:paraId="60ECF5ED"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35     or/5-21 (1033513)</w:t>
      </w:r>
    </w:p>
    <w:p w14:paraId="7DA37CAE"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36     and/34-35 (8489)</w:t>
      </w:r>
    </w:p>
    <w:p w14:paraId="03F31B85"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37     or/22-31 (2155159)</w:t>
      </w:r>
    </w:p>
    <w:p w14:paraId="20737DFB"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38     and/36-37 (855)</w:t>
      </w:r>
    </w:p>
    <w:p w14:paraId="09B4D6A9" w14:textId="77777777" w:rsidR="00470AE4" w:rsidRPr="00C63860" w:rsidRDefault="00470AE4" w:rsidP="00470AE4">
      <w:pPr>
        <w:rPr>
          <w:rFonts w:ascii="Arial Unicode MS" w:eastAsia="Arial Unicode MS" w:hAnsi="Arial Unicode MS" w:cs="Arial Unicode MS"/>
          <w:highlight w:val="green"/>
        </w:rPr>
      </w:pPr>
      <w:r w:rsidRPr="00C63860">
        <w:rPr>
          <w:rFonts w:ascii="Arial Unicode MS" w:eastAsia="Arial Unicode MS" w:hAnsi="Arial Unicode MS" w:cs="Arial Unicode MS"/>
          <w:highlight w:val="green"/>
        </w:rPr>
        <w:t>39     or/32-33 (12853)</w:t>
      </w:r>
    </w:p>
    <w:p w14:paraId="799BC804" w14:textId="77777777" w:rsidR="00470AE4" w:rsidRPr="00C63860" w:rsidRDefault="00470AE4" w:rsidP="00470AE4">
      <w:pPr>
        <w:rPr>
          <w:rFonts w:ascii="Arial Unicode MS" w:eastAsia="Arial Unicode MS" w:hAnsi="Arial Unicode MS" w:cs="Arial Unicode MS"/>
        </w:rPr>
      </w:pPr>
      <w:r w:rsidRPr="00C63860">
        <w:rPr>
          <w:rFonts w:ascii="Arial Unicode MS" w:eastAsia="Arial Unicode MS" w:hAnsi="Arial Unicode MS" w:cs="Arial Unicode MS"/>
          <w:highlight w:val="green"/>
        </w:rPr>
        <w:t>40     and/38-39 (4)</w:t>
      </w:r>
    </w:p>
    <w:p w14:paraId="776F87F1" w14:textId="77777777" w:rsidR="00C63860" w:rsidRPr="00C63860" w:rsidRDefault="00470AE4" w:rsidP="00470AE4">
      <w:pPr>
        <w:rPr>
          <w:rFonts w:ascii="Arial Unicode MS" w:eastAsia="Arial Unicode MS" w:hAnsi="Arial Unicode MS" w:cs="Arial Unicode MS"/>
        </w:rPr>
      </w:pPr>
      <w:r w:rsidRPr="00C63860">
        <w:rPr>
          <w:rFonts w:ascii="Arial Unicode MS" w:eastAsia="Arial Unicode MS" w:hAnsi="Arial Unicode MS" w:cs="Arial Unicode MS"/>
        </w:rPr>
        <w:t>--------------------------------------------------------------------------------</w:t>
      </w:r>
    </w:p>
    <w:p w14:paraId="24B2C8E2" w14:textId="2FCE92A6" w:rsidR="00C63860" w:rsidRPr="00C63860" w:rsidRDefault="00C63860" w:rsidP="00566966">
      <w:pPr>
        <w:adjustRightInd w:val="0"/>
        <w:snapToGrid w:val="0"/>
        <w:contextualSpacing/>
        <w:jc w:val="both"/>
        <w:rPr>
          <w:sz w:val="18"/>
          <w:szCs w:val="18"/>
        </w:rPr>
      </w:pPr>
      <w:bookmarkStart w:id="115" w:name="_Toc86670870"/>
      <w:r w:rsidRPr="00C63860">
        <w:rPr>
          <w:b/>
          <w:bCs/>
          <w:i/>
          <w:color w:val="FF0000"/>
          <w:sz w:val="22"/>
          <w:szCs w:val="22"/>
        </w:rPr>
        <w:t xml:space="preserve">Figure </w:t>
      </w:r>
      <w:r w:rsidRPr="00C63860">
        <w:rPr>
          <w:b/>
          <w:bCs/>
          <w:i/>
          <w:noProof/>
          <w:color w:val="FF0000"/>
          <w:sz w:val="22"/>
          <w:szCs w:val="22"/>
        </w:rPr>
        <w:t>30</w:t>
      </w:r>
      <w:r w:rsidR="008D1512" w:rsidRPr="00C63860">
        <w:rPr>
          <w:b/>
          <w:bCs/>
          <w:sz w:val="22"/>
          <w:szCs w:val="22"/>
        </w:rPr>
        <w:t>: Health-related Quality of Life (HRQoL) trajectory following initial (index) emergency admission and emergency readmission for the base case, which assumes HRQoL reaches follow-up levels following hospital discharge (panel A), and linear interpolation (B, sensitivity analysis 4)</w:t>
      </w:r>
      <w:bookmarkEnd w:id="115"/>
      <w:r w:rsidR="00566966" w:rsidRPr="00C63860">
        <w:rPr>
          <w:b/>
          <w:bCs/>
          <w:sz w:val="22"/>
          <w:szCs w:val="22"/>
        </w:rPr>
        <w:t xml:space="preserve">. </w:t>
      </w:r>
      <w:r w:rsidR="00566966" w:rsidRPr="00C63860">
        <w:rPr>
          <w:rFonts w:asciiTheme="minorHAnsi" w:hAnsiTheme="minorHAnsi" w:cstheme="minorHAnsi"/>
          <w:bCs/>
          <w:sz w:val="18"/>
          <w:szCs w:val="18"/>
        </w:rPr>
        <w:t>(a) Immediate interpolation. Baseline HRQoL is assumed to apply constantly for the duration of the index admission and any emergency readmission. Following the index admission, the HRQoL is assumed to apply constantly for the duration of the period before the final (one-year) endpoint, which is accrued immediately after discharge; (b) Linear interpolation. Baseline HRQoL is assumed to apply constantly for the duration of the index admission and any emergency readmission. HRQoL between the endpoints is assumed to increase linearly</w:t>
      </w:r>
      <w:r w:rsidR="00566966" w:rsidRPr="00C63860">
        <w:rPr>
          <w:rFonts w:asciiTheme="minorHAnsi" w:hAnsiTheme="minorHAnsi" w:cstheme="minorHAnsi"/>
          <w:sz w:val="18"/>
          <w:szCs w:val="18"/>
        </w:rPr>
        <w:t>.</w:t>
      </w:r>
    </w:p>
    <w:p w14:paraId="17E698E4" w14:textId="763CE870" w:rsidR="00C63860" w:rsidRPr="00C63860" w:rsidRDefault="00470AE4" w:rsidP="00126328">
      <w:pPr>
        <w:pStyle w:val="Heading1"/>
        <w:rPr>
          <w:lang w:eastAsia="zh-CN"/>
        </w:rPr>
      </w:pPr>
      <w:bookmarkStart w:id="116" w:name="_Toc86673007"/>
      <w:r w:rsidRPr="00C63860">
        <w:t>Appendix 5</w:t>
      </w:r>
      <w:r w:rsidR="00D66487" w:rsidRPr="00C63860">
        <w:t xml:space="preserve">: </w:t>
      </w:r>
      <w:r w:rsidR="00126328" w:rsidRPr="00C63860">
        <w:rPr>
          <w:lang w:eastAsia="zh-CN"/>
        </w:rPr>
        <w:t xml:space="preserve">Generalised Linear Models (GLMs) for </w:t>
      </w:r>
      <w:r w:rsidR="00C63860" w:rsidRPr="00C63860">
        <w:rPr>
          <w:color w:val="00B0F0"/>
          <w:lang w:eastAsia="zh-CN"/>
        </w:rPr>
        <w:t>life-year</w:t>
      </w:r>
      <w:r w:rsidR="00126328" w:rsidRPr="00C63860">
        <w:rPr>
          <w:lang w:eastAsia="zh-CN"/>
        </w:rPr>
        <w:t xml:space="preserve">s (LYs), </w:t>
      </w:r>
      <w:r w:rsidR="006E540D" w:rsidRPr="00C63860">
        <w:rPr>
          <w:lang w:eastAsia="zh-CN"/>
        </w:rPr>
        <w:t>Q</w:t>
      </w:r>
      <w:r w:rsidR="00126328" w:rsidRPr="00C63860">
        <w:rPr>
          <w:lang w:eastAsia="zh-CN"/>
        </w:rPr>
        <w:t>uality-</w:t>
      </w:r>
      <w:r w:rsidR="006E540D" w:rsidRPr="00C63860">
        <w:rPr>
          <w:lang w:eastAsia="zh-CN"/>
        </w:rPr>
        <w:t>A</w:t>
      </w:r>
      <w:r w:rsidR="00126328" w:rsidRPr="00C63860">
        <w:rPr>
          <w:lang w:eastAsia="zh-CN"/>
        </w:rPr>
        <w:t xml:space="preserve">djusted </w:t>
      </w:r>
      <w:r w:rsidR="00C63860" w:rsidRPr="00C63860">
        <w:rPr>
          <w:color w:val="00B0F0"/>
          <w:lang w:eastAsia="zh-CN"/>
        </w:rPr>
        <w:t>Life-year</w:t>
      </w:r>
      <w:r w:rsidR="00126328" w:rsidRPr="00C63860">
        <w:rPr>
          <w:lang w:eastAsia="zh-CN"/>
        </w:rPr>
        <w:t>s (QALYs) and costs, assessment of model fit according to root mean squared error (RMSE)</w:t>
      </w:r>
      <w:bookmarkEnd w:id="116"/>
    </w:p>
    <w:p w14:paraId="3A0B4B58" w14:textId="69F341E7" w:rsidR="00A70353" w:rsidRPr="00C63860" w:rsidRDefault="00C63860" w:rsidP="001F624C">
      <w:pPr>
        <w:pStyle w:val="Caption"/>
        <w:rPr>
          <w:b/>
          <w:bCs/>
          <w:color w:val="auto"/>
          <w:sz w:val="22"/>
          <w:szCs w:val="22"/>
          <w:lang w:eastAsia="zh-CN"/>
        </w:rPr>
      </w:pPr>
      <w:bookmarkStart w:id="117" w:name="_Toc86670799"/>
      <w:r w:rsidRPr="00C63860">
        <w:rPr>
          <w:b/>
          <w:bCs/>
          <w:color w:val="FF0000"/>
          <w:sz w:val="22"/>
          <w:szCs w:val="22"/>
        </w:rPr>
        <w:t xml:space="preserve">Table </w:t>
      </w:r>
      <w:r w:rsidRPr="00C63860">
        <w:rPr>
          <w:b/>
          <w:bCs/>
          <w:noProof/>
          <w:color w:val="FF0000"/>
          <w:sz w:val="22"/>
          <w:szCs w:val="22"/>
        </w:rPr>
        <w:t>27</w:t>
      </w:r>
      <w:r w:rsidR="001F624C" w:rsidRPr="00C63860">
        <w:rPr>
          <w:b/>
          <w:bCs/>
          <w:color w:val="auto"/>
          <w:sz w:val="22"/>
          <w:szCs w:val="22"/>
        </w:rPr>
        <w:t xml:space="preserve">: Generalised Linear Models (GLMs) for </w:t>
      </w:r>
      <w:r w:rsidRPr="00C63860">
        <w:rPr>
          <w:b/>
          <w:bCs/>
          <w:color w:val="00B0F0"/>
          <w:sz w:val="22"/>
          <w:szCs w:val="22"/>
        </w:rPr>
        <w:t>life-year</w:t>
      </w:r>
      <w:r w:rsidR="001F624C" w:rsidRPr="00C63860">
        <w:rPr>
          <w:b/>
          <w:bCs/>
          <w:color w:val="auto"/>
          <w:sz w:val="22"/>
          <w:szCs w:val="22"/>
        </w:rPr>
        <w:t xml:space="preserve">s (LYs), </w:t>
      </w:r>
      <w:r w:rsidR="006E540D" w:rsidRPr="00C63860">
        <w:rPr>
          <w:b/>
          <w:bCs/>
          <w:color w:val="auto"/>
          <w:sz w:val="22"/>
          <w:szCs w:val="22"/>
        </w:rPr>
        <w:t>Q</w:t>
      </w:r>
      <w:r w:rsidR="001F624C" w:rsidRPr="00C63860">
        <w:rPr>
          <w:b/>
          <w:bCs/>
          <w:color w:val="auto"/>
          <w:sz w:val="22"/>
          <w:szCs w:val="22"/>
        </w:rPr>
        <w:t>uality-</w:t>
      </w:r>
      <w:r w:rsidR="006E540D" w:rsidRPr="00C63860">
        <w:rPr>
          <w:b/>
          <w:bCs/>
          <w:color w:val="auto"/>
          <w:sz w:val="22"/>
          <w:szCs w:val="22"/>
        </w:rPr>
        <w:t>A</w:t>
      </w:r>
      <w:r w:rsidR="001F624C" w:rsidRPr="00C63860">
        <w:rPr>
          <w:b/>
          <w:bCs/>
          <w:color w:val="auto"/>
          <w:sz w:val="22"/>
          <w:szCs w:val="22"/>
        </w:rPr>
        <w:t xml:space="preserve">djusted </w:t>
      </w:r>
      <w:r w:rsidRPr="00C63860">
        <w:rPr>
          <w:b/>
          <w:bCs/>
          <w:color w:val="00B0F0"/>
          <w:sz w:val="22"/>
          <w:szCs w:val="22"/>
        </w:rPr>
        <w:t>Life-year</w:t>
      </w:r>
      <w:r w:rsidR="001F624C" w:rsidRPr="00C63860">
        <w:rPr>
          <w:b/>
          <w:bCs/>
          <w:color w:val="auto"/>
          <w:sz w:val="22"/>
          <w:szCs w:val="22"/>
        </w:rPr>
        <w:t>s (QALYs) and costs, assessment of model fit according to root mean squared error (RMSE)</w:t>
      </w:r>
      <w:bookmarkEnd w:id="117"/>
    </w:p>
    <w:p w14:paraId="20CFFBE6" w14:textId="77777777" w:rsidR="00D66487" w:rsidRPr="00C63860" w:rsidRDefault="00D66487" w:rsidP="00D66487">
      <w:pPr>
        <w:spacing w:line="276" w:lineRule="auto"/>
        <w:outlineLvl w:val="0"/>
        <w:rPr>
          <w:rFonts w:asciiTheme="minorHAnsi" w:eastAsia="DengXian" w:hAnsiTheme="minorHAnsi" w:cstheme="minorBidi"/>
          <w:b/>
          <w:bCs/>
          <w:sz w:val="24"/>
          <w:szCs w:val="24"/>
          <w:lang w:eastAsia="zh-CN"/>
        </w:rPr>
      </w:pPr>
    </w:p>
    <w:tbl>
      <w:tblPr>
        <w:tblStyle w:val="PlainTable22"/>
        <w:tblW w:w="0" w:type="auto"/>
        <w:tblBorders>
          <w:top w:val="none" w:sz="0" w:space="0" w:color="auto"/>
          <w:bottom w:val="none" w:sz="0" w:space="0" w:color="auto"/>
        </w:tblBorders>
        <w:tblCellMar>
          <w:top w:w="40" w:type="dxa"/>
          <w:left w:w="60" w:type="dxa"/>
          <w:bottom w:w="40" w:type="dxa"/>
          <w:right w:w="60" w:type="dxa"/>
        </w:tblCellMar>
        <w:tblLook w:val="04A0" w:firstRow="1" w:lastRow="0" w:firstColumn="1" w:lastColumn="0" w:noHBand="0" w:noVBand="1"/>
      </w:tblPr>
      <w:tblGrid>
        <w:gridCol w:w="889"/>
        <w:gridCol w:w="783"/>
        <w:gridCol w:w="811"/>
        <w:gridCol w:w="1205"/>
        <w:gridCol w:w="1279"/>
        <w:gridCol w:w="1856"/>
        <w:gridCol w:w="1048"/>
        <w:gridCol w:w="1155"/>
      </w:tblGrid>
      <w:tr w:rsidR="00470AE4" w:rsidRPr="00C63860" w14:paraId="3FE6D15E" w14:textId="77777777" w:rsidTr="00C6386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shd w:val="clear" w:color="auto" w:fill="auto"/>
          </w:tcPr>
          <w:p w14:paraId="35AA8020" w14:textId="77777777" w:rsidR="00470AE4" w:rsidRPr="00C63860" w:rsidRDefault="00470AE4" w:rsidP="00470AE4">
            <w:pPr>
              <w:jc w:val="center"/>
              <w:rPr>
                <w:rFonts w:asciiTheme="minorHAnsi" w:hAnsiTheme="minorHAnsi" w:cstheme="minorBidi"/>
                <w:color w:val="000000"/>
                <w:sz w:val="22"/>
                <w:szCs w:val="22"/>
              </w:rPr>
            </w:pPr>
            <w:r w:rsidRPr="00C63860">
              <w:rPr>
                <w:rFonts w:asciiTheme="minorHAnsi" w:hAnsiTheme="minorHAnsi" w:cstheme="minorBidi"/>
                <w:sz w:val="22"/>
                <w:szCs w:val="22"/>
              </w:rPr>
              <w:t>Family</w:t>
            </w:r>
          </w:p>
        </w:tc>
        <w:tc>
          <w:tcPr>
            <w:tcW w:w="0" w:type="auto"/>
            <w:tcBorders>
              <w:bottom w:val="none" w:sz="0" w:space="0" w:color="auto"/>
            </w:tcBorders>
            <w:shd w:val="clear" w:color="auto" w:fill="auto"/>
          </w:tcPr>
          <w:p w14:paraId="69021EA5"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Link</w:t>
            </w:r>
          </w:p>
        </w:tc>
        <w:tc>
          <w:tcPr>
            <w:tcW w:w="0" w:type="auto"/>
            <w:tcBorders>
              <w:bottom w:val="none" w:sz="0" w:space="0" w:color="auto"/>
            </w:tcBorders>
            <w:shd w:val="clear" w:color="auto" w:fill="auto"/>
          </w:tcPr>
          <w:p w14:paraId="115E83AD"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Degree</w:t>
            </w:r>
            <w:r w:rsidRPr="00C63860">
              <w:rPr>
                <w:rFonts w:asciiTheme="minorHAnsi" w:hAnsiTheme="minorHAnsi" w:cstheme="minorBidi"/>
                <w:sz w:val="22"/>
                <w:szCs w:val="22"/>
                <w:vertAlign w:val="superscript"/>
              </w:rPr>
              <w:t>a</w:t>
            </w:r>
          </w:p>
        </w:tc>
        <w:tc>
          <w:tcPr>
            <w:tcW w:w="0" w:type="auto"/>
            <w:tcBorders>
              <w:bottom w:val="none" w:sz="0" w:space="0" w:color="auto"/>
            </w:tcBorders>
            <w:shd w:val="clear" w:color="auto" w:fill="auto"/>
            <w:noWrap/>
            <w:hideMark/>
          </w:tcPr>
          <w:p w14:paraId="71EE2E41"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Appendicitis</w:t>
            </w:r>
          </w:p>
        </w:tc>
        <w:tc>
          <w:tcPr>
            <w:tcW w:w="0" w:type="auto"/>
            <w:tcBorders>
              <w:bottom w:val="none" w:sz="0" w:space="0" w:color="auto"/>
            </w:tcBorders>
            <w:shd w:val="clear" w:color="auto" w:fill="auto"/>
          </w:tcPr>
          <w:p w14:paraId="59716C79"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Cholelithiasis</w:t>
            </w:r>
          </w:p>
        </w:tc>
        <w:tc>
          <w:tcPr>
            <w:tcW w:w="0" w:type="auto"/>
            <w:tcBorders>
              <w:bottom w:val="none" w:sz="0" w:space="0" w:color="auto"/>
            </w:tcBorders>
            <w:shd w:val="clear" w:color="auto" w:fill="auto"/>
            <w:noWrap/>
            <w:hideMark/>
          </w:tcPr>
          <w:p w14:paraId="6F5B3758"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Diverticular Disease</w:t>
            </w:r>
          </w:p>
        </w:tc>
        <w:tc>
          <w:tcPr>
            <w:tcW w:w="0" w:type="auto"/>
            <w:tcBorders>
              <w:bottom w:val="none" w:sz="0" w:space="0" w:color="auto"/>
            </w:tcBorders>
            <w:shd w:val="clear" w:color="auto" w:fill="auto"/>
            <w:noWrap/>
            <w:hideMark/>
          </w:tcPr>
          <w:p w14:paraId="19671F8F"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Hernia</w:t>
            </w:r>
          </w:p>
        </w:tc>
        <w:tc>
          <w:tcPr>
            <w:tcW w:w="0" w:type="auto"/>
            <w:tcBorders>
              <w:bottom w:val="none" w:sz="0" w:space="0" w:color="auto"/>
            </w:tcBorders>
            <w:shd w:val="clear" w:color="auto" w:fill="auto"/>
          </w:tcPr>
          <w:p w14:paraId="24327CB4" w14:textId="77777777" w:rsidR="00470AE4" w:rsidRPr="00C63860"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Intestinal obstruction</w:t>
            </w:r>
          </w:p>
        </w:tc>
      </w:tr>
      <w:tr w:rsidR="00470AE4" w:rsidRPr="00C63860" w14:paraId="709EC59B"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14FAE409" w14:textId="77777777" w:rsidR="00470AE4" w:rsidRPr="00C63860" w:rsidRDefault="00470AE4" w:rsidP="00470AE4">
            <w:pPr>
              <w:jc w:val="center"/>
              <w:rPr>
                <w:rFonts w:asciiTheme="minorHAnsi" w:hAnsiTheme="minorHAnsi" w:cstheme="minorBidi"/>
                <w:sz w:val="22"/>
                <w:szCs w:val="22"/>
              </w:rPr>
            </w:pPr>
            <w:r w:rsidRPr="00C63860">
              <w:rPr>
                <w:rFonts w:asciiTheme="minorHAnsi" w:hAnsiTheme="minorHAnsi" w:cstheme="minorHAnsi"/>
                <w:sz w:val="22"/>
                <w:szCs w:val="22"/>
              </w:rPr>
              <w:t>LYs</w:t>
            </w:r>
          </w:p>
        </w:tc>
        <w:tc>
          <w:tcPr>
            <w:tcW w:w="0" w:type="auto"/>
            <w:tcBorders>
              <w:top w:val="none" w:sz="0" w:space="0" w:color="auto"/>
              <w:bottom w:val="none" w:sz="0" w:space="0" w:color="auto"/>
            </w:tcBorders>
            <w:shd w:val="clear" w:color="auto" w:fill="auto"/>
          </w:tcPr>
          <w:p w14:paraId="780ADB6C"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p>
        </w:tc>
        <w:tc>
          <w:tcPr>
            <w:tcW w:w="0" w:type="auto"/>
            <w:tcBorders>
              <w:top w:val="none" w:sz="0" w:space="0" w:color="auto"/>
              <w:bottom w:val="none" w:sz="0" w:space="0" w:color="auto"/>
            </w:tcBorders>
            <w:shd w:val="clear" w:color="auto" w:fill="auto"/>
          </w:tcPr>
          <w:p w14:paraId="5390BA3D"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0" w:type="auto"/>
            <w:tcBorders>
              <w:top w:val="none" w:sz="0" w:space="0" w:color="auto"/>
              <w:bottom w:val="none" w:sz="0" w:space="0" w:color="auto"/>
            </w:tcBorders>
            <w:shd w:val="clear" w:color="auto" w:fill="auto"/>
            <w:noWrap/>
          </w:tcPr>
          <w:p w14:paraId="7245A7AC"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tcW w:w="0" w:type="auto"/>
            <w:tcBorders>
              <w:top w:val="none" w:sz="0" w:space="0" w:color="auto"/>
              <w:bottom w:val="none" w:sz="0" w:space="0" w:color="auto"/>
            </w:tcBorders>
            <w:shd w:val="clear" w:color="auto" w:fill="auto"/>
          </w:tcPr>
          <w:p w14:paraId="753E78CD"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tcW w:w="0" w:type="auto"/>
            <w:tcBorders>
              <w:top w:val="none" w:sz="0" w:space="0" w:color="auto"/>
              <w:bottom w:val="none" w:sz="0" w:space="0" w:color="auto"/>
            </w:tcBorders>
            <w:shd w:val="clear" w:color="auto" w:fill="auto"/>
            <w:noWrap/>
          </w:tcPr>
          <w:p w14:paraId="78AD5278"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tcW w:w="0" w:type="auto"/>
            <w:tcBorders>
              <w:top w:val="none" w:sz="0" w:space="0" w:color="auto"/>
              <w:bottom w:val="none" w:sz="0" w:space="0" w:color="auto"/>
            </w:tcBorders>
            <w:shd w:val="clear" w:color="auto" w:fill="auto"/>
            <w:noWrap/>
          </w:tcPr>
          <w:p w14:paraId="2C41CB7E"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tcW w:w="0" w:type="auto"/>
            <w:tcBorders>
              <w:top w:val="none" w:sz="0" w:space="0" w:color="auto"/>
              <w:bottom w:val="none" w:sz="0" w:space="0" w:color="auto"/>
            </w:tcBorders>
            <w:shd w:val="clear" w:color="auto" w:fill="auto"/>
          </w:tcPr>
          <w:p w14:paraId="73286B06"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470AE4" w:rsidRPr="00C63860" w14:paraId="3FB64949"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60FB20A" w14:textId="77777777" w:rsidR="00470AE4" w:rsidRPr="00C63860" w:rsidRDefault="00470AE4" w:rsidP="00470AE4">
            <w:pPr>
              <w:jc w:val="center"/>
              <w:rPr>
                <w:rFonts w:asciiTheme="minorHAnsi" w:hAnsiTheme="minorHAnsi" w:cstheme="minorBidi"/>
                <w:b w:val="0"/>
                <w:sz w:val="22"/>
                <w:szCs w:val="22"/>
              </w:rPr>
            </w:pPr>
            <w:r w:rsidRPr="00C63860">
              <w:rPr>
                <w:rFonts w:asciiTheme="minorHAnsi" w:hAnsiTheme="minorHAnsi" w:cstheme="minorBidi"/>
                <w:b w:val="0"/>
                <w:sz w:val="22"/>
                <w:szCs w:val="22"/>
              </w:rPr>
              <w:t>Binomial</w:t>
            </w:r>
          </w:p>
        </w:tc>
        <w:tc>
          <w:tcPr>
            <w:tcW w:w="0" w:type="auto"/>
            <w:shd w:val="clear" w:color="auto" w:fill="auto"/>
          </w:tcPr>
          <w:p w14:paraId="732DDE4E"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Logit</w:t>
            </w:r>
          </w:p>
        </w:tc>
        <w:tc>
          <w:tcPr>
            <w:tcW w:w="0" w:type="auto"/>
            <w:shd w:val="clear" w:color="auto" w:fill="auto"/>
          </w:tcPr>
          <w:p w14:paraId="41B64AC6"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Bidi"/>
                <w:sz w:val="22"/>
                <w:szCs w:val="22"/>
              </w:rPr>
              <w:t>1</w:t>
            </w:r>
          </w:p>
        </w:tc>
        <w:tc>
          <w:tcPr>
            <w:tcW w:w="0" w:type="auto"/>
            <w:shd w:val="clear" w:color="auto" w:fill="auto"/>
            <w:noWrap/>
          </w:tcPr>
          <w:p w14:paraId="095F7243"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[0.050]</w:t>
            </w:r>
          </w:p>
        </w:tc>
        <w:tc>
          <w:tcPr>
            <w:tcW w:w="0" w:type="auto"/>
            <w:shd w:val="clear" w:color="auto" w:fill="auto"/>
          </w:tcPr>
          <w:p w14:paraId="2DAF3022"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[0.116]</w:t>
            </w:r>
          </w:p>
        </w:tc>
        <w:tc>
          <w:tcPr>
            <w:tcW w:w="0" w:type="auto"/>
            <w:shd w:val="clear" w:color="auto" w:fill="auto"/>
            <w:noWrap/>
          </w:tcPr>
          <w:p w14:paraId="34D6603E"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[0.181]</w:t>
            </w:r>
          </w:p>
        </w:tc>
        <w:tc>
          <w:tcPr>
            <w:tcW w:w="0" w:type="auto"/>
            <w:shd w:val="clear" w:color="auto" w:fill="auto"/>
            <w:noWrap/>
          </w:tcPr>
          <w:p w14:paraId="1F3706D6"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[0.170]</w:t>
            </w:r>
          </w:p>
        </w:tc>
        <w:tc>
          <w:tcPr>
            <w:tcW w:w="0" w:type="auto"/>
            <w:shd w:val="clear" w:color="auto" w:fill="auto"/>
          </w:tcPr>
          <w:p w14:paraId="1D0E1131"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[0.288]</w:t>
            </w:r>
          </w:p>
        </w:tc>
      </w:tr>
      <w:tr w:rsidR="00470AE4" w:rsidRPr="00C63860" w14:paraId="36B54743"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4F26501B" w14:textId="77777777" w:rsidR="00470AE4" w:rsidRPr="00C63860" w:rsidRDefault="00470AE4" w:rsidP="00470AE4">
            <w:pPr>
              <w:jc w:val="center"/>
              <w:rPr>
                <w:rFonts w:asciiTheme="minorHAnsi" w:hAnsiTheme="minorHAnsi" w:cstheme="minorBidi"/>
                <w:b w:val="0"/>
                <w:sz w:val="22"/>
                <w:szCs w:val="22"/>
              </w:rPr>
            </w:pPr>
            <w:r w:rsidRPr="00C63860">
              <w:rPr>
                <w:rFonts w:asciiTheme="minorHAnsi" w:hAnsiTheme="minorHAnsi" w:cstheme="minorBidi"/>
                <w:b w:val="0"/>
                <w:sz w:val="22"/>
                <w:szCs w:val="22"/>
              </w:rPr>
              <w:t>Binomial</w:t>
            </w:r>
          </w:p>
        </w:tc>
        <w:tc>
          <w:tcPr>
            <w:tcW w:w="0" w:type="auto"/>
            <w:tcBorders>
              <w:top w:val="none" w:sz="0" w:space="0" w:color="auto"/>
              <w:bottom w:val="none" w:sz="0" w:space="0" w:color="auto"/>
            </w:tcBorders>
            <w:shd w:val="clear" w:color="auto" w:fill="auto"/>
          </w:tcPr>
          <w:p w14:paraId="0BDC0CCE"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Logit</w:t>
            </w:r>
          </w:p>
        </w:tc>
        <w:tc>
          <w:tcPr>
            <w:tcW w:w="0" w:type="auto"/>
            <w:tcBorders>
              <w:top w:val="none" w:sz="0" w:space="0" w:color="auto"/>
              <w:bottom w:val="none" w:sz="0" w:space="0" w:color="auto"/>
            </w:tcBorders>
            <w:shd w:val="clear" w:color="auto" w:fill="auto"/>
          </w:tcPr>
          <w:p w14:paraId="13E3EB05"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Bidi"/>
                <w:sz w:val="22"/>
                <w:szCs w:val="22"/>
              </w:rPr>
              <w:t>2</w:t>
            </w:r>
          </w:p>
        </w:tc>
        <w:tc>
          <w:tcPr>
            <w:tcW w:w="0" w:type="auto"/>
            <w:tcBorders>
              <w:top w:val="none" w:sz="0" w:space="0" w:color="auto"/>
              <w:bottom w:val="none" w:sz="0" w:space="0" w:color="auto"/>
            </w:tcBorders>
            <w:shd w:val="clear" w:color="auto" w:fill="auto"/>
            <w:noWrap/>
          </w:tcPr>
          <w:p w14:paraId="29BBCA6D"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0.050</w:t>
            </w:r>
          </w:p>
        </w:tc>
        <w:tc>
          <w:tcPr>
            <w:tcW w:w="0" w:type="auto"/>
            <w:tcBorders>
              <w:top w:val="none" w:sz="0" w:space="0" w:color="auto"/>
              <w:bottom w:val="none" w:sz="0" w:space="0" w:color="auto"/>
            </w:tcBorders>
            <w:shd w:val="clear" w:color="auto" w:fill="auto"/>
          </w:tcPr>
          <w:p w14:paraId="24518680"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0.116</w:t>
            </w:r>
          </w:p>
        </w:tc>
        <w:tc>
          <w:tcPr>
            <w:tcW w:w="0" w:type="auto"/>
            <w:tcBorders>
              <w:top w:val="none" w:sz="0" w:space="0" w:color="auto"/>
              <w:bottom w:val="none" w:sz="0" w:space="0" w:color="auto"/>
            </w:tcBorders>
            <w:shd w:val="clear" w:color="auto" w:fill="auto"/>
            <w:noWrap/>
          </w:tcPr>
          <w:p w14:paraId="66A19A3D"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0.181</w:t>
            </w:r>
          </w:p>
        </w:tc>
        <w:tc>
          <w:tcPr>
            <w:tcW w:w="0" w:type="auto"/>
            <w:tcBorders>
              <w:top w:val="none" w:sz="0" w:space="0" w:color="auto"/>
              <w:bottom w:val="none" w:sz="0" w:space="0" w:color="auto"/>
            </w:tcBorders>
            <w:shd w:val="clear" w:color="auto" w:fill="auto"/>
            <w:noWrap/>
          </w:tcPr>
          <w:p w14:paraId="60A709C6"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0.170</w:t>
            </w:r>
          </w:p>
        </w:tc>
        <w:tc>
          <w:tcPr>
            <w:tcW w:w="0" w:type="auto"/>
            <w:tcBorders>
              <w:top w:val="none" w:sz="0" w:space="0" w:color="auto"/>
              <w:bottom w:val="none" w:sz="0" w:space="0" w:color="auto"/>
            </w:tcBorders>
            <w:shd w:val="clear" w:color="auto" w:fill="auto"/>
          </w:tcPr>
          <w:p w14:paraId="032ED530"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0.288</w:t>
            </w:r>
          </w:p>
        </w:tc>
      </w:tr>
      <w:tr w:rsidR="00470AE4" w:rsidRPr="00C63860" w14:paraId="19F327E3"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37BB15A" w14:textId="77777777" w:rsidR="00470AE4" w:rsidRPr="00C63860" w:rsidRDefault="00470AE4" w:rsidP="00470AE4">
            <w:pPr>
              <w:jc w:val="center"/>
              <w:rPr>
                <w:rFonts w:asciiTheme="minorHAnsi" w:hAnsiTheme="minorHAnsi" w:cstheme="minorBidi"/>
                <w:b w:val="0"/>
                <w:sz w:val="22"/>
                <w:szCs w:val="22"/>
              </w:rPr>
            </w:pPr>
            <w:r w:rsidRPr="00C63860">
              <w:rPr>
                <w:rFonts w:asciiTheme="minorHAnsi" w:hAnsiTheme="minorHAnsi" w:cstheme="minorBidi"/>
                <w:b w:val="0"/>
                <w:sz w:val="22"/>
                <w:szCs w:val="22"/>
              </w:rPr>
              <w:t>Binomial</w:t>
            </w:r>
          </w:p>
        </w:tc>
        <w:tc>
          <w:tcPr>
            <w:tcW w:w="0" w:type="auto"/>
            <w:shd w:val="clear" w:color="auto" w:fill="auto"/>
          </w:tcPr>
          <w:p w14:paraId="1B4FBCA3"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Logit</w:t>
            </w:r>
          </w:p>
        </w:tc>
        <w:tc>
          <w:tcPr>
            <w:tcW w:w="0" w:type="auto"/>
            <w:shd w:val="clear" w:color="auto" w:fill="auto"/>
          </w:tcPr>
          <w:p w14:paraId="5D04851E"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Bidi"/>
                <w:sz w:val="22"/>
                <w:szCs w:val="22"/>
              </w:rPr>
              <w:t>3</w:t>
            </w:r>
          </w:p>
        </w:tc>
        <w:tc>
          <w:tcPr>
            <w:tcW w:w="0" w:type="auto"/>
            <w:shd w:val="clear" w:color="auto" w:fill="auto"/>
            <w:noWrap/>
          </w:tcPr>
          <w:p w14:paraId="1173A9D1"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0.050</w:t>
            </w:r>
          </w:p>
        </w:tc>
        <w:tc>
          <w:tcPr>
            <w:tcW w:w="0" w:type="auto"/>
            <w:shd w:val="clear" w:color="auto" w:fill="auto"/>
          </w:tcPr>
          <w:p w14:paraId="1D466935"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0.116</w:t>
            </w:r>
          </w:p>
        </w:tc>
        <w:tc>
          <w:tcPr>
            <w:tcW w:w="0" w:type="auto"/>
            <w:shd w:val="clear" w:color="auto" w:fill="auto"/>
            <w:noWrap/>
          </w:tcPr>
          <w:p w14:paraId="313EC529"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0.181</w:t>
            </w:r>
          </w:p>
        </w:tc>
        <w:tc>
          <w:tcPr>
            <w:tcW w:w="0" w:type="auto"/>
            <w:shd w:val="clear" w:color="auto" w:fill="auto"/>
            <w:noWrap/>
          </w:tcPr>
          <w:p w14:paraId="501E847E"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0.170</w:t>
            </w:r>
          </w:p>
        </w:tc>
        <w:tc>
          <w:tcPr>
            <w:tcW w:w="0" w:type="auto"/>
            <w:shd w:val="clear" w:color="auto" w:fill="auto"/>
          </w:tcPr>
          <w:p w14:paraId="3DCDC45E"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63860">
              <w:rPr>
                <w:rFonts w:asciiTheme="minorHAnsi" w:hAnsiTheme="minorHAnsi" w:cstheme="minorHAnsi"/>
                <w:sz w:val="22"/>
                <w:szCs w:val="22"/>
              </w:rPr>
              <w:t>0.288</w:t>
            </w:r>
          </w:p>
        </w:tc>
      </w:tr>
      <w:tr w:rsidR="00470AE4" w:rsidRPr="00C63860" w14:paraId="651A7F4D"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204DEBDC" w14:textId="77777777" w:rsidR="00470AE4" w:rsidRPr="00C63860" w:rsidRDefault="00470AE4" w:rsidP="00470AE4">
            <w:pPr>
              <w:jc w:val="center"/>
              <w:rPr>
                <w:rFonts w:asciiTheme="minorHAnsi" w:hAnsiTheme="minorHAnsi" w:cstheme="minorBidi"/>
                <w:sz w:val="22"/>
                <w:szCs w:val="22"/>
              </w:rPr>
            </w:pPr>
            <w:r w:rsidRPr="00C63860">
              <w:rPr>
                <w:rFonts w:asciiTheme="minorHAnsi" w:hAnsiTheme="minorHAnsi" w:cstheme="minorBidi"/>
                <w:sz w:val="22"/>
                <w:szCs w:val="22"/>
              </w:rPr>
              <w:t>QALYs</w:t>
            </w:r>
          </w:p>
        </w:tc>
        <w:tc>
          <w:tcPr>
            <w:tcW w:w="0" w:type="auto"/>
            <w:tcBorders>
              <w:top w:val="none" w:sz="0" w:space="0" w:color="auto"/>
              <w:bottom w:val="none" w:sz="0" w:space="0" w:color="auto"/>
            </w:tcBorders>
            <w:shd w:val="clear" w:color="auto" w:fill="auto"/>
          </w:tcPr>
          <w:p w14:paraId="685E19D5"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0" w:type="auto"/>
            <w:tcBorders>
              <w:top w:val="none" w:sz="0" w:space="0" w:color="auto"/>
              <w:bottom w:val="none" w:sz="0" w:space="0" w:color="auto"/>
            </w:tcBorders>
            <w:shd w:val="clear" w:color="auto" w:fill="auto"/>
          </w:tcPr>
          <w:p w14:paraId="7D11E215"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0" w:type="auto"/>
            <w:tcBorders>
              <w:top w:val="none" w:sz="0" w:space="0" w:color="auto"/>
              <w:bottom w:val="none" w:sz="0" w:space="0" w:color="auto"/>
            </w:tcBorders>
            <w:shd w:val="clear" w:color="auto" w:fill="auto"/>
            <w:noWrap/>
            <w:hideMark/>
          </w:tcPr>
          <w:p w14:paraId="321B3A70"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0" w:type="auto"/>
            <w:tcBorders>
              <w:top w:val="none" w:sz="0" w:space="0" w:color="auto"/>
              <w:bottom w:val="none" w:sz="0" w:space="0" w:color="auto"/>
            </w:tcBorders>
            <w:shd w:val="clear" w:color="auto" w:fill="auto"/>
          </w:tcPr>
          <w:p w14:paraId="599DA970"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0" w:type="auto"/>
            <w:tcBorders>
              <w:top w:val="none" w:sz="0" w:space="0" w:color="auto"/>
              <w:bottom w:val="none" w:sz="0" w:space="0" w:color="auto"/>
            </w:tcBorders>
            <w:shd w:val="clear" w:color="auto" w:fill="auto"/>
            <w:noWrap/>
            <w:hideMark/>
          </w:tcPr>
          <w:p w14:paraId="107A03DC"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0" w:type="auto"/>
            <w:tcBorders>
              <w:top w:val="none" w:sz="0" w:space="0" w:color="auto"/>
              <w:bottom w:val="none" w:sz="0" w:space="0" w:color="auto"/>
            </w:tcBorders>
            <w:shd w:val="clear" w:color="auto" w:fill="auto"/>
            <w:noWrap/>
            <w:hideMark/>
          </w:tcPr>
          <w:p w14:paraId="33F2BE0E"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0" w:type="auto"/>
            <w:tcBorders>
              <w:top w:val="none" w:sz="0" w:space="0" w:color="auto"/>
              <w:bottom w:val="none" w:sz="0" w:space="0" w:color="auto"/>
            </w:tcBorders>
            <w:shd w:val="clear" w:color="auto" w:fill="auto"/>
          </w:tcPr>
          <w:p w14:paraId="0271DC3B"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r>
      <w:tr w:rsidR="00470AE4" w:rsidRPr="00C63860" w14:paraId="25D00962"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4928BD6"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Binomial</w:t>
            </w:r>
          </w:p>
        </w:tc>
        <w:tc>
          <w:tcPr>
            <w:tcW w:w="0" w:type="auto"/>
            <w:shd w:val="clear" w:color="auto" w:fill="auto"/>
          </w:tcPr>
          <w:p w14:paraId="450B5993"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Logit</w:t>
            </w:r>
          </w:p>
        </w:tc>
        <w:tc>
          <w:tcPr>
            <w:tcW w:w="0" w:type="auto"/>
            <w:shd w:val="clear" w:color="auto" w:fill="auto"/>
          </w:tcPr>
          <w:p w14:paraId="5F782528"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1</w:t>
            </w:r>
          </w:p>
        </w:tc>
        <w:tc>
          <w:tcPr>
            <w:tcW w:w="0" w:type="auto"/>
            <w:shd w:val="clear" w:color="auto" w:fill="auto"/>
            <w:noWrap/>
            <w:hideMark/>
          </w:tcPr>
          <w:p w14:paraId="1F3657AF"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[0.059]</w:t>
            </w:r>
          </w:p>
        </w:tc>
        <w:tc>
          <w:tcPr>
            <w:tcW w:w="0" w:type="auto"/>
            <w:shd w:val="clear" w:color="auto" w:fill="auto"/>
          </w:tcPr>
          <w:p w14:paraId="02CE9A7D"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[0.137]</w:t>
            </w:r>
          </w:p>
        </w:tc>
        <w:tc>
          <w:tcPr>
            <w:tcW w:w="0" w:type="auto"/>
            <w:shd w:val="clear" w:color="auto" w:fill="auto"/>
            <w:noWrap/>
            <w:hideMark/>
          </w:tcPr>
          <w:p w14:paraId="4B094C94"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[0.192]</w:t>
            </w:r>
          </w:p>
        </w:tc>
        <w:tc>
          <w:tcPr>
            <w:tcW w:w="0" w:type="auto"/>
            <w:shd w:val="clear" w:color="auto" w:fill="auto"/>
            <w:noWrap/>
            <w:hideMark/>
          </w:tcPr>
          <w:p w14:paraId="3ECBB930"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[0.204]</w:t>
            </w:r>
          </w:p>
        </w:tc>
        <w:tc>
          <w:tcPr>
            <w:tcW w:w="0" w:type="auto"/>
            <w:shd w:val="clear" w:color="auto" w:fill="auto"/>
          </w:tcPr>
          <w:p w14:paraId="288C34BD"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[0.074]</w:t>
            </w:r>
          </w:p>
        </w:tc>
      </w:tr>
      <w:tr w:rsidR="00470AE4" w:rsidRPr="00C63860" w14:paraId="4DDB4CDC"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3904BC75"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Binomial</w:t>
            </w:r>
          </w:p>
        </w:tc>
        <w:tc>
          <w:tcPr>
            <w:tcW w:w="0" w:type="auto"/>
            <w:tcBorders>
              <w:top w:val="none" w:sz="0" w:space="0" w:color="auto"/>
              <w:bottom w:val="none" w:sz="0" w:space="0" w:color="auto"/>
            </w:tcBorders>
            <w:shd w:val="clear" w:color="auto" w:fill="auto"/>
          </w:tcPr>
          <w:p w14:paraId="05BEB5C4"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Logit</w:t>
            </w:r>
          </w:p>
        </w:tc>
        <w:tc>
          <w:tcPr>
            <w:tcW w:w="0" w:type="auto"/>
            <w:tcBorders>
              <w:top w:val="none" w:sz="0" w:space="0" w:color="auto"/>
              <w:bottom w:val="none" w:sz="0" w:space="0" w:color="auto"/>
            </w:tcBorders>
            <w:shd w:val="clear" w:color="auto" w:fill="auto"/>
          </w:tcPr>
          <w:p w14:paraId="004FCAD7"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2</w:t>
            </w:r>
          </w:p>
        </w:tc>
        <w:tc>
          <w:tcPr>
            <w:tcW w:w="0" w:type="auto"/>
            <w:tcBorders>
              <w:top w:val="none" w:sz="0" w:space="0" w:color="auto"/>
              <w:bottom w:val="none" w:sz="0" w:space="0" w:color="auto"/>
            </w:tcBorders>
            <w:shd w:val="clear" w:color="auto" w:fill="auto"/>
            <w:noWrap/>
            <w:hideMark/>
          </w:tcPr>
          <w:p w14:paraId="10255B25"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0.059</w:t>
            </w:r>
          </w:p>
        </w:tc>
        <w:tc>
          <w:tcPr>
            <w:tcW w:w="0" w:type="auto"/>
            <w:tcBorders>
              <w:top w:val="none" w:sz="0" w:space="0" w:color="auto"/>
              <w:bottom w:val="none" w:sz="0" w:space="0" w:color="auto"/>
            </w:tcBorders>
            <w:shd w:val="clear" w:color="auto" w:fill="auto"/>
          </w:tcPr>
          <w:p w14:paraId="04266766"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0.137</w:t>
            </w:r>
          </w:p>
        </w:tc>
        <w:tc>
          <w:tcPr>
            <w:tcW w:w="0" w:type="auto"/>
            <w:tcBorders>
              <w:top w:val="none" w:sz="0" w:space="0" w:color="auto"/>
              <w:bottom w:val="none" w:sz="0" w:space="0" w:color="auto"/>
            </w:tcBorders>
            <w:shd w:val="clear" w:color="auto" w:fill="auto"/>
            <w:noWrap/>
            <w:hideMark/>
          </w:tcPr>
          <w:p w14:paraId="50596470"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0.192</w:t>
            </w:r>
          </w:p>
        </w:tc>
        <w:tc>
          <w:tcPr>
            <w:tcW w:w="0" w:type="auto"/>
            <w:tcBorders>
              <w:top w:val="none" w:sz="0" w:space="0" w:color="auto"/>
              <w:bottom w:val="none" w:sz="0" w:space="0" w:color="auto"/>
            </w:tcBorders>
            <w:shd w:val="clear" w:color="auto" w:fill="auto"/>
            <w:noWrap/>
            <w:hideMark/>
          </w:tcPr>
          <w:p w14:paraId="106F0B6A"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0.204</w:t>
            </w:r>
          </w:p>
        </w:tc>
        <w:tc>
          <w:tcPr>
            <w:tcW w:w="0" w:type="auto"/>
            <w:tcBorders>
              <w:top w:val="none" w:sz="0" w:space="0" w:color="auto"/>
              <w:bottom w:val="none" w:sz="0" w:space="0" w:color="auto"/>
            </w:tcBorders>
            <w:shd w:val="clear" w:color="auto" w:fill="auto"/>
          </w:tcPr>
          <w:p w14:paraId="0F15AEB0"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0.074</w:t>
            </w:r>
          </w:p>
        </w:tc>
      </w:tr>
      <w:tr w:rsidR="00470AE4" w:rsidRPr="00C63860" w14:paraId="26B5EBA9"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120733A"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Binomial</w:t>
            </w:r>
          </w:p>
        </w:tc>
        <w:tc>
          <w:tcPr>
            <w:tcW w:w="0" w:type="auto"/>
            <w:shd w:val="clear" w:color="auto" w:fill="auto"/>
          </w:tcPr>
          <w:p w14:paraId="04F17A13"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Logit</w:t>
            </w:r>
          </w:p>
        </w:tc>
        <w:tc>
          <w:tcPr>
            <w:tcW w:w="0" w:type="auto"/>
            <w:shd w:val="clear" w:color="auto" w:fill="auto"/>
          </w:tcPr>
          <w:p w14:paraId="3EE4E413"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3</w:t>
            </w:r>
          </w:p>
        </w:tc>
        <w:tc>
          <w:tcPr>
            <w:tcW w:w="0" w:type="auto"/>
            <w:shd w:val="clear" w:color="auto" w:fill="auto"/>
            <w:noWrap/>
            <w:hideMark/>
          </w:tcPr>
          <w:p w14:paraId="6E0E7714"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0.059</w:t>
            </w:r>
          </w:p>
        </w:tc>
        <w:tc>
          <w:tcPr>
            <w:tcW w:w="0" w:type="auto"/>
            <w:shd w:val="clear" w:color="auto" w:fill="auto"/>
          </w:tcPr>
          <w:p w14:paraId="3BFB33BA"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0.137</w:t>
            </w:r>
          </w:p>
        </w:tc>
        <w:tc>
          <w:tcPr>
            <w:tcW w:w="0" w:type="auto"/>
            <w:shd w:val="clear" w:color="auto" w:fill="auto"/>
            <w:noWrap/>
            <w:hideMark/>
          </w:tcPr>
          <w:p w14:paraId="2EFC2AFB"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0.192</w:t>
            </w:r>
          </w:p>
        </w:tc>
        <w:tc>
          <w:tcPr>
            <w:tcW w:w="0" w:type="auto"/>
            <w:shd w:val="clear" w:color="auto" w:fill="auto"/>
            <w:noWrap/>
            <w:hideMark/>
          </w:tcPr>
          <w:p w14:paraId="1B09B2CE"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0.204</w:t>
            </w:r>
          </w:p>
        </w:tc>
        <w:tc>
          <w:tcPr>
            <w:tcW w:w="0" w:type="auto"/>
            <w:shd w:val="clear" w:color="auto" w:fill="auto"/>
          </w:tcPr>
          <w:p w14:paraId="5E1D5796"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0.074</w:t>
            </w:r>
          </w:p>
        </w:tc>
      </w:tr>
      <w:tr w:rsidR="00470AE4" w:rsidRPr="00C63860" w14:paraId="736385E2"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2C1E87E4" w14:textId="77777777" w:rsidR="00470AE4" w:rsidRPr="00C63860" w:rsidRDefault="00470AE4" w:rsidP="00470AE4">
            <w:pPr>
              <w:jc w:val="center"/>
              <w:rPr>
                <w:rFonts w:asciiTheme="minorHAnsi" w:hAnsiTheme="minorHAnsi" w:cstheme="minorBidi"/>
                <w:sz w:val="22"/>
                <w:szCs w:val="22"/>
              </w:rPr>
            </w:pPr>
            <w:r w:rsidRPr="00C63860">
              <w:rPr>
                <w:rFonts w:asciiTheme="minorHAnsi" w:hAnsiTheme="minorHAnsi" w:cstheme="minorBidi"/>
                <w:sz w:val="22"/>
                <w:szCs w:val="22"/>
              </w:rPr>
              <w:t>Costs</w:t>
            </w:r>
          </w:p>
        </w:tc>
        <w:tc>
          <w:tcPr>
            <w:tcW w:w="0" w:type="auto"/>
            <w:tcBorders>
              <w:top w:val="none" w:sz="0" w:space="0" w:color="auto"/>
              <w:bottom w:val="none" w:sz="0" w:space="0" w:color="auto"/>
            </w:tcBorders>
            <w:shd w:val="clear" w:color="auto" w:fill="auto"/>
          </w:tcPr>
          <w:p w14:paraId="2A4FF2F9"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0" w:type="auto"/>
            <w:tcBorders>
              <w:top w:val="none" w:sz="0" w:space="0" w:color="auto"/>
              <w:bottom w:val="none" w:sz="0" w:space="0" w:color="auto"/>
            </w:tcBorders>
            <w:shd w:val="clear" w:color="auto" w:fill="auto"/>
          </w:tcPr>
          <w:p w14:paraId="5828F653"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0" w:type="auto"/>
            <w:tcBorders>
              <w:top w:val="none" w:sz="0" w:space="0" w:color="auto"/>
              <w:bottom w:val="none" w:sz="0" w:space="0" w:color="auto"/>
            </w:tcBorders>
            <w:shd w:val="clear" w:color="auto" w:fill="auto"/>
            <w:noWrap/>
            <w:hideMark/>
          </w:tcPr>
          <w:p w14:paraId="367EAD03"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0" w:type="auto"/>
            <w:tcBorders>
              <w:top w:val="none" w:sz="0" w:space="0" w:color="auto"/>
              <w:bottom w:val="none" w:sz="0" w:space="0" w:color="auto"/>
            </w:tcBorders>
            <w:shd w:val="clear" w:color="auto" w:fill="auto"/>
          </w:tcPr>
          <w:p w14:paraId="34C02448"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0" w:type="auto"/>
            <w:tcBorders>
              <w:top w:val="none" w:sz="0" w:space="0" w:color="auto"/>
              <w:bottom w:val="none" w:sz="0" w:space="0" w:color="auto"/>
            </w:tcBorders>
            <w:shd w:val="clear" w:color="auto" w:fill="auto"/>
            <w:noWrap/>
            <w:hideMark/>
          </w:tcPr>
          <w:p w14:paraId="4A3CAFFA"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0" w:type="auto"/>
            <w:tcBorders>
              <w:top w:val="none" w:sz="0" w:space="0" w:color="auto"/>
              <w:bottom w:val="none" w:sz="0" w:space="0" w:color="auto"/>
            </w:tcBorders>
            <w:shd w:val="clear" w:color="auto" w:fill="auto"/>
            <w:noWrap/>
            <w:hideMark/>
          </w:tcPr>
          <w:p w14:paraId="1537F126"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0" w:type="auto"/>
            <w:tcBorders>
              <w:top w:val="none" w:sz="0" w:space="0" w:color="auto"/>
              <w:bottom w:val="none" w:sz="0" w:space="0" w:color="auto"/>
            </w:tcBorders>
            <w:shd w:val="clear" w:color="auto" w:fill="auto"/>
          </w:tcPr>
          <w:p w14:paraId="1E2B04CA"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r>
      <w:tr w:rsidR="00470AE4" w:rsidRPr="00C63860" w14:paraId="28F85B2F"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C141A66"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Gaussian</w:t>
            </w:r>
          </w:p>
        </w:tc>
        <w:tc>
          <w:tcPr>
            <w:tcW w:w="0" w:type="auto"/>
            <w:shd w:val="clear" w:color="auto" w:fill="auto"/>
          </w:tcPr>
          <w:p w14:paraId="3A459917"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Identity</w:t>
            </w:r>
          </w:p>
        </w:tc>
        <w:tc>
          <w:tcPr>
            <w:tcW w:w="0" w:type="auto"/>
            <w:shd w:val="clear" w:color="auto" w:fill="auto"/>
          </w:tcPr>
          <w:p w14:paraId="1B0EDFA0"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1</w:t>
            </w:r>
          </w:p>
        </w:tc>
        <w:tc>
          <w:tcPr>
            <w:tcW w:w="0" w:type="auto"/>
            <w:shd w:val="clear" w:color="auto" w:fill="auto"/>
            <w:noWrap/>
            <w:hideMark/>
          </w:tcPr>
          <w:p w14:paraId="24A5AF8E"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3530.330</w:t>
            </w:r>
          </w:p>
        </w:tc>
        <w:tc>
          <w:tcPr>
            <w:tcW w:w="0" w:type="auto"/>
            <w:shd w:val="clear" w:color="auto" w:fill="auto"/>
          </w:tcPr>
          <w:p w14:paraId="034C976F"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6556.831</w:t>
            </w:r>
          </w:p>
        </w:tc>
        <w:tc>
          <w:tcPr>
            <w:tcW w:w="0" w:type="auto"/>
            <w:shd w:val="clear" w:color="auto" w:fill="auto"/>
            <w:noWrap/>
            <w:hideMark/>
          </w:tcPr>
          <w:p w14:paraId="2C5A1D52"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8980.985</w:t>
            </w:r>
          </w:p>
        </w:tc>
        <w:tc>
          <w:tcPr>
            <w:tcW w:w="0" w:type="auto"/>
            <w:shd w:val="clear" w:color="auto" w:fill="auto"/>
            <w:noWrap/>
            <w:hideMark/>
          </w:tcPr>
          <w:p w14:paraId="18239BC6"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[8975.387]</w:t>
            </w:r>
          </w:p>
        </w:tc>
        <w:tc>
          <w:tcPr>
            <w:tcW w:w="0" w:type="auto"/>
            <w:shd w:val="clear" w:color="auto" w:fill="auto"/>
          </w:tcPr>
          <w:p w14:paraId="291BC243"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15450.896</w:t>
            </w:r>
          </w:p>
        </w:tc>
      </w:tr>
      <w:tr w:rsidR="00470AE4" w:rsidRPr="00C63860" w14:paraId="0012857E"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5ACEE18E"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Inverse gaussian</w:t>
            </w:r>
          </w:p>
        </w:tc>
        <w:tc>
          <w:tcPr>
            <w:tcW w:w="0" w:type="auto"/>
            <w:tcBorders>
              <w:top w:val="none" w:sz="0" w:space="0" w:color="auto"/>
              <w:bottom w:val="none" w:sz="0" w:space="0" w:color="auto"/>
            </w:tcBorders>
            <w:shd w:val="clear" w:color="auto" w:fill="auto"/>
          </w:tcPr>
          <w:p w14:paraId="4DAFE95D"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Identity</w:t>
            </w:r>
          </w:p>
        </w:tc>
        <w:tc>
          <w:tcPr>
            <w:tcW w:w="0" w:type="auto"/>
            <w:tcBorders>
              <w:top w:val="none" w:sz="0" w:space="0" w:color="auto"/>
              <w:bottom w:val="none" w:sz="0" w:space="0" w:color="auto"/>
            </w:tcBorders>
            <w:shd w:val="clear" w:color="auto" w:fill="auto"/>
          </w:tcPr>
          <w:p w14:paraId="70987A63"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1</w:t>
            </w:r>
          </w:p>
        </w:tc>
        <w:tc>
          <w:tcPr>
            <w:tcW w:w="0" w:type="auto"/>
            <w:tcBorders>
              <w:top w:val="none" w:sz="0" w:space="0" w:color="auto"/>
              <w:bottom w:val="none" w:sz="0" w:space="0" w:color="auto"/>
            </w:tcBorders>
            <w:shd w:val="clear" w:color="auto" w:fill="auto"/>
            <w:noWrap/>
            <w:hideMark/>
          </w:tcPr>
          <w:p w14:paraId="249C0D7F"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3533.875</w:t>
            </w:r>
          </w:p>
        </w:tc>
        <w:tc>
          <w:tcPr>
            <w:tcW w:w="0" w:type="auto"/>
            <w:tcBorders>
              <w:top w:val="none" w:sz="0" w:space="0" w:color="auto"/>
              <w:bottom w:val="none" w:sz="0" w:space="0" w:color="auto"/>
            </w:tcBorders>
            <w:shd w:val="clear" w:color="auto" w:fill="auto"/>
          </w:tcPr>
          <w:p w14:paraId="11BE7969"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6560.378</w:t>
            </w:r>
          </w:p>
        </w:tc>
        <w:tc>
          <w:tcPr>
            <w:tcW w:w="0" w:type="auto"/>
            <w:tcBorders>
              <w:top w:val="none" w:sz="0" w:space="0" w:color="auto"/>
              <w:bottom w:val="none" w:sz="0" w:space="0" w:color="auto"/>
            </w:tcBorders>
            <w:shd w:val="clear" w:color="auto" w:fill="auto"/>
            <w:noWrap/>
            <w:hideMark/>
          </w:tcPr>
          <w:p w14:paraId="5344746E"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8993.261</w:t>
            </w:r>
          </w:p>
        </w:tc>
        <w:tc>
          <w:tcPr>
            <w:tcW w:w="0" w:type="auto"/>
            <w:tcBorders>
              <w:top w:val="none" w:sz="0" w:space="0" w:color="auto"/>
              <w:bottom w:val="none" w:sz="0" w:space="0" w:color="auto"/>
            </w:tcBorders>
            <w:shd w:val="clear" w:color="auto" w:fill="auto"/>
            <w:noWrap/>
            <w:hideMark/>
          </w:tcPr>
          <w:p w14:paraId="04337E26"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8988.748</w:t>
            </w:r>
          </w:p>
        </w:tc>
        <w:tc>
          <w:tcPr>
            <w:tcW w:w="0" w:type="auto"/>
            <w:tcBorders>
              <w:top w:val="none" w:sz="0" w:space="0" w:color="auto"/>
              <w:bottom w:val="none" w:sz="0" w:space="0" w:color="auto"/>
            </w:tcBorders>
            <w:shd w:val="clear" w:color="auto" w:fill="auto"/>
          </w:tcPr>
          <w:p w14:paraId="467B37A5"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15462.394</w:t>
            </w:r>
          </w:p>
        </w:tc>
      </w:tr>
      <w:tr w:rsidR="00470AE4" w:rsidRPr="00C63860" w14:paraId="1ED65D7F"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197F05D"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Gamma</w:t>
            </w:r>
          </w:p>
        </w:tc>
        <w:tc>
          <w:tcPr>
            <w:tcW w:w="0" w:type="auto"/>
            <w:shd w:val="clear" w:color="auto" w:fill="auto"/>
          </w:tcPr>
          <w:p w14:paraId="1CED0577"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Identity</w:t>
            </w:r>
          </w:p>
        </w:tc>
        <w:tc>
          <w:tcPr>
            <w:tcW w:w="0" w:type="auto"/>
            <w:shd w:val="clear" w:color="auto" w:fill="auto"/>
          </w:tcPr>
          <w:p w14:paraId="4BF77A00"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1</w:t>
            </w:r>
          </w:p>
        </w:tc>
        <w:tc>
          <w:tcPr>
            <w:tcW w:w="0" w:type="auto"/>
            <w:shd w:val="clear" w:color="auto" w:fill="auto"/>
            <w:noWrap/>
            <w:hideMark/>
          </w:tcPr>
          <w:p w14:paraId="70102EAF"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3532.422</w:t>
            </w:r>
          </w:p>
        </w:tc>
        <w:tc>
          <w:tcPr>
            <w:tcW w:w="0" w:type="auto"/>
            <w:shd w:val="clear" w:color="auto" w:fill="auto"/>
          </w:tcPr>
          <w:p w14:paraId="37DBE3DD"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6558.867</w:t>
            </w:r>
          </w:p>
        </w:tc>
        <w:tc>
          <w:tcPr>
            <w:tcW w:w="0" w:type="auto"/>
            <w:shd w:val="clear" w:color="auto" w:fill="auto"/>
            <w:noWrap/>
            <w:hideMark/>
          </w:tcPr>
          <w:p w14:paraId="09C16B88"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8987.824</w:t>
            </w:r>
          </w:p>
        </w:tc>
        <w:tc>
          <w:tcPr>
            <w:tcW w:w="0" w:type="auto"/>
            <w:shd w:val="clear" w:color="auto" w:fill="auto"/>
            <w:noWrap/>
            <w:hideMark/>
          </w:tcPr>
          <w:p w14:paraId="5C46F681"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8983.084</w:t>
            </w:r>
          </w:p>
        </w:tc>
        <w:tc>
          <w:tcPr>
            <w:tcW w:w="0" w:type="auto"/>
            <w:shd w:val="clear" w:color="auto" w:fill="auto"/>
          </w:tcPr>
          <w:p w14:paraId="296B9240"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15456.593</w:t>
            </w:r>
          </w:p>
        </w:tc>
      </w:tr>
      <w:tr w:rsidR="00470AE4" w:rsidRPr="00C63860" w14:paraId="7F52E765"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20CD861D"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Gaussian</w:t>
            </w:r>
          </w:p>
        </w:tc>
        <w:tc>
          <w:tcPr>
            <w:tcW w:w="0" w:type="auto"/>
            <w:tcBorders>
              <w:top w:val="none" w:sz="0" w:space="0" w:color="auto"/>
              <w:bottom w:val="none" w:sz="0" w:space="0" w:color="auto"/>
            </w:tcBorders>
            <w:shd w:val="clear" w:color="auto" w:fill="auto"/>
          </w:tcPr>
          <w:p w14:paraId="079ECA20"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Log</w:t>
            </w:r>
          </w:p>
        </w:tc>
        <w:tc>
          <w:tcPr>
            <w:tcW w:w="0" w:type="auto"/>
            <w:tcBorders>
              <w:top w:val="none" w:sz="0" w:space="0" w:color="auto"/>
              <w:bottom w:val="none" w:sz="0" w:space="0" w:color="auto"/>
            </w:tcBorders>
            <w:shd w:val="clear" w:color="auto" w:fill="auto"/>
          </w:tcPr>
          <w:p w14:paraId="71BCDAF4"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1</w:t>
            </w:r>
          </w:p>
        </w:tc>
        <w:tc>
          <w:tcPr>
            <w:tcW w:w="0" w:type="auto"/>
            <w:tcBorders>
              <w:top w:val="none" w:sz="0" w:space="0" w:color="auto"/>
              <w:bottom w:val="none" w:sz="0" w:space="0" w:color="auto"/>
            </w:tcBorders>
            <w:shd w:val="clear" w:color="auto" w:fill="auto"/>
            <w:noWrap/>
            <w:hideMark/>
          </w:tcPr>
          <w:p w14:paraId="7528BEB8"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3525.947</w:t>
            </w:r>
          </w:p>
        </w:tc>
        <w:tc>
          <w:tcPr>
            <w:tcW w:w="0" w:type="auto"/>
            <w:tcBorders>
              <w:top w:val="none" w:sz="0" w:space="0" w:color="auto"/>
              <w:bottom w:val="none" w:sz="0" w:space="0" w:color="auto"/>
            </w:tcBorders>
            <w:shd w:val="clear" w:color="auto" w:fill="auto"/>
          </w:tcPr>
          <w:p w14:paraId="37299141"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6553.477</w:t>
            </w:r>
          </w:p>
        </w:tc>
        <w:tc>
          <w:tcPr>
            <w:tcW w:w="0" w:type="auto"/>
            <w:tcBorders>
              <w:top w:val="none" w:sz="0" w:space="0" w:color="auto"/>
              <w:bottom w:val="none" w:sz="0" w:space="0" w:color="auto"/>
            </w:tcBorders>
            <w:shd w:val="clear" w:color="auto" w:fill="auto"/>
            <w:noWrap/>
            <w:hideMark/>
          </w:tcPr>
          <w:p w14:paraId="50B6408E"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8977.639</w:t>
            </w:r>
          </w:p>
        </w:tc>
        <w:tc>
          <w:tcPr>
            <w:tcW w:w="0" w:type="auto"/>
            <w:tcBorders>
              <w:top w:val="none" w:sz="0" w:space="0" w:color="auto"/>
              <w:bottom w:val="none" w:sz="0" w:space="0" w:color="auto"/>
            </w:tcBorders>
            <w:shd w:val="clear" w:color="auto" w:fill="auto"/>
            <w:noWrap/>
            <w:hideMark/>
          </w:tcPr>
          <w:p w14:paraId="7AD76E89"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8976.490</w:t>
            </w:r>
          </w:p>
        </w:tc>
        <w:tc>
          <w:tcPr>
            <w:tcW w:w="0" w:type="auto"/>
            <w:tcBorders>
              <w:top w:val="none" w:sz="0" w:space="0" w:color="auto"/>
              <w:bottom w:val="none" w:sz="0" w:space="0" w:color="auto"/>
            </w:tcBorders>
            <w:shd w:val="clear" w:color="auto" w:fill="auto"/>
          </w:tcPr>
          <w:p w14:paraId="35B86DA3"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15447.349</w:t>
            </w:r>
          </w:p>
        </w:tc>
      </w:tr>
      <w:tr w:rsidR="00470AE4" w:rsidRPr="00C63860" w14:paraId="11DC521B"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A83FE16"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Inverse gaussian</w:t>
            </w:r>
          </w:p>
        </w:tc>
        <w:tc>
          <w:tcPr>
            <w:tcW w:w="0" w:type="auto"/>
            <w:shd w:val="clear" w:color="auto" w:fill="auto"/>
          </w:tcPr>
          <w:p w14:paraId="24B75727"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Log</w:t>
            </w:r>
          </w:p>
        </w:tc>
        <w:tc>
          <w:tcPr>
            <w:tcW w:w="0" w:type="auto"/>
            <w:shd w:val="clear" w:color="auto" w:fill="auto"/>
          </w:tcPr>
          <w:p w14:paraId="28973FBF"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1</w:t>
            </w:r>
          </w:p>
        </w:tc>
        <w:tc>
          <w:tcPr>
            <w:tcW w:w="0" w:type="auto"/>
            <w:shd w:val="clear" w:color="auto" w:fill="auto"/>
            <w:noWrap/>
            <w:hideMark/>
          </w:tcPr>
          <w:p w14:paraId="4D754E4A"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3530.944</w:t>
            </w:r>
          </w:p>
        </w:tc>
        <w:tc>
          <w:tcPr>
            <w:tcW w:w="0" w:type="auto"/>
            <w:shd w:val="clear" w:color="auto" w:fill="auto"/>
          </w:tcPr>
          <w:p w14:paraId="284946CC"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6558.233</w:t>
            </w:r>
          </w:p>
        </w:tc>
        <w:tc>
          <w:tcPr>
            <w:tcW w:w="0" w:type="auto"/>
            <w:shd w:val="clear" w:color="auto" w:fill="auto"/>
            <w:noWrap/>
            <w:hideMark/>
          </w:tcPr>
          <w:p w14:paraId="1E2DD8C0"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9002.912</w:t>
            </w:r>
          </w:p>
        </w:tc>
        <w:tc>
          <w:tcPr>
            <w:tcW w:w="0" w:type="auto"/>
            <w:shd w:val="clear" w:color="auto" w:fill="auto"/>
            <w:noWrap/>
            <w:hideMark/>
          </w:tcPr>
          <w:p w14:paraId="5FE11304"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9009.775</w:t>
            </w:r>
          </w:p>
        </w:tc>
        <w:tc>
          <w:tcPr>
            <w:tcW w:w="0" w:type="auto"/>
            <w:shd w:val="clear" w:color="auto" w:fill="auto"/>
          </w:tcPr>
          <w:p w14:paraId="58A3756A"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15461.177</w:t>
            </w:r>
          </w:p>
        </w:tc>
      </w:tr>
      <w:tr w:rsidR="00470AE4" w:rsidRPr="00C63860" w14:paraId="6E7C60D2"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4C468D2E"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Poisson</w:t>
            </w:r>
          </w:p>
        </w:tc>
        <w:tc>
          <w:tcPr>
            <w:tcW w:w="0" w:type="auto"/>
            <w:tcBorders>
              <w:top w:val="none" w:sz="0" w:space="0" w:color="auto"/>
              <w:bottom w:val="none" w:sz="0" w:space="0" w:color="auto"/>
            </w:tcBorders>
            <w:shd w:val="clear" w:color="auto" w:fill="auto"/>
          </w:tcPr>
          <w:p w14:paraId="49A30077"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Log</w:t>
            </w:r>
          </w:p>
        </w:tc>
        <w:tc>
          <w:tcPr>
            <w:tcW w:w="0" w:type="auto"/>
            <w:tcBorders>
              <w:top w:val="none" w:sz="0" w:space="0" w:color="auto"/>
              <w:bottom w:val="none" w:sz="0" w:space="0" w:color="auto"/>
            </w:tcBorders>
            <w:shd w:val="clear" w:color="auto" w:fill="auto"/>
          </w:tcPr>
          <w:p w14:paraId="0D55BE82"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1</w:t>
            </w:r>
          </w:p>
        </w:tc>
        <w:tc>
          <w:tcPr>
            <w:tcW w:w="0" w:type="auto"/>
            <w:tcBorders>
              <w:top w:val="none" w:sz="0" w:space="0" w:color="auto"/>
              <w:bottom w:val="none" w:sz="0" w:space="0" w:color="auto"/>
            </w:tcBorders>
            <w:shd w:val="clear" w:color="auto" w:fill="auto"/>
            <w:noWrap/>
            <w:hideMark/>
          </w:tcPr>
          <w:p w14:paraId="2D7A3C92"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3526.854</w:t>
            </w:r>
          </w:p>
        </w:tc>
        <w:tc>
          <w:tcPr>
            <w:tcW w:w="0" w:type="auto"/>
            <w:tcBorders>
              <w:top w:val="none" w:sz="0" w:space="0" w:color="auto"/>
              <w:bottom w:val="none" w:sz="0" w:space="0" w:color="auto"/>
            </w:tcBorders>
            <w:shd w:val="clear" w:color="auto" w:fill="auto"/>
          </w:tcPr>
          <w:p w14:paraId="4572817C"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6554.225</w:t>
            </w:r>
          </w:p>
        </w:tc>
        <w:tc>
          <w:tcPr>
            <w:tcW w:w="0" w:type="auto"/>
            <w:tcBorders>
              <w:top w:val="none" w:sz="0" w:space="0" w:color="auto"/>
              <w:bottom w:val="none" w:sz="0" w:space="0" w:color="auto"/>
            </w:tcBorders>
            <w:shd w:val="clear" w:color="auto" w:fill="auto"/>
            <w:noWrap/>
            <w:hideMark/>
          </w:tcPr>
          <w:p w14:paraId="54DE40B8"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8980.842</w:t>
            </w:r>
          </w:p>
        </w:tc>
        <w:tc>
          <w:tcPr>
            <w:tcW w:w="0" w:type="auto"/>
            <w:tcBorders>
              <w:top w:val="none" w:sz="0" w:space="0" w:color="auto"/>
              <w:bottom w:val="none" w:sz="0" w:space="0" w:color="auto"/>
            </w:tcBorders>
            <w:shd w:val="clear" w:color="auto" w:fill="auto"/>
            <w:noWrap/>
            <w:hideMark/>
          </w:tcPr>
          <w:p w14:paraId="6D65C867"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8980.611</w:t>
            </w:r>
          </w:p>
        </w:tc>
        <w:tc>
          <w:tcPr>
            <w:tcW w:w="0" w:type="auto"/>
            <w:tcBorders>
              <w:top w:val="none" w:sz="0" w:space="0" w:color="auto"/>
              <w:bottom w:val="none" w:sz="0" w:space="0" w:color="auto"/>
            </w:tcBorders>
            <w:shd w:val="clear" w:color="auto" w:fill="auto"/>
          </w:tcPr>
          <w:p w14:paraId="74C61765"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[15448.806]</w:t>
            </w:r>
          </w:p>
        </w:tc>
      </w:tr>
      <w:tr w:rsidR="00470AE4" w:rsidRPr="00C63860" w14:paraId="67896FD4"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49B3E1E"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Gamma</w:t>
            </w:r>
          </w:p>
        </w:tc>
        <w:tc>
          <w:tcPr>
            <w:tcW w:w="0" w:type="auto"/>
            <w:shd w:val="clear" w:color="auto" w:fill="auto"/>
          </w:tcPr>
          <w:p w14:paraId="42AAD90B"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Log</w:t>
            </w:r>
          </w:p>
        </w:tc>
        <w:tc>
          <w:tcPr>
            <w:tcW w:w="0" w:type="auto"/>
            <w:shd w:val="clear" w:color="auto" w:fill="auto"/>
          </w:tcPr>
          <w:p w14:paraId="2F555429"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1</w:t>
            </w:r>
          </w:p>
        </w:tc>
        <w:tc>
          <w:tcPr>
            <w:tcW w:w="0" w:type="auto"/>
            <w:shd w:val="clear" w:color="auto" w:fill="auto"/>
            <w:noWrap/>
            <w:hideMark/>
          </w:tcPr>
          <w:p w14:paraId="778A8893"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3528.611</w:t>
            </w:r>
          </w:p>
        </w:tc>
        <w:tc>
          <w:tcPr>
            <w:tcW w:w="0" w:type="auto"/>
            <w:shd w:val="clear" w:color="auto" w:fill="auto"/>
          </w:tcPr>
          <w:p w14:paraId="18A66DE2"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6555.931</w:t>
            </w:r>
          </w:p>
        </w:tc>
        <w:tc>
          <w:tcPr>
            <w:tcW w:w="0" w:type="auto"/>
            <w:shd w:val="clear" w:color="auto" w:fill="auto"/>
            <w:noWrap/>
            <w:hideMark/>
          </w:tcPr>
          <w:p w14:paraId="43D241F4"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8988.305</w:t>
            </w:r>
          </w:p>
        </w:tc>
        <w:tc>
          <w:tcPr>
            <w:tcW w:w="0" w:type="auto"/>
            <w:shd w:val="clear" w:color="auto" w:fill="auto"/>
            <w:noWrap/>
            <w:hideMark/>
          </w:tcPr>
          <w:p w14:paraId="74391916"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8990.651</w:t>
            </w:r>
          </w:p>
        </w:tc>
        <w:tc>
          <w:tcPr>
            <w:tcW w:w="0" w:type="auto"/>
            <w:shd w:val="clear" w:color="auto" w:fill="auto"/>
          </w:tcPr>
          <w:p w14:paraId="4D844CF7"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15453.142</w:t>
            </w:r>
          </w:p>
        </w:tc>
      </w:tr>
      <w:tr w:rsidR="00470AE4" w:rsidRPr="00C63860" w14:paraId="0F9B4AE8"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1E93F887"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Gaussian</w:t>
            </w:r>
          </w:p>
        </w:tc>
        <w:tc>
          <w:tcPr>
            <w:tcW w:w="0" w:type="auto"/>
            <w:tcBorders>
              <w:top w:val="none" w:sz="0" w:space="0" w:color="auto"/>
              <w:bottom w:val="none" w:sz="0" w:space="0" w:color="auto"/>
            </w:tcBorders>
            <w:shd w:val="clear" w:color="auto" w:fill="auto"/>
          </w:tcPr>
          <w:p w14:paraId="2DB204B9"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Identity</w:t>
            </w:r>
          </w:p>
        </w:tc>
        <w:tc>
          <w:tcPr>
            <w:tcW w:w="0" w:type="auto"/>
            <w:tcBorders>
              <w:top w:val="none" w:sz="0" w:space="0" w:color="auto"/>
              <w:bottom w:val="none" w:sz="0" w:space="0" w:color="auto"/>
            </w:tcBorders>
            <w:shd w:val="clear" w:color="auto" w:fill="auto"/>
          </w:tcPr>
          <w:p w14:paraId="216BF118"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2</w:t>
            </w:r>
          </w:p>
        </w:tc>
        <w:tc>
          <w:tcPr>
            <w:tcW w:w="0" w:type="auto"/>
            <w:tcBorders>
              <w:top w:val="none" w:sz="0" w:space="0" w:color="auto"/>
              <w:bottom w:val="none" w:sz="0" w:space="0" w:color="auto"/>
            </w:tcBorders>
            <w:shd w:val="clear" w:color="auto" w:fill="auto"/>
            <w:noWrap/>
            <w:hideMark/>
          </w:tcPr>
          <w:p w14:paraId="450CEEEC"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3530.321</w:t>
            </w:r>
          </w:p>
        </w:tc>
        <w:tc>
          <w:tcPr>
            <w:tcW w:w="0" w:type="auto"/>
            <w:tcBorders>
              <w:top w:val="none" w:sz="0" w:space="0" w:color="auto"/>
              <w:bottom w:val="none" w:sz="0" w:space="0" w:color="auto"/>
            </w:tcBorders>
            <w:shd w:val="clear" w:color="auto" w:fill="auto"/>
          </w:tcPr>
          <w:p w14:paraId="1C36BF55"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6556.845</w:t>
            </w:r>
          </w:p>
        </w:tc>
        <w:tc>
          <w:tcPr>
            <w:tcW w:w="0" w:type="auto"/>
            <w:tcBorders>
              <w:top w:val="none" w:sz="0" w:space="0" w:color="auto"/>
              <w:bottom w:val="none" w:sz="0" w:space="0" w:color="auto"/>
            </w:tcBorders>
            <w:shd w:val="clear" w:color="auto" w:fill="auto"/>
            <w:noWrap/>
            <w:hideMark/>
          </w:tcPr>
          <w:p w14:paraId="7B56F36C"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8981.013</w:t>
            </w:r>
          </w:p>
        </w:tc>
        <w:tc>
          <w:tcPr>
            <w:tcW w:w="0" w:type="auto"/>
            <w:tcBorders>
              <w:top w:val="none" w:sz="0" w:space="0" w:color="auto"/>
              <w:bottom w:val="none" w:sz="0" w:space="0" w:color="auto"/>
            </w:tcBorders>
            <w:shd w:val="clear" w:color="auto" w:fill="auto"/>
            <w:noWrap/>
            <w:hideMark/>
          </w:tcPr>
          <w:p w14:paraId="51C56461"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8975.399</w:t>
            </w:r>
          </w:p>
        </w:tc>
        <w:tc>
          <w:tcPr>
            <w:tcW w:w="0" w:type="auto"/>
            <w:tcBorders>
              <w:top w:val="none" w:sz="0" w:space="0" w:color="auto"/>
              <w:bottom w:val="none" w:sz="0" w:space="0" w:color="auto"/>
            </w:tcBorders>
            <w:shd w:val="clear" w:color="auto" w:fill="auto"/>
          </w:tcPr>
          <w:p w14:paraId="1CA8B7AE"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15450.947</w:t>
            </w:r>
          </w:p>
        </w:tc>
      </w:tr>
      <w:tr w:rsidR="00470AE4" w:rsidRPr="00C63860" w14:paraId="7D192616"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3955EB4"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Inverse gaussian</w:t>
            </w:r>
          </w:p>
        </w:tc>
        <w:tc>
          <w:tcPr>
            <w:tcW w:w="0" w:type="auto"/>
            <w:shd w:val="clear" w:color="auto" w:fill="auto"/>
          </w:tcPr>
          <w:p w14:paraId="245EF09D"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Identity</w:t>
            </w:r>
          </w:p>
        </w:tc>
        <w:tc>
          <w:tcPr>
            <w:tcW w:w="0" w:type="auto"/>
            <w:shd w:val="clear" w:color="auto" w:fill="auto"/>
          </w:tcPr>
          <w:p w14:paraId="69418CFA"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2</w:t>
            </w:r>
          </w:p>
        </w:tc>
        <w:tc>
          <w:tcPr>
            <w:tcW w:w="0" w:type="auto"/>
            <w:shd w:val="clear" w:color="auto" w:fill="auto"/>
            <w:noWrap/>
            <w:hideMark/>
          </w:tcPr>
          <w:p w14:paraId="12CA39C6"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3533.866</w:t>
            </w:r>
          </w:p>
        </w:tc>
        <w:tc>
          <w:tcPr>
            <w:tcW w:w="0" w:type="auto"/>
            <w:shd w:val="clear" w:color="auto" w:fill="auto"/>
          </w:tcPr>
          <w:p w14:paraId="73172A6E"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6560.396</w:t>
            </w:r>
          </w:p>
        </w:tc>
        <w:tc>
          <w:tcPr>
            <w:tcW w:w="0" w:type="auto"/>
            <w:shd w:val="clear" w:color="auto" w:fill="auto"/>
            <w:noWrap/>
            <w:hideMark/>
          </w:tcPr>
          <w:p w14:paraId="5AC3C56E"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8993.318</w:t>
            </w:r>
          </w:p>
        </w:tc>
        <w:tc>
          <w:tcPr>
            <w:tcW w:w="0" w:type="auto"/>
            <w:shd w:val="clear" w:color="auto" w:fill="auto"/>
            <w:noWrap/>
            <w:hideMark/>
          </w:tcPr>
          <w:p w14:paraId="2379F663"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8988.820</w:t>
            </w:r>
          </w:p>
        </w:tc>
        <w:tc>
          <w:tcPr>
            <w:tcW w:w="0" w:type="auto"/>
            <w:shd w:val="clear" w:color="auto" w:fill="auto"/>
          </w:tcPr>
          <w:p w14:paraId="18EDFD3F"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15462.888</w:t>
            </w:r>
          </w:p>
        </w:tc>
      </w:tr>
      <w:tr w:rsidR="00470AE4" w:rsidRPr="00C63860" w14:paraId="4517555B"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48D70FC7"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Gamma</w:t>
            </w:r>
          </w:p>
        </w:tc>
        <w:tc>
          <w:tcPr>
            <w:tcW w:w="0" w:type="auto"/>
            <w:tcBorders>
              <w:top w:val="none" w:sz="0" w:space="0" w:color="auto"/>
              <w:bottom w:val="none" w:sz="0" w:space="0" w:color="auto"/>
            </w:tcBorders>
            <w:shd w:val="clear" w:color="auto" w:fill="auto"/>
          </w:tcPr>
          <w:p w14:paraId="7D8533CF"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Identity</w:t>
            </w:r>
          </w:p>
        </w:tc>
        <w:tc>
          <w:tcPr>
            <w:tcW w:w="0" w:type="auto"/>
            <w:tcBorders>
              <w:top w:val="none" w:sz="0" w:space="0" w:color="auto"/>
              <w:bottom w:val="none" w:sz="0" w:space="0" w:color="auto"/>
            </w:tcBorders>
            <w:shd w:val="clear" w:color="auto" w:fill="auto"/>
          </w:tcPr>
          <w:p w14:paraId="7A218954"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2</w:t>
            </w:r>
          </w:p>
        </w:tc>
        <w:tc>
          <w:tcPr>
            <w:tcW w:w="0" w:type="auto"/>
            <w:tcBorders>
              <w:top w:val="none" w:sz="0" w:space="0" w:color="auto"/>
              <w:bottom w:val="none" w:sz="0" w:space="0" w:color="auto"/>
            </w:tcBorders>
            <w:shd w:val="clear" w:color="auto" w:fill="auto"/>
            <w:noWrap/>
            <w:hideMark/>
          </w:tcPr>
          <w:p w14:paraId="739E428A"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3532.425</w:t>
            </w:r>
          </w:p>
        </w:tc>
        <w:tc>
          <w:tcPr>
            <w:tcW w:w="0" w:type="auto"/>
            <w:tcBorders>
              <w:top w:val="none" w:sz="0" w:space="0" w:color="auto"/>
              <w:bottom w:val="none" w:sz="0" w:space="0" w:color="auto"/>
            </w:tcBorders>
            <w:shd w:val="clear" w:color="auto" w:fill="auto"/>
          </w:tcPr>
          <w:p w14:paraId="196B9F0C"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6558.884</w:t>
            </w:r>
          </w:p>
        </w:tc>
        <w:tc>
          <w:tcPr>
            <w:tcW w:w="0" w:type="auto"/>
            <w:tcBorders>
              <w:top w:val="none" w:sz="0" w:space="0" w:color="auto"/>
              <w:bottom w:val="none" w:sz="0" w:space="0" w:color="auto"/>
            </w:tcBorders>
            <w:shd w:val="clear" w:color="auto" w:fill="auto"/>
            <w:noWrap/>
            <w:hideMark/>
          </w:tcPr>
          <w:p w14:paraId="50C14D06"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8987.953</w:t>
            </w:r>
          </w:p>
        </w:tc>
        <w:tc>
          <w:tcPr>
            <w:tcW w:w="0" w:type="auto"/>
            <w:tcBorders>
              <w:top w:val="none" w:sz="0" w:space="0" w:color="auto"/>
              <w:bottom w:val="none" w:sz="0" w:space="0" w:color="auto"/>
            </w:tcBorders>
            <w:shd w:val="clear" w:color="auto" w:fill="auto"/>
            <w:noWrap/>
            <w:hideMark/>
          </w:tcPr>
          <w:p w14:paraId="22B4CBD4"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8983.125</w:t>
            </w:r>
          </w:p>
        </w:tc>
        <w:tc>
          <w:tcPr>
            <w:tcW w:w="0" w:type="auto"/>
            <w:tcBorders>
              <w:top w:val="none" w:sz="0" w:space="0" w:color="auto"/>
              <w:bottom w:val="none" w:sz="0" w:space="0" w:color="auto"/>
            </w:tcBorders>
            <w:shd w:val="clear" w:color="auto" w:fill="auto"/>
          </w:tcPr>
          <w:p w14:paraId="0CFC4608"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15456.791</w:t>
            </w:r>
          </w:p>
        </w:tc>
      </w:tr>
      <w:tr w:rsidR="00470AE4" w:rsidRPr="00C63860" w14:paraId="527C1AB5"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B326398"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Gaussian</w:t>
            </w:r>
          </w:p>
        </w:tc>
        <w:tc>
          <w:tcPr>
            <w:tcW w:w="0" w:type="auto"/>
            <w:shd w:val="clear" w:color="auto" w:fill="auto"/>
          </w:tcPr>
          <w:p w14:paraId="47238866"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Log</w:t>
            </w:r>
          </w:p>
        </w:tc>
        <w:tc>
          <w:tcPr>
            <w:tcW w:w="0" w:type="auto"/>
            <w:shd w:val="clear" w:color="auto" w:fill="auto"/>
          </w:tcPr>
          <w:p w14:paraId="39348427"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2</w:t>
            </w:r>
          </w:p>
        </w:tc>
        <w:tc>
          <w:tcPr>
            <w:tcW w:w="0" w:type="auto"/>
            <w:shd w:val="clear" w:color="auto" w:fill="auto"/>
            <w:noWrap/>
            <w:hideMark/>
          </w:tcPr>
          <w:p w14:paraId="2EBE9081"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[3525.900]</w:t>
            </w:r>
          </w:p>
        </w:tc>
        <w:tc>
          <w:tcPr>
            <w:tcW w:w="0" w:type="auto"/>
            <w:shd w:val="clear" w:color="auto" w:fill="auto"/>
          </w:tcPr>
          <w:p w14:paraId="5FBA7183"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[6553.471]</w:t>
            </w:r>
          </w:p>
        </w:tc>
        <w:tc>
          <w:tcPr>
            <w:tcW w:w="0" w:type="auto"/>
            <w:shd w:val="clear" w:color="auto" w:fill="auto"/>
            <w:noWrap/>
            <w:hideMark/>
          </w:tcPr>
          <w:p w14:paraId="0EA1A7D4"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[8975.837]</w:t>
            </w:r>
          </w:p>
        </w:tc>
        <w:tc>
          <w:tcPr>
            <w:tcW w:w="0" w:type="auto"/>
            <w:shd w:val="clear" w:color="auto" w:fill="auto"/>
            <w:noWrap/>
            <w:hideMark/>
          </w:tcPr>
          <w:p w14:paraId="6AB01F71"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8976.386</w:t>
            </w:r>
          </w:p>
        </w:tc>
        <w:tc>
          <w:tcPr>
            <w:tcW w:w="0" w:type="auto"/>
            <w:shd w:val="clear" w:color="auto" w:fill="auto"/>
          </w:tcPr>
          <w:p w14:paraId="01B3316F"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15447.391</w:t>
            </w:r>
          </w:p>
        </w:tc>
      </w:tr>
      <w:tr w:rsidR="00470AE4" w:rsidRPr="00C63860" w14:paraId="4BBF62EF" w14:textId="77777777" w:rsidTr="00C638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7E19721C"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Inverse gaussian</w:t>
            </w:r>
          </w:p>
        </w:tc>
        <w:tc>
          <w:tcPr>
            <w:tcW w:w="0" w:type="auto"/>
            <w:tcBorders>
              <w:top w:val="none" w:sz="0" w:space="0" w:color="auto"/>
              <w:bottom w:val="none" w:sz="0" w:space="0" w:color="auto"/>
            </w:tcBorders>
            <w:shd w:val="clear" w:color="auto" w:fill="auto"/>
          </w:tcPr>
          <w:p w14:paraId="313BA3A5"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Log</w:t>
            </w:r>
          </w:p>
        </w:tc>
        <w:tc>
          <w:tcPr>
            <w:tcW w:w="0" w:type="auto"/>
            <w:tcBorders>
              <w:top w:val="none" w:sz="0" w:space="0" w:color="auto"/>
              <w:bottom w:val="none" w:sz="0" w:space="0" w:color="auto"/>
            </w:tcBorders>
            <w:shd w:val="clear" w:color="auto" w:fill="auto"/>
          </w:tcPr>
          <w:p w14:paraId="5801B400"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2</w:t>
            </w:r>
          </w:p>
        </w:tc>
        <w:tc>
          <w:tcPr>
            <w:tcW w:w="0" w:type="auto"/>
            <w:tcBorders>
              <w:top w:val="none" w:sz="0" w:space="0" w:color="auto"/>
              <w:bottom w:val="none" w:sz="0" w:space="0" w:color="auto"/>
            </w:tcBorders>
            <w:shd w:val="clear" w:color="auto" w:fill="auto"/>
            <w:noWrap/>
            <w:hideMark/>
          </w:tcPr>
          <w:p w14:paraId="546353A4"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3530.938</w:t>
            </w:r>
          </w:p>
        </w:tc>
        <w:tc>
          <w:tcPr>
            <w:tcW w:w="0" w:type="auto"/>
            <w:tcBorders>
              <w:top w:val="none" w:sz="0" w:space="0" w:color="auto"/>
              <w:bottom w:val="none" w:sz="0" w:space="0" w:color="auto"/>
            </w:tcBorders>
            <w:shd w:val="clear" w:color="auto" w:fill="auto"/>
          </w:tcPr>
          <w:p w14:paraId="018CAD26"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6558.258</w:t>
            </w:r>
          </w:p>
        </w:tc>
        <w:tc>
          <w:tcPr>
            <w:tcW w:w="0" w:type="auto"/>
            <w:tcBorders>
              <w:top w:val="none" w:sz="0" w:space="0" w:color="auto"/>
              <w:bottom w:val="none" w:sz="0" w:space="0" w:color="auto"/>
            </w:tcBorders>
            <w:shd w:val="clear" w:color="auto" w:fill="auto"/>
            <w:noWrap/>
            <w:hideMark/>
          </w:tcPr>
          <w:p w14:paraId="0CDB33DE"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8999.703</w:t>
            </w:r>
          </w:p>
        </w:tc>
        <w:tc>
          <w:tcPr>
            <w:tcW w:w="0" w:type="auto"/>
            <w:tcBorders>
              <w:top w:val="none" w:sz="0" w:space="0" w:color="auto"/>
              <w:bottom w:val="none" w:sz="0" w:space="0" w:color="auto"/>
            </w:tcBorders>
            <w:shd w:val="clear" w:color="auto" w:fill="auto"/>
            <w:noWrap/>
            <w:hideMark/>
          </w:tcPr>
          <w:p w14:paraId="506193CE"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9009.797</w:t>
            </w:r>
          </w:p>
        </w:tc>
        <w:tc>
          <w:tcPr>
            <w:tcW w:w="0" w:type="auto"/>
            <w:tcBorders>
              <w:top w:val="none" w:sz="0" w:space="0" w:color="auto"/>
              <w:bottom w:val="none" w:sz="0" w:space="0" w:color="auto"/>
            </w:tcBorders>
            <w:shd w:val="clear" w:color="auto" w:fill="auto"/>
          </w:tcPr>
          <w:p w14:paraId="4A70281B" w14:textId="77777777" w:rsidR="00470AE4" w:rsidRPr="00C63860"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15461.917</w:t>
            </w:r>
          </w:p>
        </w:tc>
      </w:tr>
      <w:tr w:rsidR="00470AE4" w:rsidRPr="00C63860" w14:paraId="348C36BF" w14:textId="77777777" w:rsidTr="00C6386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8433D79" w14:textId="77777777" w:rsidR="00470AE4" w:rsidRPr="00C63860" w:rsidRDefault="00470AE4" w:rsidP="00470AE4">
            <w:pPr>
              <w:jc w:val="center"/>
              <w:rPr>
                <w:rFonts w:asciiTheme="minorHAnsi" w:hAnsiTheme="minorHAnsi" w:cstheme="minorBidi"/>
                <w:b w:val="0"/>
                <w:color w:val="000000"/>
                <w:sz w:val="22"/>
                <w:szCs w:val="22"/>
              </w:rPr>
            </w:pPr>
            <w:r w:rsidRPr="00C63860">
              <w:rPr>
                <w:rFonts w:asciiTheme="minorHAnsi" w:hAnsiTheme="minorHAnsi" w:cstheme="minorBidi"/>
                <w:b w:val="0"/>
                <w:sz w:val="22"/>
                <w:szCs w:val="22"/>
              </w:rPr>
              <w:t>Gamma</w:t>
            </w:r>
          </w:p>
        </w:tc>
        <w:tc>
          <w:tcPr>
            <w:tcW w:w="0" w:type="auto"/>
            <w:shd w:val="clear" w:color="auto" w:fill="auto"/>
          </w:tcPr>
          <w:p w14:paraId="169A0BD9"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Log</w:t>
            </w:r>
          </w:p>
        </w:tc>
        <w:tc>
          <w:tcPr>
            <w:tcW w:w="0" w:type="auto"/>
            <w:shd w:val="clear" w:color="auto" w:fill="auto"/>
          </w:tcPr>
          <w:p w14:paraId="2EC542D9"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2</w:t>
            </w:r>
          </w:p>
        </w:tc>
        <w:tc>
          <w:tcPr>
            <w:tcW w:w="0" w:type="auto"/>
            <w:shd w:val="clear" w:color="auto" w:fill="auto"/>
            <w:noWrap/>
            <w:hideMark/>
          </w:tcPr>
          <w:p w14:paraId="60A24F74"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3528.617</w:t>
            </w:r>
          </w:p>
        </w:tc>
        <w:tc>
          <w:tcPr>
            <w:tcW w:w="0" w:type="auto"/>
            <w:shd w:val="clear" w:color="auto" w:fill="auto"/>
          </w:tcPr>
          <w:p w14:paraId="4DCF0010"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63860">
              <w:rPr>
                <w:rFonts w:asciiTheme="minorHAnsi" w:hAnsiTheme="minorHAnsi" w:cstheme="minorBidi"/>
                <w:sz w:val="22"/>
                <w:szCs w:val="22"/>
              </w:rPr>
              <w:t>6555.944</w:t>
            </w:r>
          </w:p>
        </w:tc>
        <w:tc>
          <w:tcPr>
            <w:tcW w:w="0" w:type="auto"/>
            <w:shd w:val="clear" w:color="auto" w:fill="auto"/>
            <w:noWrap/>
            <w:hideMark/>
          </w:tcPr>
          <w:p w14:paraId="1942475F"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8985.700</w:t>
            </w:r>
          </w:p>
        </w:tc>
        <w:tc>
          <w:tcPr>
            <w:tcW w:w="0" w:type="auto"/>
            <w:shd w:val="clear" w:color="auto" w:fill="auto"/>
            <w:noWrap/>
            <w:hideMark/>
          </w:tcPr>
          <w:p w14:paraId="1EB8CE06"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8990.591</w:t>
            </w:r>
          </w:p>
        </w:tc>
        <w:tc>
          <w:tcPr>
            <w:tcW w:w="0" w:type="auto"/>
            <w:shd w:val="clear" w:color="auto" w:fill="auto"/>
          </w:tcPr>
          <w:p w14:paraId="32C46CBC" w14:textId="77777777" w:rsidR="00470AE4" w:rsidRPr="00C63860"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63860">
              <w:rPr>
                <w:rFonts w:asciiTheme="minorHAnsi" w:hAnsiTheme="minorHAnsi" w:cstheme="minorBidi"/>
                <w:sz w:val="22"/>
                <w:szCs w:val="22"/>
              </w:rPr>
              <w:t>15453.323</w:t>
            </w:r>
          </w:p>
        </w:tc>
      </w:tr>
    </w:tbl>
    <w:p w14:paraId="536D26D2" w14:textId="77777777" w:rsidR="00C63860" w:rsidRPr="00C63860" w:rsidRDefault="00470AE4" w:rsidP="00470AE4">
      <w:pPr>
        <w:rPr>
          <w:rFonts w:asciiTheme="minorHAnsi" w:hAnsiTheme="minorHAnsi" w:cstheme="minorBidi"/>
          <w:sz w:val="18"/>
          <w:szCs w:val="18"/>
        </w:rPr>
      </w:pPr>
      <w:r w:rsidRPr="00C63860">
        <w:rPr>
          <w:rFonts w:asciiTheme="minorHAnsi" w:hAnsiTheme="minorHAnsi" w:cstheme="minorBidi"/>
          <w:sz w:val="18"/>
          <w:szCs w:val="18"/>
        </w:rPr>
        <w:t>Most appropriate GLMs for costs and QALYs were selected looking at RMSEs (in brackets).</w:t>
      </w:r>
    </w:p>
    <w:p w14:paraId="470FBCFE" w14:textId="77777777" w:rsidR="00C63860" w:rsidRPr="00C63860" w:rsidRDefault="00470AE4" w:rsidP="00470AE4">
      <w:pPr>
        <w:rPr>
          <w:rFonts w:asciiTheme="minorHAnsi" w:hAnsiTheme="minorHAnsi" w:cstheme="minorBidi"/>
          <w:sz w:val="18"/>
          <w:szCs w:val="18"/>
        </w:rPr>
      </w:pPr>
      <w:r w:rsidRPr="00C63860">
        <w:rPr>
          <w:rFonts w:asciiTheme="minorHAnsi" w:hAnsiTheme="minorHAnsi" w:cstheme="minorBidi"/>
          <w:sz w:val="18"/>
          <w:szCs w:val="18"/>
          <w:vertAlign w:val="superscript"/>
        </w:rPr>
        <w:t>a</w:t>
      </w:r>
      <w:r w:rsidRPr="00C63860">
        <w:rPr>
          <w:rFonts w:asciiTheme="minorHAnsi" w:hAnsiTheme="minorHAnsi" w:cstheme="minorBidi"/>
          <w:sz w:val="18"/>
          <w:szCs w:val="18"/>
        </w:rPr>
        <w:t>Degree refers to the polynomial order of the propensity score.</w:t>
      </w:r>
    </w:p>
    <w:p w14:paraId="40E93543" w14:textId="77777777" w:rsidR="000C7E95" w:rsidRDefault="000C7E95" w:rsidP="00D425A4">
      <w:pPr>
        <w:spacing w:after="240"/>
      </w:pPr>
      <w:bookmarkStart w:id="118" w:name="_Toc86673008"/>
    </w:p>
    <w:p w14:paraId="064FE932" w14:textId="434C6BC6" w:rsidR="000C7E95" w:rsidRPr="000C7E95" w:rsidRDefault="00470AE4" w:rsidP="00D425A4">
      <w:pPr>
        <w:spacing w:after="240"/>
        <w:rPr>
          <w:sz w:val="32"/>
          <w:szCs w:val="32"/>
        </w:rPr>
      </w:pPr>
      <w:r w:rsidRPr="000C7E95">
        <w:rPr>
          <w:sz w:val="32"/>
          <w:szCs w:val="32"/>
        </w:rPr>
        <w:t>Appendix 6</w:t>
      </w:r>
      <w:r w:rsidR="00126328" w:rsidRPr="000C7E95">
        <w:rPr>
          <w:sz w:val="32"/>
          <w:szCs w:val="32"/>
        </w:rPr>
        <w:t xml:space="preserve">: </w:t>
      </w:r>
      <w:r w:rsidRPr="000C7E95">
        <w:rPr>
          <w:sz w:val="32"/>
          <w:szCs w:val="32"/>
        </w:rPr>
        <w:t xml:space="preserve">Forest plots of estimated incremental costs, </w:t>
      </w:r>
      <w:r w:rsidR="006E540D" w:rsidRPr="000C7E95">
        <w:rPr>
          <w:sz w:val="32"/>
          <w:szCs w:val="32"/>
        </w:rPr>
        <w:t>Q</w:t>
      </w:r>
      <w:r w:rsidRPr="000C7E95">
        <w:rPr>
          <w:sz w:val="32"/>
          <w:szCs w:val="32"/>
        </w:rPr>
        <w:t>uality-</w:t>
      </w:r>
      <w:r w:rsidR="006E540D" w:rsidRPr="000C7E95">
        <w:rPr>
          <w:sz w:val="32"/>
          <w:szCs w:val="32"/>
        </w:rPr>
        <w:t>A</w:t>
      </w:r>
      <w:r w:rsidRPr="000C7E95">
        <w:rPr>
          <w:sz w:val="32"/>
          <w:szCs w:val="32"/>
        </w:rPr>
        <w:t xml:space="preserve">djusted </w:t>
      </w:r>
      <w:r w:rsidR="00C63860" w:rsidRPr="000C7E95">
        <w:rPr>
          <w:color w:val="00B0F0"/>
          <w:sz w:val="32"/>
          <w:szCs w:val="32"/>
        </w:rPr>
        <w:t>Life-year</w:t>
      </w:r>
      <w:r w:rsidRPr="000C7E95">
        <w:rPr>
          <w:sz w:val="32"/>
          <w:szCs w:val="32"/>
        </w:rPr>
        <w:t xml:space="preserve">s and </w:t>
      </w:r>
      <w:r w:rsidR="00C63860" w:rsidRPr="000C7E95">
        <w:rPr>
          <w:color w:val="00B0F0"/>
          <w:sz w:val="32"/>
          <w:szCs w:val="32"/>
        </w:rPr>
        <w:t>life-year</w:t>
      </w:r>
      <w:r w:rsidRPr="000C7E95">
        <w:rPr>
          <w:sz w:val="32"/>
          <w:szCs w:val="32"/>
        </w:rPr>
        <w:t>s of emergency surgery (ES) versus non-emergency surgery (NES) from the Local Instrumental Variables (LIV) approac</w:t>
      </w:r>
      <w:r w:rsidR="00724213" w:rsidRPr="000C7E95">
        <w:rPr>
          <w:sz w:val="32"/>
          <w:szCs w:val="32"/>
        </w:rPr>
        <w:t>h</w:t>
      </w:r>
      <w:bookmarkStart w:id="119" w:name="_Toc86670871"/>
      <w:bookmarkStart w:id="120" w:name="_Hlk86258385"/>
      <w:bookmarkEnd w:id="118"/>
    </w:p>
    <w:p w14:paraId="000341E2" w14:textId="4DAD2421" w:rsidR="00C63860" w:rsidRPr="00C63860" w:rsidRDefault="00C63860" w:rsidP="00D425A4">
      <w:pPr>
        <w:spacing w:after="240"/>
        <w:rPr>
          <w:rFonts w:asciiTheme="minorHAnsi" w:hAnsiTheme="minorHAnsi" w:cstheme="minorHAnsi"/>
          <w:b/>
          <w:bCs/>
          <w:i/>
          <w:iCs/>
        </w:rPr>
      </w:pPr>
      <w:r w:rsidRPr="00C63860">
        <w:rPr>
          <w:b/>
          <w:bCs/>
          <w:i/>
          <w:iCs/>
          <w:color w:val="FF0000"/>
        </w:rPr>
        <w:t xml:space="preserve">Figure </w:t>
      </w:r>
      <w:r w:rsidRPr="00C63860">
        <w:rPr>
          <w:b/>
          <w:bCs/>
          <w:i/>
          <w:iCs/>
          <w:noProof/>
          <w:color w:val="FF0000"/>
        </w:rPr>
        <w:t>31</w:t>
      </w:r>
      <w:r w:rsidR="00D425A4" w:rsidRPr="00C63860">
        <w:rPr>
          <w:b/>
          <w:bCs/>
          <w:i/>
          <w:iCs/>
        </w:rPr>
        <w:t>: Forest plots of emergency surgery (ES) versus non-emergency surgery (NES) from the Local Instrumental Variables (LIV) approach for appendicitis</w:t>
      </w:r>
      <w:bookmarkEnd w:id="119"/>
      <w:r w:rsidR="00566966" w:rsidRPr="00C63860">
        <w:rPr>
          <w:b/>
          <w:bCs/>
          <w:i/>
          <w:iCs/>
        </w:rPr>
        <w:t xml:space="preserve">. (a) Estimated incremental costs; (b) Quality-Adjusted </w:t>
      </w:r>
      <w:r w:rsidRPr="00C63860">
        <w:rPr>
          <w:b/>
          <w:bCs/>
          <w:i/>
          <w:iCs/>
          <w:color w:val="00B0F0"/>
        </w:rPr>
        <w:t>Life-year</w:t>
      </w:r>
      <w:r w:rsidR="00566966" w:rsidRPr="00C63860">
        <w:rPr>
          <w:b/>
          <w:bCs/>
          <w:i/>
          <w:iCs/>
        </w:rPr>
        <w:t xml:space="preserve">s; and (c) </w:t>
      </w:r>
      <w:r w:rsidRPr="00C63860">
        <w:rPr>
          <w:b/>
          <w:bCs/>
          <w:i/>
          <w:iCs/>
          <w:color w:val="00B0F0"/>
        </w:rPr>
        <w:t>life-year</w:t>
      </w:r>
      <w:r w:rsidR="00566966" w:rsidRPr="00C63860">
        <w:rPr>
          <w:b/>
          <w:bCs/>
          <w:i/>
          <w:iCs/>
        </w:rPr>
        <w:t>s.</w:t>
      </w:r>
      <w:bookmarkEnd w:id="120"/>
    </w:p>
    <w:p w14:paraId="0AB7FF7F" w14:textId="3F429D9D" w:rsidR="00C63860" w:rsidRPr="00C63860" w:rsidRDefault="00C63860" w:rsidP="003B1248">
      <w:pPr>
        <w:spacing w:after="240"/>
        <w:rPr>
          <w:rFonts w:asciiTheme="minorHAnsi" w:hAnsiTheme="minorHAnsi" w:cstheme="minorHAnsi"/>
          <w:b/>
          <w:bCs/>
        </w:rPr>
      </w:pPr>
      <w:bookmarkStart w:id="121" w:name="_Toc86670872"/>
      <w:r w:rsidRPr="00C63860">
        <w:rPr>
          <w:b/>
          <w:bCs/>
          <w:i/>
          <w:color w:val="FF0000"/>
        </w:rPr>
        <w:t xml:space="preserve">Figure </w:t>
      </w:r>
      <w:r w:rsidRPr="00C63860">
        <w:rPr>
          <w:b/>
          <w:bCs/>
          <w:i/>
          <w:noProof/>
          <w:color w:val="FF0000"/>
        </w:rPr>
        <w:t>32</w:t>
      </w:r>
      <w:r w:rsidR="00370E1E" w:rsidRPr="00C63860">
        <w:rPr>
          <w:b/>
          <w:bCs/>
        </w:rPr>
        <w:t>: Forest plots of emergency surgery (ES) versus non-emergency surgery (NES) from the Local Instrumental Variables (LIV) approach for cholelithi</w:t>
      </w:r>
      <w:r w:rsidR="003B1248" w:rsidRPr="00C63860">
        <w:rPr>
          <w:b/>
          <w:bCs/>
        </w:rPr>
        <w:t>asis</w:t>
      </w:r>
      <w:bookmarkEnd w:id="121"/>
      <w:r w:rsidR="00D94430" w:rsidRPr="00C63860">
        <w:rPr>
          <w:b/>
          <w:bCs/>
        </w:rPr>
        <w:t xml:space="preserve">. </w:t>
      </w:r>
      <w:r w:rsidR="00D94430" w:rsidRPr="00C63860">
        <w:rPr>
          <w:b/>
          <w:bCs/>
          <w:i/>
          <w:iCs/>
        </w:rPr>
        <w:t xml:space="preserve">(a) Estimated incremental costs; (b) Quality-Adjusted </w:t>
      </w:r>
      <w:r w:rsidRPr="00C63860">
        <w:rPr>
          <w:b/>
          <w:bCs/>
          <w:i/>
          <w:iCs/>
          <w:color w:val="00B0F0"/>
        </w:rPr>
        <w:t>Life-year</w:t>
      </w:r>
      <w:r w:rsidR="00D94430" w:rsidRPr="00C63860">
        <w:rPr>
          <w:b/>
          <w:bCs/>
          <w:i/>
          <w:iCs/>
        </w:rPr>
        <w:t xml:space="preserve">s; and (c) </w:t>
      </w:r>
      <w:r w:rsidRPr="00C63860">
        <w:rPr>
          <w:b/>
          <w:bCs/>
          <w:i/>
          <w:iCs/>
          <w:color w:val="00B0F0"/>
        </w:rPr>
        <w:t>life-year</w:t>
      </w:r>
      <w:r w:rsidR="00D94430" w:rsidRPr="00C63860">
        <w:rPr>
          <w:b/>
          <w:bCs/>
          <w:i/>
          <w:iCs/>
        </w:rPr>
        <w:t>s.</w:t>
      </w:r>
    </w:p>
    <w:p w14:paraId="70D952DC" w14:textId="3175DCA5" w:rsidR="00C63860" w:rsidRPr="00C63860" w:rsidRDefault="00C63860" w:rsidP="003B1248">
      <w:pPr>
        <w:pStyle w:val="Caption"/>
        <w:rPr>
          <w:rFonts w:asciiTheme="minorHAnsi" w:hAnsiTheme="minorHAnsi" w:cstheme="minorHAnsi"/>
          <w:b/>
          <w:bCs/>
          <w:sz w:val="22"/>
          <w:szCs w:val="22"/>
        </w:rPr>
      </w:pPr>
      <w:bookmarkStart w:id="122" w:name="_Toc86670873"/>
      <w:r w:rsidRPr="00C63860">
        <w:rPr>
          <w:b/>
          <w:bCs/>
          <w:color w:val="FF0000"/>
          <w:sz w:val="22"/>
          <w:szCs w:val="22"/>
        </w:rPr>
        <w:t xml:space="preserve">Figure </w:t>
      </w:r>
      <w:r w:rsidRPr="00C63860">
        <w:rPr>
          <w:b/>
          <w:bCs/>
          <w:noProof/>
          <w:color w:val="FF0000"/>
          <w:sz w:val="22"/>
          <w:szCs w:val="22"/>
        </w:rPr>
        <w:t>33</w:t>
      </w:r>
      <w:r w:rsidR="003B1248" w:rsidRPr="00C63860">
        <w:rPr>
          <w:b/>
          <w:bCs/>
          <w:color w:val="auto"/>
          <w:sz w:val="22"/>
          <w:szCs w:val="22"/>
        </w:rPr>
        <w:t>:Forest plots of emergency surgery (ES) versus non-emergency surgery (NES) from the Local Instrumental Variables (LIV) approach for diverticular disease</w:t>
      </w:r>
      <w:bookmarkEnd w:id="122"/>
      <w:r w:rsidR="00D94430" w:rsidRPr="00C63860">
        <w:rPr>
          <w:b/>
          <w:bCs/>
          <w:color w:val="auto"/>
          <w:sz w:val="22"/>
          <w:szCs w:val="22"/>
        </w:rPr>
        <w:t xml:space="preserve">. (a) Estimated incremental costs; (b) Quality-Adjusted </w:t>
      </w:r>
      <w:r w:rsidRPr="00C63860">
        <w:rPr>
          <w:b/>
          <w:bCs/>
          <w:color w:val="00B0F0"/>
          <w:sz w:val="22"/>
          <w:szCs w:val="22"/>
        </w:rPr>
        <w:t>Life-year</w:t>
      </w:r>
      <w:r w:rsidR="00D94430" w:rsidRPr="00C63860">
        <w:rPr>
          <w:b/>
          <w:bCs/>
          <w:color w:val="auto"/>
          <w:sz w:val="22"/>
          <w:szCs w:val="22"/>
        </w:rPr>
        <w:t xml:space="preserve">s; and (c) </w:t>
      </w:r>
      <w:r w:rsidRPr="00C63860">
        <w:rPr>
          <w:b/>
          <w:bCs/>
          <w:color w:val="00B0F0"/>
          <w:sz w:val="22"/>
          <w:szCs w:val="22"/>
        </w:rPr>
        <w:t>life-year</w:t>
      </w:r>
      <w:r w:rsidR="00D94430" w:rsidRPr="00C63860">
        <w:rPr>
          <w:b/>
          <w:bCs/>
          <w:color w:val="auto"/>
          <w:sz w:val="22"/>
          <w:szCs w:val="22"/>
        </w:rPr>
        <w:t>s.</w:t>
      </w:r>
      <w:r w:rsidR="00D94430" w:rsidRPr="00C63860">
        <w:rPr>
          <w:rFonts w:asciiTheme="minorHAnsi" w:hAnsiTheme="minorHAnsi" w:cstheme="minorHAnsi"/>
          <w:b/>
        </w:rPr>
        <w:t xml:space="preserve"> </w:t>
      </w:r>
      <w:r w:rsidR="00D94430" w:rsidRPr="00C63860">
        <w:rPr>
          <w:rFonts w:asciiTheme="minorHAnsi" w:hAnsiTheme="minorHAnsi" w:cstheme="minorHAnsi"/>
          <w:bCs/>
        </w:rPr>
        <w:t>K572, Diverticular disease of large intestine with perforation and abscess; K573, Diverticular disease of large intestine without perforation or abscess.</w:t>
      </w:r>
    </w:p>
    <w:p w14:paraId="41EEB4D2" w14:textId="2D8492C4" w:rsidR="00C63860" w:rsidRPr="00C63860" w:rsidRDefault="00C63860" w:rsidP="003B1248">
      <w:pPr>
        <w:pStyle w:val="Caption"/>
        <w:rPr>
          <w:rFonts w:asciiTheme="minorHAnsi" w:hAnsiTheme="minorHAnsi" w:cstheme="minorHAnsi"/>
          <w:b/>
          <w:bCs/>
          <w:color w:val="auto"/>
          <w:sz w:val="22"/>
          <w:szCs w:val="22"/>
        </w:rPr>
      </w:pPr>
      <w:bookmarkStart w:id="123" w:name="_Toc86670874"/>
      <w:r w:rsidRPr="00C63860">
        <w:rPr>
          <w:b/>
          <w:bCs/>
          <w:color w:val="FF0000"/>
          <w:sz w:val="22"/>
          <w:szCs w:val="22"/>
        </w:rPr>
        <w:t xml:space="preserve">Figure </w:t>
      </w:r>
      <w:r w:rsidRPr="00C63860">
        <w:rPr>
          <w:b/>
          <w:bCs/>
          <w:noProof/>
          <w:color w:val="FF0000"/>
          <w:sz w:val="22"/>
          <w:szCs w:val="22"/>
        </w:rPr>
        <w:t>34</w:t>
      </w:r>
      <w:r w:rsidR="003B1248" w:rsidRPr="00C63860">
        <w:rPr>
          <w:b/>
          <w:bCs/>
          <w:color w:val="auto"/>
          <w:sz w:val="22"/>
          <w:szCs w:val="22"/>
        </w:rPr>
        <w:t>: Forest plots of emergency surgery (ES) versus non-emergency surgery (NES) from the Local Instrumental Variables (LIV) approach for hernia</w:t>
      </w:r>
      <w:bookmarkEnd w:id="123"/>
      <w:r w:rsidR="00D94430" w:rsidRPr="00C63860">
        <w:rPr>
          <w:b/>
          <w:bCs/>
          <w:color w:val="auto"/>
          <w:sz w:val="22"/>
          <w:szCs w:val="22"/>
        </w:rPr>
        <w:t xml:space="preserve">. (a) Estimated incremental costs; (b) Quality-Adjusted </w:t>
      </w:r>
      <w:r w:rsidRPr="00C63860">
        <w:rPr>
          <w:b/>
          <w:bCs/>
          <w:color w:val="00B0F0"/>
          <w:sz w:val="22"/>
          <w:szCs w:val="22"/>
        </w:rPr>
        <w:t>Life-year</w:t>
      </w:r>
      <w:r w:rsidR="00D94430" w:rsidRPr="00C63860">
        <w:rPr>
          <w:b/>
          <w:bCs/>
          <w:color w:val="auto"/>
          <w:sz w:val="22"/>
          <w:szCs w:val="22"/>
        </w:rPr>
        <w:t xml:space="preserve">s; and (c) </w:t>
      </w:r>
      <w:r w:rsidRPr="00C63860">
        <w:rPr>
          <w:b/>
          <w:bCs/>
          <w:color w:val="00B0F0"/>
          <w:sz w:val="22"/>
          <w:szCs w:val="22"/>
        </w:rPr>
        <w:t>life-year</w:t>
      </w:r>
      <w:r w:rsidR="00D94430" w:rsidRPr="00C63860">
        <w:rPr>
          <w:b/>
          <w:bCs/>
          <w:color w:val="auto"/>
          <w:sz w:val="22"/>
          <w:szCs w:val="22"/>
        </w:rPr>
        <w:t>s.</w:t>
      </w:r>
    </w:p>
    <w:p w14:paraId="2A25D990" w14:textId="295EFBE3" w:rsidR="00C63860" w:rsidRPr="00C63860" w:rsidRDefault="00C63860" w:rsidP="006E540D">
      <w:pPr>
        <w:spacing w:after="160" w:line="259" w:lineRule="auto"/>
        <w:rPr>
          <w:b/>
          <w:bCs/>
          <w:sz w:val="22"/>
          <w:szCs w:val="22"/>
        </w:rPr>
      </w:pPr>
      <w:bookmarkStart w:id="124" w:name="_Toc86670875"/>
      <w:r w:rsidRPr="00C63860">
        <w:rPr>
          <w:b/>
          <w:bCs/>
          <w:i/>
          <w:color w:val="FF0000"/>
          <w:sz w:val="22"/>
          <w:szCs w:val="22"/>
        </w:rPr>
        <w:t xml:space="preserve">Figure </w:t>
      </w:r>
      <w:r w:rsidRPr="00C63860">
        <w:rPr>
          <w:b/>
          <w:bCs/>
          <w:i/>
          <w:noProof/>
          <w:color w:val="FF0000"/>
          <w:sz w:val="22"/>
          <w:szCs w:val="22"/>
        </w:rPr>
        <w:t>35</w:t>
      </w:r>
      <w:r w:rsidR="003B1248" w:rsidRPr="00C63860">
        <w:rPr>
          <w:b/>
          <w:bCs/>
          <w:sz w:val="22"/>
          <w:szCs w:val="22"/>
        </w:rPr>
        <w:t>: Forest plots of emergency surgery (ES) versus non-emergency surgery (NES) from the Local Instrumental Variables (LIV) approach for intestinal obstr</w:t>
      </w:r>
      <w:bookmarkEnd w:id="124"/>
      <w:r w:rsidR="00F2412D" w:rsidRPr="00C63860">
        <w:rPr>
          <w:b/>
          <w:bCs/>
          <w:sz w:val="22"/>
          <w:szCs w:val="22"/>
        </w:rPr>
        <w:t>uction</w:t>
      </w:r>
      <w:r w:rsidR="00D94430" w:rsidRPr="00C63860">
        <w:rPr>
          <w:b/>
          <w:bCs/>
          <w:sz w:val="22"/>
          <w:szCs w:val="22"/>
        </w:rPr>
        <w:t xml:space="preserve">. (a) Estimated incremental costs; (b) Quality-Adjusted </w:t>
      </w:r>
      <w:r w:rsidRPr="00C63860">
        <w:rPr>
          <w:b/>
          <w:bCs/>
          <w:color w:val="00B0F0"/>
          <w:sz w:val="22"/>
          <w:szCs w:val="22"/>
        </w:rPr>
        <w:t>Life-year</w:t>
      </w:r>
      <w:r w:rsidR="00D94430" w:rsidRPr="00C63860">
        <w:rPr>
          <w:b/>
          <w:bCs/>
          <w:sz w:val="22"/>
          <w:szCs w:val="22"/>
        </w:rPr>
        <w:t xml:space="preserve">s; and (c) </w:t>
      </w:r>
      <w:r w:rsidRPr="00C63860">
        <w:rPr>
          <w:b/>
          <w:bCs/>
          <w:color w:val="00B0F0"/>
          <w:sz w:val="22"/>
          <w:szCs w:val="22"/>
        </w:rPr>
        <w:t>life-year</w:t>
      </w:r>
      <w:r w:rsidR="00D94430" w:rsidRPr="00C63860">
        <w:rPr>
          <w:b/>
          <w:bCs/>
          <w:sz w:val="22"/>
          <w:szCs w:val="22"/>
        </w:rPr>
        <w:t>s.</w:t>
      </w:r>
    </w:p>
    <w:p w14:paraId="55AADD43" w14:textId="2C6B443E" w:rsidR="00FD6B93" w:rsidRPr="00C63860" w:rsidRDefault="00FD6B93" w:rsidP="006E540D">
      <w:pPr>
        <w:spacing w:after="160" w:line="259" w:lineRule="auto"/>
        <w:rPr>
          <w:rFonts w:asciiTheme="minorHAnsi" w:hAnsiTheme="minorHAnsi" w:cstheme="minorHAnsi"/>
          <w:b/>
          <w:bCs/>
          <w:sz w:val="36"/>
          <w:szCs w:val="36"/>
        </w:rPr>
      </w:pPr>
    </w:p>
    <w:sectPr w:rsidR="00FD6B93" w:rsidRPr="00C63860">
      <w:headerReference w:type="even" r:id="rId12"/>
      <w:headerReference w:type="default" r:id="rId13"/>
      <w:footerReference w:type="even" r:id="rId14"/>
      <w:headerReference w:type="first" r:id="rId15"/>
      <w:footerReference w:type="first" r:id="rId1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6-08T14:25:00Z" w:initials="EN">
    <w:p w14:paraId="059DE6F5" w14:textId="77777777" w:rsidR="00DD3B03" w:rsidRDefault="00DD3B03" w:rsidP="002C2DCC">
      <w:r>
        <w:rPr>
          <w:rStyle w:val="CommentReference"/>
        </w:rPr>
        <w:annotationRef/>
      </w:r>
      <w:r>
        <w:t>The author affiliations given for Geoff Bellingan, Ramani Moonesinghe, Neil Smartand Robert Hinchliffe do not match those provided on their OOA form. Please confirm these are correct.</w:t>
      </w:r>
    </w:p>
  </w:comment>
  <w:comment w:id="1" w:author="Euan Notley" w:date="2022-06-08T16:06:00Z" w:initials="EN">
    <w:p w14:paraId="416C44A5" w14:textId="77777777" w:rsidR="006F6056" w:rsidRDefault="006F6056">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1910100D" w14:textId="7192333F" w:rsidR="006F6056" w:rsidRDefault="006F6056">
      <w:pPr>
        <w:pStyle w:val="CommentText"/>
      </w:pPr>
      <w:r>
        <w:t>If copyright permission is required for any reproduced material from your dual publications, please seek this as early as possible to avoid any delays.</w:t>
      </w:r>
    </w:p>
  </w:comment>
  <w:comment w:id="2" w:author="Euan Notley" w:date="2022-06-08T13:59:00Z" w:initials="EN">
    <w:p w14:paraId="7D7A192F" w14:textId="77777777" w:rsidR="004C7613" w:rsidRDefault="00554544" w:rsidP="00C9045E">
      <w:r>
        <w:rPr>
          <w:rStyle w:val="CommentReference"/>
        </w:rPr>
        <w:annotationRef/>
      </w:r>
      <w:r w:rsidR="004C7613">
        <w:t>Should this author name be Silvia Moler-Zapata (report) or Silvia Moler Zapata (OOA form)?</w:t>
      </w:r>
    </w:p>
  </w:comment>
  <w:comment w:id="3" w:author="Euan Notley" w:date="2022-06-08T14:01:00Z" w:initials="EN">
    <w:p w14:paraId="7D456FB7" w14:textId="7700841F" w:rsidR="00554544" w:rsidRDefault="00554544" w:rsidP="00227C04">
      <w:r>
        <w:rPr>
          <w:rStyle w:val="CommentReference"/>
        </w:rPr>
        <w:annotationRef/>
      </w:r>
      <w:r>
        <w:t>Should this author name be David Lugo-Palacios (report) or David G Lugo-Palacios (OOA form)?</w:t>
      </w:r>
    </w:p>
  </w:comment>
  <w:comment w:id="4" w:author="Euan Notley" w:date="2022-06-08T14:10:00Z" w:initials="EN">
    <w:p w14:paraId="45E01CD8" w14:textId="77777777" w:rsidR="000B46CC" w:rsidRDefault="000B46CC" w:rsidP="006D4124">
      <w:r>
        <w:rPr>
          <w:rStyle w:val="CommentReference"/>
        </w:rPr>
        <w:annotationRef/>
      </w:r>
      <w:r>
        <w:t>Tomasso Kircheis has been amended to Tommaso Kircheis to match the OOA form; OK?</w:t>
      </w:r>
    </w:p>
  </w:comment>
  <w:comment w:id="5" w:author="Euan Notley" w:date="2022-06-08T14:15:00Z" w:initials="EN">
    <w:p w14:paraId="414408DB" w14:textId="77777777" w:rsidR="00C275D7" w:rsidRDefault="00C275D7" w:rsidP="00910214">
      <w:r>
        <w:rPr>
          <w:rStyle w:val="CommentReference"/>
        </w:rPr>
        <w:annotationRef/>
      </w:r>
      <w:r>
        <w:t>‘Contracted by’ has been removed from this affiliation. OK?</w:t>
      </w:r>
    </w:p>
    <w:p w14:paraId="6A148815" w14:textId="77777777" w:rsidR="00C275D7" w:rsidRDefault="00C275D7" w:rsidP="00910214"/>
    <w:p w14:paraId="30B57542" w14:textId="77777777" w:rsidR="00C275D7" w:rsidRDefault="00C275D7" w:rsidP="00910214">
      <w:r>
        <w:t>In addition, please provide a specific department for this affiliation.</w:t>
      </w:r>
    </w:p>
  </w:comment>
  <w:comment w:id="6" w:author="Euan Notley" w:date="2022-06-08T13:06:00Z" w:initials="EN">
    <w:p w14:paraId="058D2A2F" w14:textId="3C602078" w:rsidR="008432B2" w:rsidRDefault="008432B2" w:rsidP="001B3BD7">
      <w:r>
        <w:rPr>
          <w:rStyle w:val="CommentReference"/>
        </w:rPr>
        <w:annotationRef/>
      </w:r>
      <w:r>
        <w:t>Please provide a location (i.e. a town or city) for this affiliation.</w:t>
      </w:r>
    </w:p>
  </w:comment>
  <w:comment w:id="7" w:author="Euan Notley" w:date="2022-06-08T12:54:00Z" w:initials="EN">
    <w:p w14:paraId="23D85DC4" w14:textId="1397FF94" w:rsidR="00322132" w:rsidRDefault="00322132" w:rsidP="008554E0">
      <w:r>
        <w:rPr>
          <w:rStyle w:val="CommentReference"/>
        </w:rPr>
        <w:annotationRef/>
      </w:r>
      <w:r>
        <w:t>Please provide a specific unit/department for this affiliation.</w:t>
      </w:r>
    </w:p>
  </w:comment>
  <w:comment w:id="12" w:author="Euan Notley" w:date="2022-06-08T17:36:00Z" w:initials="EN">
    <w:p w14:paraId="74C28D2A" w14:textId="77777777" w:rsidR="00902058" w:rsidRDefault="00902058" w:rsidP="00F967B3">
      <w:r>
        <w:rPr>
          <w:rStyle w:val="CommentReference"/>
        </w:rPr>
        <w:annotationRef/>
      </w:r>
      <w:r>
        <w:t>Is permission needed to reproduce the GRIPP2 form? If so, then please seek permission from the copyright holder and provide us with a copy of the full permission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9DE6F5" w15:done="0"/>
  <w15:commentEx w15:paraId="1910100D" w15:done="0"/>
  <w15:commentEx w15:paraId="7D7A192F" w15:done="0"/>
  <w15:commentEx w15:paraId="7D456FB7" w15:done="0"/>
  <w15:commentEx w15:paraId="45E01CD8" w15:done="0"/>
  <w15:commentEx w15:paraId="30B57542" w15:done="0"/>
  <w15:commentEx w15:paraId="058D2A2F" w15:done="0"/>
  <w15:commentEx w15:paraId="23D85DC4" w15:done="0"/>
  <w15:commentEx w15:paraId="74C28D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B2FEA" w16cex:dateUtc="2022-06-08T13:25:00Z"/>
  <w16cex:commentExtensible w16cex:durableId="264B479B" w16cex:dateUtc="2022-06-08T15:06:00Z"/>
  <w16cex:commentExtensible w16cex:durableId="264B29AF" w16cex:dateUtc="2022-06-08T12:59:00Z"/>
  <w16cex:commentExtensible w16cex:durableId="264B2A2A" w16cex:dateUtc="2022-06-08T13:01:00Z"/>
  <w16cex:commentExtensible w16cex:durableId="264B2C60" w16cex:dateUtc="2022-06-08T13:10:00Z"/>
  <w16cex:commentExtensible w16cex:durableId="264B2D70" w16cex:dateUtc="2022-06-08T13:15:00Z"/>
  <w16cex:commentExtensible w16cex:durableId="264B1D70" w16cex:dateUtc="2022-06-08T12:06:00Z"/>
  <w16cex:commentExtensible w16cex:durableId="264B1A9C" w16cex:dateUtc="2022-06-08T11:54:00Z"/>
  <w16cex:commentExtensible w16cex:durableId="264B5C9E" w16cex:dateUtc="2022-06-08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9DE6F5" w16cid:durableId="264B2FEA"/>
  <w16cid:commentId w16cid:paraId="1910100D" w16cid:durableId="264B479B"/>
  <w16cid:commentId w16cid:paraId="7D7A192F" w16cid:durableId="264B29AF"/>
  <w16cid:commentId w16cid:paraId="7D456FB7" w16cid:durableId="264B2A2A"/>
  <w16cid:commentId w16cid:paraId="45E01CD8" w16cid:durableId="264B2C60"/>
  <w16cid:commentId w16cid:paraId="30B57542" w16cid:durableId="264B2D70"/>
  <w16cid:commentId w16cid:paraId="058D2A2F" w16cid:durableId="264B1D70"/>
  <w16cid:commentId w16cid:paraId="23D85DC4" w16cid:durableId="264B1A9C"/>
  <w16cid:commentId w16cid:paraId="74C28D2A" w16cid:durableId="264B5C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787C6" w14:textId="77777777" w:rsidR="005835FE" w:rsidRDefault="005835FE">
      <w:r>
        <w:separator/>
      </w:r>
    </w:p>
  </w:endnote>
  <w:endnote w:type="continuationSeparator" w:id="0">
    <w:p w14:paraId="19CC3518" w14:textId="77777777" w:rsidR="005835FE" w:rsidRDefault="005835FE">
      <w:r>
        <w:continuationSeparator/>
      </w:r>
    </w:p>
  </w:endnote>
  <w:endnote w:type="continuationNotice" w:id="1">
    <w:p w14:paraId="6E845D61" w14:textId="77777777" w:rsidR="005835FE" w:rsidRDefault="00583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20000287" w:usb1="00000000"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Helvetica">
    <w:panose1 w:val="00000000000000000000"/>
    <w:charset w:val="00"/>
    <w:family w:val="auto"/>
    <w:pitch w:val="variable"/>
    <w:sig w:usb0="E00002FF" w:usb1="5000785B" w:usb2="00000000" w:usb3="00000000" w:csb0="0000019F" w:csb1="00000000"/>
  </w:font>
  <w:font w:name="MetaProMedium-Regular">
    <w:altName w:val="Yu Gothic"/>
    <w:panose1 w:val="020B0604020202020204"/>
    <w:charset w:val="80"/>
    <w:family w:val="swiss"/>
    <w:notTrueType/>
    <w:pitch w:val="default"/>
    <w:sig w:usb0="00000001" w:usb1="08070000" w:usb2="00000010" w:usb3="00000000" w:csb0="00020000"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Bold">
    <w:altName w:val="Calibri"/>
    <w:panose1 w:val="020B0604020202020204"/>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592B2" w14:textId="77777777" w:rsidR="00FB1E50" w:rsidRDefault="00FB1E50">
    <w:pPr>
      <w:pStyle w:val="Footer"/>
    </w:pPr>
  </w:p>
  <w:p w14:paraId="507E7402" w14:textId="77777777" w:rsidR="00FB1E50" w:rsidRDefault="00FB1E50"/>
  <w:p w14:paraId="00CB7AE5" w14:textId="77777777" w:rsidR="00FB1E50" w:rsidRDefault="00FB1E5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8A41" w14:textId="77777777" w:rsidR="00FB1E50" w:rsidRDefault="00FB1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2EA48" w14:textId="77777777" w:rsidR="005835FE" w:rsidRDefault="005835FE">
      <w:r>
        <w:separator/>
      </w:r>
    </w:p>
  </w:footnote>
  <w:footnote w:type="continuationSeparator" w:id="0">
    <w:p w14:paraId="611BA115" w14:textId="77777777" w:rsidR="005835FE" w:rsidRDefault="005835FE">
      <w:r>
        <w:continuationSeparator/>
      </w:r>
    </w:p>
  </w:footnote>
  <w:footnote w:type="continuationNotice" w:id="1">
    <w:p w14:paraId="188C9D43" w14:textId="77777777" w:rsidR="005835FE" w:rsidRDefault="005835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5253" w14:textId="77777777" w:rsidR="00FB1E50" w:rsidRDefault="00FB1E50">
    <w:pPr>
      <w:pStyle w:val="Header"/>
    </w:pPr>
  </w:p>
  <w:p w14:paraId="45D5A32A" w14:textId="77777777" w:rsidR="00FB1E50" w:rsidRDefault="00FB1E50"/>
  <w:p w14:paraId="5D9FA8E3" w14:textId="77777777" w:rsidR="00FB1E50" w:rsidRDefault="00FB1E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6442D" w14:textId="77777777" w:rsidR="00FB1E50" w:rsidRDefault="00FB1E50">
    <w:pPr>
      <w:pStyle w:val="Header"/>
    </w:pPr>
  </w:p>
  <w:p w14:paraId="5A0C63BB" w14:textId="77777777" w:rsidR="00FB1E50" w:rsidRDefault="00FB1E50"/>
  <w:p w14:paraId="12FD1E3C" w14:textId="77777777" w:rsidR="00FB1E50" w:rsidRDefault="00FB1E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A0A47" w14:textId="77777777" w:rsidR="00FB1E50" w:rsidRDefault="00FB1E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2792"/>
    <w:multiLevelType w:val="multilevel"/>
    <w:tmpl w:val="8F18F1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7D1597"/>
    <w:multiLevelType w:val="hybridMultilevel"/>
    <w:tmpl w:val="FFFFFFFF"/>
    <w:lvl w:ilvl="0" w:tplc="D4429354">
      <w:start w:val="1"/>
      <w:numFmt w:val="bullet"/>
      <w:lvlText w:val=""/>
      <w:lvlJc w:val="left"/>
      <w:pPr>
        <w:ind w:left="720" w:hanging="360"/>
      </w:pPr>
      <w:rPr>
        <w:rFonts w:ascii="Symbol" w:hAnsi="Symbol" w:hint="default"/>
      </w:rPr>
    </w:lvl>
    <w:lvl w:ilvl="1" w:tplc="8878D0A4">
      <w:start w:val="1"/>
      <w:numFmt w:val="bullet"/>
      <w:lvlText w:val="o"/>
      <w:lvlJc w:val="left"/>
      <w:pPr>
        <w:ind w:left="1440" w:hanging="360"/>
      </w:pPr>
      <w:rPr>
        <w:rFonts w:ascii="Courier New" w:hAnsi="Courier New" w:hint="default"/>
      </w:rPr>
    </w:lvl>
    <w:lvl w:ilvl="2" w:tplc="DD5EF340">
      <w:start w:val="1"/>
      <w:numFmt w:val="bullet"/>
      <w:lvlText w:val=""/>
      <w:lvlJc w:val="left"/>
      <w:pPr>
        <w:ind w:left="2160" w:hanging="360"/>
      </w:pPr>
      <w:rPr>
        <w:rFonts w:ascii="Wingdings" w:hAnsi="Wingdings" w:hint="default"/>
      </w:rPr>
    </w:lvl>
    <w:lvl w:ilvl="3" w:tplc="73F4B6EC">
      <w:start w:val="1"/>
      <w:numFmt w:val="bullet"/>
      <w:lvlText w:val=""/>
      <w:lvlJc w:val="left"/>
      <w:pPr>
        <w:ind w:left="2880" w:hanging="360"/>
      </w:pPr>
      <w:rPr>
        <w:rFonts w:ascii="Symbol" w:hAnsi="Symbol" w:hint="default"/>
      </w:rPr>
    </w:lvl>
    <w:lvl w:ilvl="4" w:tplc="1FB2592E">
      <w:start w:val="1"/>
      <w:numFmt w:val="bullet"/>
      <w:lvlText w:val="o"/>
      <w:lvlJc w:val="left"/>
      <w:pPr>
        <w:ind w:left="3600" w:hanging="360"/>
      </w:pPr>
      <w:rPr>
        <w:rFonts w:ascii="Courier New" w:hAnsi="Courier New" w:hint="default"/>
      </w:rPr>
    </w:lvl>
    <w:lvl w:ilvl="5" w:tplc="8D5A45CA">
      <w:start w:val="1"/>
      <w:numFmt w:val="bullet"/>
      <w:lvlText w:val=""/>
      <w:lvlJc w:val="left"/>
      <w:pPr>
        <w:ind w:left="4320" w:hanging="360"/>
      </w:pPr>
      <w:rPr>
        <w:rFonts w:ascii="Wingdings" w:hAnsi="Wingdings" w:hint="default"/>
      </w:rPr>
    </w:lvl>
    <w:lvl w:ilvl="6" w:tplc="EA765AB6">
      <w:start w:val="1"/>
      <w:numFmt w:val="bullet"/>
      <w:lvlText w:val=""/>
      <w:lvlJc w:val="left"/>
      <w:pPr>
        <w:ind w:left="5040" w:hanging="360"/>
      </w:pPr>
      <w:rPr>
        <w:rFonts w:ascii="Symbol" w:hAnsi="Symbol" w:hint="default"/>
      </w:rPr>
    </w:lvl>
    <w:lvl w:ilvl="7" w:tplc="4BDEF914">
      <w:start w:val="1"/>
      <w:numFmt w:val="bullet"/>
      <w:lvlText w:val="o"/>
      <w:lvlJc w:val="left"/>
      <w:pPr>
        <w:ind w:left="5760" w:hanging="360"/>
      </w:pPr>
      <w:rPr>
        <w:rFonts w:ascii="Courier New" w:hAnsi="Courier New" w:hint="default"/>
      </w:rPr>
    </w:lvl>
    <w:lvl w:ilvl="8" w:tplc="F9D63260">
      <w:start w:val="1"/>
      <w:numFmt w:val="bullet"/>
      <w:lvlText w:val=""/>
      <w:lvlJc w:val="left"/>
      <w:pPr>
        <w:ind w:left="6480" w:hanging="360"/>
      </w:pPr>
      <w:rPr>
        <w:rFonts w:ascii="Wingdings" w:hAnsi="Wingdings" w:hint="default"/>
      </w:rPr>
    </w:lvl>
  </w:abstractNum>
  <w:abstractNum w:abstractNumId="2" w15:restartNumberingAfterBreak="0">
    <w:nsid w:val="06910B36"/>
    <w:multiLevelType w:val="hybridMultilevel"/>
    <w:tmpl w:val="676AE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61A47"/>
    <w:multiLevelType w:val="hybridMultilevel"/>
    <w:tmpl w:val="FFFFFFFF"/>
    <w:lvl w:ilvl="0" w:tplc="B1B4E6B4">
      <w:start w:val="1"/>
      <w:numFmt w:val="bullet"/>
      <w:lvlText w:val=""/>
      <w:lvlJc w:val="left"/>
      <w:pPr>
        <w:ind w:left="720" w:hanging="360"/>
      </w:pPr>
      <w:rPr>
        <w:rFonts w:ascii="Symbol" w:hAnsi="Symbol" w:hint="default"/>
      </w:rPr>
    </w:lvl>
    <w:lvl w:ilvl="1" w:tplc="104E00BE">
      <w:start w:val="1"/>
      <w:numFmt w:val="bullet"/>
      <w:lvlText w:val="o"/>
      <w:lvlJc w:val="left"/>
      <w:pPr>
        <w:ind w:left="1440" w:hanging="360"/>
      </w:pPr>
      <w:rPr>
        <w:rFonts w:ascii="Courier New" w:hAnsi="Courier New" w:hint="default"/>
      </w:rPr>
    </w:lvl>
    <w:lvl w:ilvl="2" w:tplc="E050F806">
      <w:start w:val="1"/>
      <w:numFmt w:val="bullet"/>
      <w:lvlText w:val=""/>
      <w:lvlJc w:val="left"/>
      <w:pPr>
        <w:ind w:left="2160" w:hanging="360"/>
      </w:pPr>
      <w:rPr>
        <w:rFonts w:ascii="Wingdings" w:hAnsi="Wingdings" w:hint="default"/>
      </w:rPr>
    </w:lvl>
    <w:lvl w:ilvl="3" w:tplc="C262C90A">
      <w:start w:val="1"/>
      <w:numFmt w:val="bullet"/>
      <w:lvlText w:val=""/>
      <w:lvlJc w:val="left"/>
      <w:pPr>
        <w:ind w:left="2880" w:hanging="360"/>
      </w:pPr>
      <w:rPr>
        <w:rFonts w:ascii="Symbol" w:hAnsi="Symbol" w:hint="default"/>
      </w:rPr>
    </w:lvl>
    <w:lvl w:ilvl="4" w:tplc="1040CAF0">
      <w:start w:val="1"/>
      <w:numFmt w:val="bullet"/>
      <w:lvlText w:val="o"/>
      <w:lvlJc w:val="left"/>
      <w:pPr>
        <w:ind w:left="3600" w:hanging="360"/>
      </w:pPr>
      <w:rPr>
        <w:rFonts w:ascii="Courier New" w:hAnsi="Courier New" w:hint="default"/>
      </w:rPr>
    </w:lvl>
    <w:lvl w:ilvl="5" w:tplc="D9842090">
      <w:start w:val="1"/>
      <w:numFmt w:val="bullet"/>
      <w:lvlText w:val=""/>
      <w:lvlJc w:val="left"/>
      <w:pPr>
        <w:ind w:left="4320" w:hanging="360"/>
      </w:pPr>
      <w:rPr>
        <w:rFonts w:ascii="Wingdings" w:hAnsi="Wingdings" w:hint="default"/>
      </w:rPr>
    </w:lvl>
    <w:lvl w:ilvl="6" w:tplc="BBF076C8">
      <w:start w:val="1"/>
      <w:numFmt w:val="bullet"/>
      <w:lvlText w:val=""/>
      <w:lvlJc w:val="left"/>
      <w:pPr>
        <w:ind w:left="5040" w:hanging="360"/>
      </w:pPr>
      <w:rPr>
        <w:rFonts w:ascii="Symbol" w:hAnsi="Symbol" w:hint="default"/>
      </w:rPr>
    </w:lvl>
    <w:lvl w:ilvl="7" w:tplc="71B6EA1C">
      <w:start w:val="1"/>
      <w:numFmt w:val="bullet"/>
      <w:lvlText w:val="o"/>
      <w:lvlJc w:val="left"/>
      <w:pPr>
        <w:ind w:left="5760" w:hanging="360"/>
      </w:pPr>
      <w:rPr>
        <w:rFonts w:ascii="Courier New" w:hAnsi="Courier New" w:hint="default"/>
      </w:rPr>
    </w:lvl>
    <w:lvl w:ilvl="8" w:tplc="D3807162">
      <w:start w:val="1"/>
      <w:numFmt w:val="bullet"/>
      <w:lvlText w:val=""/>
      <w:lvlJc w:val="left"/>
      <w:pPr>
        <w:ind w:left="6480" w:hanging="360"/>
      </w:pPr>
      <w:rPr>
        <w:rFonts w:ascii="Wingdings" w:hAnsi="Wingdings" w:hint="default"/>
      </w:rPr>
    </w:lvl>
  </w:abstractNum>
  <w:abstractNum w:abstractNumId="4" w15:restartNumberingAfterBreak="0">
    <w:nsid w:val="0AED683E"/>
    <w:multiLevelType w:val="hybridMultilevel"/>
    <w:tmpl w:val="4E440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1814E5"/>
    <w:multiLevelType w:val="hybridMultilevel"/>
    <w:tmpl w:val="81BA5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201C3"/>
    <w:multiLevelType w:val="hybridMultilevel"/>
    <w:tmpl w:val="FFFFFFFF"/>
    <w:lvl w:ilvl="0" w:tplc="683EABA8">
      <w:start w:val="1"/>
      <w:numFmt w:val="bullet"/>
      <w:lvlText w:val=""/>
      <w:lvlJc w:val="left"/>
      <w:pPr>
        <w:ind w:left="720" w:hanging="360"/>
      </w:pPr>
      <w:rPr>
        <w:rFonts w:ascii="Symbol" w:hAnsi="Symbol" w:hint="default"/>
      </w:rPr>
    </w:lvl>
    <w:lvl w:ilvl="1" w:tplc="CDD85338">
      <w:start w:val="1"/>
      <w:numFmt w:val="bullet"/>
      <w:lvlText w:val="o"/>
      <w:lvlJc w:val="left"/>
      <w:pPr>
        <w:ind w:left="1440" w:hanging="360"/>
      </w:pPr>
      <w:rPr>
        <w:rFonts w:ascii="Courier New" w:hAnsi="Courier New" w:hint="default"/>
      </w:rPr>
    </w:lvl>
    <w:lvl w:ilvl="2" w:tplc="FED84C5E">
      <w:start w:val="1"/>
      <w:numFmt w:val="bullet"/>
      <w:lvlText w:val=""/>
      <w:lvlJc w:val="left"/>
      <w:pPr>
        <w:ind w:left="2160" w:hanging="360"/>
      </w:pPr>
      <w:rPr>
        <w:rFonts w:ascii="Wingdings" w:hAnsi="Wingdings" w:hint="default"/>
      </w:rPr>
    </w:lvl>
    <w:lvl w:ilvl="3" w:tplc="14CC59F0">
      <w:start w:val="1"/>
      <w:numFmt w:val="bullet"/>
      <w:lvlText w:val=""/>
      <w:lvlJc w:val="left"/>
      <w:pPr>
        <w:ind w:left="2880" w:hanging="360"/>
      </w:pPr>
      <w:rPr>
        <w:rFonts w:ascii="Symbol" w:hAnsi="Symbol" w:hint="default"/>
      </w:rPr>
    </w:lvl>
    <w:lvl w:ilvl="4" w:tplc="CE28727C">
      <w:start w:val="1"/>
      <w:numFmt w:val="bullet"/>
      <w:lvlText w:val="o"/>
      <w:lvlJc w:val="left"/>
      <w:pPr>
        <w:ind w:left="3600" w:hanging="360"/>
      </w:pPr>
      <w:rPr>
        <w:rFonts w:ascii="Courier New" w:hAnsi="Courier New" w:hint="default"/>
      </w:rPr>
    </w:lvl>
    <w:lvl w:ilvl="5" w:tplc="65F27688">
      <w:start w:val="1"/>
      <w:numFmt w:val="bullet"/>
      <w:lvlText w:val=""/>
      <w:lvlJc w:val="left"/>
      <w:pPr>
        <w:ind w:left="4320" w:hanging="360"/>
      </w:pPr>
      <w:rPr>
        <w:rFonts w:ascii="Wingdings" w:hAnsi="Wingdings" w:hint="default"/>
      </w:rPr>
    </w:lvl>
    <w:lvl w:ilvl="6" w:tplc="A3544F48">
      <w:start w:val="1"/>
      <w:numFmt w:val="bullet"/>
      <w:lvlText w:val=""/>
      <w:lvlJc w:val="left"/>
      <w:pPr>
        <w:ind w:left="5040" w:hanging="360"/>
      </w:pPr>
      <w:rPr>
        <w:rFonts w:ascii="Symbol" w:hAnsi="Symbol" w:hint="default"/>
      </w:rPr>
    </w:lvl>
    <w:lvl w:ilvl="7" w:tplc="FBFEDBF0">
      <w:start w:val="1"/>
      <w:numFmt w:val="bullet"/>
      <w:lvlText w:val="o"/>
      <w:lvlJc w:val="left"/>
      <w:pPr>
        <w:ind w:left="5760" w:hanging="360"/>
      </w:pPr>
      <w:rPr>
        <w:rFonts w:ascii="Courier New" w:hAnsi="Courier New" w:hint="default"/>
      </w:rPr>
    </w:lvl>
    <w:lvl w:ilvl="8" w:tplc="0C0444B4">
      <w:start w:val="1"/>
      <w:numFmt w:val="bullet"/>
      <w:lvlText w:val=""/>
      <w:lvlJc w:val="left"/>
      <w:pPr>
        <w:ind w:left="6480" w:hanging="360"/>
      </w:pPr>
      <w:rPr>
        <w:rFonts w:ascii="Wingdings" w:hAnsi="Wingdings" w:hint="default"/>
      </w:rPr>
    </w:lvl>
  </w:abstractNum>
  <w:abstractNum w:abstractNumId="7" w15:restartNumberingAfterBreak="0">
    <w:nsid w:val="134B4F1C"/>
    <w:multiLevelType w:val="hybridMultilevel"/>
    <w:tmpl w:val="00505616"/>
    <w:lvl w:ilvl="0" w:tplc="E9DC54BC">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31704"/>
    <w:multiLevelType w:val="hybridMultilevel"/>
    <w:tmpl w:val="4574C1E0"/>
    <w:lvl w:ilvl="0" w:tplc="FFFFFFFF">
      <w:start w:val="1"/>
      <w:numFmt w:val="decimal"/>
      <w:lvlText w:val="%1."/>
      <w:lvlJc w:val="left"/>
      <w:pPr>
        <w:ind w:left="720" w:hanging="360"/>
      </w:pPr>
      <w:rPr>
        <w:rFonts w:ascii="Arial" w:hAnsi="Arial" w:cstheme="minorHAnsi" w:hint="default"/>
        <w:b w:val="0"/>
        <w:i w:val="0"/>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9770EC"/>
    <w:multiLevelType w:val="hybridMultilevel"/>
    <w:tmpl w:val="C95AF674"/>
    <w:lvl w:ilvl="0" w:tplc="C77EC67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D235EE"/>
    <w:multiLevelType w:val="hybridMultilevel"/>
    <w:tmpl w:val="5BD8F5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DA2B39"/>
    <w:multiLevelType w:val="hybridMultilevel"/>
    <w:tmpl w:val="C23E4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19A21A2A"/>
    <w:multiLevelType w:val="multilevel"/>
    <w:tmpl w:val="FBEE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73568F"/>
    <w:multiLevelType w:val="hybridMultilevel"/>
    <w:tmpl w:val="FFFFFFFF"/>
    <w:lvl w:ilvl="0" w:tplc="D632F7C2">
      <w:start w:val="1"/>
      <w:numFmt w:val="bullet"/>
      <w:lvlText w:val=""/>
      <w:lvlJc w:val="left"/>
      <w:pPr>
        <w:ind w:left="720" w:hanging="360"/>
      </w:pPr>
      <w:rPr>
        <w:rFonts w:ascii="Symbol" w:hAnsi="Symbol" w:hint="default"/>
      </w:rPr>
    </w:lvl>
    <w:lvl w:ilvl="1" w:tplc="71D228C6">
      <w:start w:val="1"/>
      <w:numFmt w:val="bullet"/>
      <w:lvlText w:val="o"/>
      <w:lvlJc w:val="left"/>
      <w:pPr>
        <w:ind w:left="1440" w:hanging="360"/>
      </w:pPr>
      <w:rPr>
        <w:rFonts w:ascii="Courier New" w:hAnsi="Courier New" w:hint="default"/>
      </w:rPr>
    </w:lvl>
    <w:lvl w:ilvl="2" w:tplc="C0EA53AA">
      <w:start w:val="1"/>
      <w:numFmt w:val="bullet"/>
      <w:lvlText w:val=""/>
      <w:lvlJc w:val="left"/>
      <w:pPr>
        <w:ind w:left="2160" w:hanging="360"/>
      </w:pPr>
      <w:rPr>
        <w:rFonts w:ascii="Wingdings" w:hAnsi="Wingdings" w:hint="default"/>
      </w:rPr>
    </w:lvl>
    <w:lvl w:ilvl="3" w:tplc="0E3C50BA">
      <w:start w:val="1"/>
      <w:numFmt w:val="bullet"/>
      <w:lvlText w:val=""/>
      <w:lvlJc w:val="left"/>
      <w:pPr>
        <w:ind w:left="2880" w:hanging="360"/>
      </w:pPr>
      <w:rPr>
        <w:rFonts w:ascii="Symbol" w:hAnsi="Symbol" w:hint="default"/>
      </w:rPr>
    </w:lvl>
    <w:lvl w:ilvl="4" w:tplc="70CE0A32">
      <w:start w:val="1"/>
      <w:numFmt w:val="bullet"/>
      <w:lvlText w:val="o"/>
      <w:lvlJc w:val="left"/>
      <w:pPr>
        <w:ind w:left="3600" w:hanging="360"/>
      </w:pPr>
      <w:rPr>
        <w:rFonts w:ascii="Courier New" w:hAnsi="Courier New" w:hint="default"/>
      </w:rPr>
    </w:lvl>
    <w:lvl w:ilvl="5" w:tplc="6BF85FE2">
      <w:start w:val="1"/>
      <w:numFmt w:val="bullet"/>
      <w:lvlText w:val=""/>
      <w:lvlJc w:val="left"/>
      <w:pPr>
        <w:ind w:left="4320" w:hanging="360"/>
      </w:pPr>
      <w:rPr>
        <w:rFonts w:ascii="Wingdings" w:hAnsi="Wingdings" w:hint="default"/>
      </w:rPr>
    </w:lvl>
    <w:lvl w:ilvl="6" w:tplc="DF1E25C0">
      <w:start w:val="1"/>
      <w:numFmt w:val="bullet"/>
      <w:lvlText w:val=""/>
      <w:lvlJc w:val="left"/>
      <w:pPr>
        <w:ind w:left="5040" w:hanging="360"/>
      </w:pPr>
      <w:rPr>
        <w:rFonts w:ascii="Symbol" w:hAnsi="Symbol" w:hint="default"/>
      </w:rPr>
    </w:lvl>
    <w:lvl w:ilvl="7" w:tplc="B8308386">
      <w:start w:val="1"/>
      <w:numFmt w:val="bullet"/>
      <w:lvlText w:val="o"/>
      <w:lvlJc w:val="left"/>
      <w:pPr>
        <w:ind w:left="5760" w:hanging="360"/>
      </w:pPr>
      <w:rPr>
        <w:rFonts w:ascii="Courier New" w:hAnsi="Courier New" w:hint="default"/>
      </w:rPr>
    </w:lvl>
    <w:lvl w:ilvl="8" w:tplc="0CCA1D3A">
      <w:start w:val="1"/>
      <w:numFmt w:val="bullet"/>
      <w:lvlText w:val=""/>
      <w:lvlJc w:val="left"/>
      <w:pPr>
        <w:ind w:left="6480" w:hanging="360"/>
      </w:pPr>
      <w:rPr>
        <w:rFonts w:ascii="Wingdings" w:hAnsi="Wingdings" w:hint="default"/>
      </w:rPr>
    </w:lvl>
  </w:abstractNum>
  <w:abstractNum w:abstractNumId="14" w15:restartNumberingAfterBreak="0">
    <w:nsid w:val="1B9432E3"/>
    <w:multiLevelType w:val="multilevel"/>
    <w:tmpl w:val="E9BC5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5B066E"/>
    <w:multiLevelType w:val="hybridMultilevel"/>
    <w:tmpl w:val="147667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DE17F9"/>
    <w:multiLevelType w:val="hybridMultilevel"/>
    <w:tmpl w:val="A6243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6930BD"/>
    <w:multiLevelType w:val="multilevel"/>
    <w:tmpl w:val="0228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D44E27"/>
    <w:multiLevelType w:val="hybridMultilevel"/>
    <w:tmpl w:val="FFFFFFFF"/>
    <w:lvl w:ilvl="0" w:tplc="CC0C8EBC">
      <w:start w:val="1"/>
      <w:numFmt w:val="bullet"/>
      <w:lvlText w:val=""/>
      <w:lvlJc w:val="left"/>
      <w:pPr>
        <w:ind w:left="720" w:hanging="360"/>
      </w:pPr>
      <w:rPr>
        <w:rFonts w:ascii="Symbol" w:hAnsi="Symbol" w:hint="default"/>
      </w:rPr>
    </w:lvl>
    <w:lvl w:ilvl="1" w:tplc="2640E284">
      <w:start w:val="1"/>
      <w:numFmt w:val="bullet"/>
      <w:lvlText w:val="o"/>
      <w:lvlJc w:val="left"/>
      <w:pPr>
        <w:ind w:left="1440" w:hanging="360"/>
      </w:pPr>
      <w:rPr>
        <w:rFonts w:ascii="Courier New" w:hAnsi="Courier New" w:hint="default"/>
      </w:rPr>
    </w:lvl>
    <w:lvl w:ilvl="2" w:tplc="5CBE82CA">
      <w:start w:val="1"/>
      <w:numFmt w:val="bullet"/>
      <w:lvlText w:val=""/>
      <w:lvlJc w:val="left"/>
      <w:pPr>
        <w:ind w:left="2160" w:hanging="360"/>
      </w:pPr>
      <w:rPr>
        <w:rFonts w:ascii="Wingdings" w:hAnsi="Wingdings" w:hint="default"/>
      </w:rPr>
    </w:lvl>
    <w:lvl w:ilvl="3" w:tplc="F52C648C">
      <w:start w:val="1"/>
      <w:numFmt w:val="bullet"/>
      <w:lvlText w:val=""/>
      <w:lvlJc w:val="left"/>
      <w:pPr>
        <w:ind w:left="2880" w:hanging="360"/>
      </w:pPr>
      <w:rPr>
        <w:rFonts w:ascii="Symbol" w:hAnsi="Symbol" w:hint="default"/>
      </w:rPr>
    </w:lvl>
    <w:lvl w:ilvl="4" w:tplc="B00EA8D8">
      <w:start w:val="1"/>
      <w:numFmt w:val="bullet"/>
      <w:lvlText w:val="o"/>
      <w:lvlJc w:val="left"/>
      <w:pPr>
        <w:ind w:left="3600" w:hanging="360"/>
      </w:pPr>
      <w:rPr>
        <w:rFonts w:ascii="Courier New" w:hAnsi="Courier New" w:hint="default"/>
      </w:rPr>
    </w:lvl>
    <w:lvl w:ilvl="5" w:tplc="E14A834A">
      <w:start w:val="1"/>
      <w:numFmt w:val="bullet"/>
      <w:lvlText w:val=""/>
      <w:lvlJc w:val="left"/>
      <w:pPr>
        <w:ind w:left="4320" w:hanging="360"/>
      </w:pPr>
      <w:rPr>
        <w:rFonts w:ascii="Wingdings" w:hAnsi="Wingdings" w:hint="default"/>
      </w:rPr>
    </w:lvl>
    <w:lvl w:ilvl="6" w:tplc="32F09EDC">
      <w:start w:val="1"/>
      <w:numFmt w:val="bullet"/>
      <w:lvlText w:val=""/>
      <w:lvlJc w:val="left"/>
      <w:pPr>
        <w:ind w:left="5040" w:hanging="360"/>
      </w:pPr>
      <w:rPr>
        <w:rFonts w:ascii="Symbol" w:hAnsi="Symbol" w:hint="default"/>
      </w:rPr>
    </w:lvl>
    <w:lvl w:ilvl="7" w:tplc="0E52A0E8">
      <w:start w:val="1"/>
      <w:numFmt w:val="bullet"/>
      <w:lvlText w:val="o"/>
      <w:lvlJc w:val="left"/>
      <w:pPr>
        <w:ind w:left="5760" w:hanging="360"/>
      </w:pPr>
      <w:rPr>
        <w:rFonts w:ascii="Courier New" w:hAnsi="Courier New" w:hint="default"/>
      </w:rPr>
    </w:lvl>
    <w:lvl w:ilvl="8" w:tplc="5E3824D2">
      <w:start w:val="1"/>
      <w:numFmt w:val="bullet"/>
      <w:lvlText w:val=""/>
      <w:lvlJc w:val="left"/>
      <w:pPr>
        <w:ind w:left="6480" w:hanging="360"/>
      </w:pPr>
      <w:rPr>
        <w:rFonts w:ascii="Wingdings" w:hAnsi="Wingdings" w:hint="default"/>
      </w:rPr>
    </w:lvl>
  </w:abstractNum>
  <w:abstractNum w:abstractNumId="19" w15:restartNumberingAfterBreak="0">
    <w:nsid w:val="20ED52DE"/>
    <w:multiLevelType w:val="hybridMultilevel"/>
    <w:tmpl w:val="AA421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241454D"/>
    <w:multiLevelType w:val="hybridMultilevel"/>
    <w:tmpl w:val="069A94BE"/>
    <w:lvl w:ilvl="0" w:tplc="281C421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387AF0"/>
    <w:multiLevelType w:val="hybridMultilevel"/>
    <w:tmpl w:val="5E880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3F5BDE"/>
    <w:multiLevelType w:val="hybridMultilevel"/>
    <w:tmpl w:val="599638DA"/>
    <w:lvl w:ilvl="0" w:tplc="F3B279A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06424A0"/>
    <w:multiLevelType w:val="hybridMultilevel"/>
    <w:tmpl w:val="06A657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441B5E"/>
    <w:multiLevelType w:val="hybridMultilevel"/>
    <w:tmpl w:val="FFFFFFFF"/>
    <w:lvl w:ilvl="0" w:tplc="59E87500">
      <w:start w:val="1"/>
      <w:numFmt w:val="bullet"/>
      <w:lvlText w:val=""/>
      <w:lvlJc w:val="left"/>
      <w:pPr>
        <w:ind w:left="720" w:hanging="360"/>
      </w:pPr>
      <w:rPr>
        <w:rFonts w:ascii="Symbol" w:hAnsi="Symbol" w:hint="default"/>
      </w:rPr>
    </w:lvl>
    <w:lvl w:ilvl="1" w:tplc="1058447A">
      <w:start w:val="1"/>
      <w:numFmt w:val="bullet"/>
      <w:lvlText w:val="o"/>
      <w:lvlJc w:val="left"/>
      <w:pPr>
        <w:ind w:left="1440" w:hanging="360"/>
      </w:pPr>
      <w:rPr>
        <w:rFonts w:ascii="Courier New" w:hAnsi="Courier New" w:hint="default"/>
      </w:rPr>
    </w:lvl>
    <w:lvl w:ilvl="2" w:tplc="8848B0D4">
      <w:start w:val="1"/>
      <w:numFmt w:val="bullet"/>
      <w:lvlText w:val=""/>
      <w:lvlJc w:val="left"/>
      <w:pPr>
        <w:ind w:left="2160" w:hanging="360"/>
      </w:pPr>
      <w:rPr>
        <w:rFonts w:ascii="Wingdings" w:hAnsi="Wingdings" w:hint="default"/>
      </w:rPr>
    </w:lvl>
    <w:lvl w:ilvl="3" w:tplc="31726604">
      <w:start w:val="1"/>
      <w:numFmt w:val="bullet"/>
      <w:lvlText w:val=""/>
      <w:lvlJc w:val="left"/>
      <w:pPr>
        <w:ind w:left="2880" w:hanging="360"/>
      </w:pPr>
      <w:rPr>
        <w:rFonts w:ascii="Symbol" w:hAnsi="Symbol" w:hint="default"/>
      </w:rPr>
    </w:lvl>
    <w:lvl w:ilvl="4" w:tplc="1D942A2A">
      <w:start w:val="1"/>
      <w:numFmt w:val="bullet"/>
      <w:lvlText w:val="o"/>
      <w:lvlJc w:val="left"/>
      <w:pPr>
        <w:ind w:left="3600" w:hanging="360"/>
      </w:pPr>
      <w:rPr>
        <w:rFonts w:ascii="Courier New" w:hAnsi="Courier New" w:hint="default"/>
      </w:rPr>
    </w:lvl>
    <w:lvl w:ilvl="5" w:tplc="02D4CA46">
      <w:start w:val="1"/>
      <w:numFmt w:val="bullet"/>
      <w:lvlText w:val=""/>
      <w:lvlJc w:val="left"/>
      <w:pPr>
        <w:ind w:left="4320" w:hanging="360"/>
      </w:pPr>
      <w:rPr>
        <w:rFonts w:ascii="Wingdings" w:hAnsi="Wingdings" w:hint="default"/>
      </w:rPr>
    </w:lvl>
    <w:lvl w:ilvl="6" w:tplc="643CC8E0">
      <w:start w:val="1"/>
      <w:numFmt w:val="bullet"/>
      <w:lvlText w:val=""/>
      <w:lvlJc w:val="left"/>
      <w:pPr>
        <w:ind w:left="5040" w:hanging="360"/>
      </w:pPr>
      <w:rPr>
        <w:rFonts w:ascii="Symbol" w:hAnsi="Symbol" w:hint="default"/>
      </w:rPr>
    </w:lvl>
    <w:lvl w:ilvl="7" w:tplc="C73E24A6">
      <w:start w:val="1"/>
      <w:numFmt w:val="bullet"/>
      <w:lvlText w:val="o"/>
      <w:lvlJc w:val="left"/>
      <w:pPr>
        <w:ind w:left="5760" w:hanging="360"/>
      </w:pPr>
      <w:rPr>
        <w:rFonts w:ascii="Courier New" w:hAnsi="Courier New" w:hint="default"/>
      </w:rPr>
    </w:lvl>
    <w:lvl w:ilvl="8" w:tplc="52FA926C">
      <w:start w:val="1"/>
      <w:numFmt w:val="bullet"/>
      <w:lvlText w:val=""/>
      <w:lvlJc w:val="left"/>
      <w:pPr>
        <w:ind w:left="6480" w:hanging="360"/>
      </w:pPr>
      <w:rPr>
        <w:rFonts w:ascii="Wingdings" w:hAnsi="Wingdings" w:hint="default"/>
      </w:rPr>
    </w:lvl>
  </w:abstractNum>
  <w:abstractNum w:abstractNumId="25" w15:restartNumberingAfterBreak="0">
    <w:nsid w:val="32C44226"/>
    <w:multiLevelType w:val="multilevel"/>
    <w:tmpl w:val="D3142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54010B1"/>
    <w:multiLevelType w:val="multilevel"/>
    <w:tmpl w:val="0A8E2F3A"/>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6B50720"/>
    <w:multiLevelType w:val="hybridMultilevel"/>
    <w:tmpl w:val="FFFFFFFF"/>
    <w:lvl w:ilvl="0" w:tplc="0060E456">
      <w:start w:val="1"/>
      <w:numFmt w:val="bullet"/>
      <w:lvlText w:val=""/>
      <w:lvlJc w:val="left"/>
      <w:pPr>
        <w:ind w:left="720" w:hanging="360"/>
      </w:pPr>
      <w:rPr>
        <w:rFonts w:ascii="Symbol" w:hAnsi="Symbol" w:hint="default"/>
      </w:rPr>
    </w:lvl>
    <w:lvl w:ilvl="1" w:tplc="7AE06E1A">
      <w:start w:val="1"/>
      <w:numFmt w:val="bullet"/>
      <w:lvlText w:val="o"/>
      <w:lvlJc w:val="left"/>
      <w:pPr>
        <w:ind w:left="1440" w:hanging="360"/>
      </w:pPr>
      <w:rPr>
        <w:rFonts w:ascii="Courier New" w:hAnsi="Courier New" w:hint="default"/>
      </w:rPr>
    </w:lvl>
    <w:lvl w:ilvl="2" w:tplc="7BC21D58">
      <w:start w:val="1"/>
      <w:numFmt w:val="bullet"/>
      <w:lvlText w:val=""/>
      <w:lvlJc w:val="left"/>
      <w:pPr>
        <w:ind w:left="2160" w:hanging="360"/>
      </w:pPr>
      <w:rPr>
        <w:rFonts w:ascii="Wingdings" w:hAnsi="Wingdings" w:hint="default"/>
      </w:rPr>
    </w:lvl>
    <w:lvl w:ilvl="3" w:tplc="27380998">
      <w:start w:val="1"/>
      <w:numFmt w:val="bullet"/>
      <w:lvlText w:val=""/>
      <w:lvlJc w:val="left"/>
      <w:pPr>
        <w:ind w:left="2880" w:hanging="360"/>
      </w:pPr>
      <w:rPr>
        <w:rFonts w:ascii="Symbol" w:hAnsi="Symbol" w:hint="default"/>
      </w:rPr>
    </w:lvl>
    <w:lvl w:ilvl="4" w:tplc="8D3A5F20">
      <w:start w:val="1"/>
      <w:numFmt w:val="bullet"/>
      <w:lvlText w:val="o"/>
      <w:lvlJc w:val="left"/>
      <w:pPr>
        <w:ind w:left="3600" w:hanging="360"/>
      </w:pPr>
      <w:rPr>
        <w:rFonts w:ascii="Courier New" w:hAnsi="Courier New" w:hint="default"/>
      </w:rPr>
    </w:lvl>
    <w:lvl w:ilvl="5" w:tplc="BC9E6BBE">
      <w:start w:val="1"/>
      <w:numFmt w:val="bullet"/>
      <w:lvlText w:val=""/>
      <w:lvlJc w:val="left"/>
      <w:pPr>
        <w:ind w:left="4320" w:hanging="360"/>
      </w:pPr>
      <w:rPr>
        <w:rFonts w:ascii="Wingdings" w:hAnsi="Wingdings" w:hint="default"/>
      </w:rPr>
    </w:lvl>
    <w:lvl w:ilvl="6" w:tplc="BD145D76">
      <w:start w:val="1"/>
      <w:numFmt w:val="bullet"/>
      <w:lvlText w:val=""/>
      <w:lvlJc w:val="left"/>
      <w:pPr>
        <w:ind w:left="5040" w:hanging="360"/>
      </w:pPr>
      <w:rPr>
        <w:rFonts w:ascii="Symbol" w:hAnsi="Symbol" w:hint="default"/>
      </w:rPr>
    </w:lvl>
    <w:lvl w:ilvl="7" w:tplc="CC6AA2C6">
      <w:start w:val="1"/>
      <w:numFmt w:val="bullet"/>
      <w:lvlText w:val="o"/>
      <w:lvlJc w:val="left"/>
      <w:pPr>
        <w:ind w:left="5760" w:hanging="360"/>
      </w:pPr>
      <w:rPr>
        <w:rFonts w:ascii="Courier New" w:hAnsi="Courier New" w:hint="default"/>
      </w:rPr>
    </w:lvl>
    <w:lvl w:ilvl="8" w:tplc="3364D97A">
      <w:start w:val="1"/>
      <w:numFmt w:val="bullet"/>
      <w:lvlText w:val=""/>
      <w:lvlJc w:val="left"/>
      <w:pPr>
        <w:ind w:left="6480" w:hanging="360"/>
      </w:pPr>
      <w:rPr>
        <w:rFonts w:ascii="Wingdings" w:hAnsi="Wingdings" w:hint="default"/>
      </w:rPr>
    </w:lvl>
  </w:abstractNum>
  <w:abstractNum w:abstractNumId="28" w15:restartNumberingAfterBreak="0">
    <w:nsid w:val="38E740A1"/>
    <w:multiLevelType w:val="hybridMultilevel"/>
    <w:tmpl w:val="FFFFFFFF"/>
    <w:lvl w:ilvl="0" w:tplc="4B54398C">
      <w:start w:val="1"/>
      <w:numFmt w:val="bullet"/>
      <w:lvlText w:val=""/>
      <w:lvlJc w:val="left"/>
      <w:pPr>
        <w:ind w:left="720" w:hanging="360"/>
      </w:pPr>
      <w:rPr>
        <w:rFonts w:ascii="Symbol" w:hAnsi="Symbol" w:hint="default"/>
      </w:rPr>
    </w:lvl>
    <w:lvl w:ilvl="1" w:tplc="24F4066C">
      <w:start w:val="1"/>
      <w:numFmt w:val="bullet"/>
      <w:lvlText w:val="o"/>
      <w:lvlJc w:val="left"/>
      <w:pPr>
        <w:ind w:left="1440" w:hanging="360"/>
      </w:pPr>
      <w:rPr>
        <w:rFonts w:ascii="Courier New" w:hAnsi="Courier New" w:hint="default"/>
      </w:rPr>
    </w:lvl>
    <w:lvl w:ilvl="2" w:tplc="978E908A">
      <w:start w:val="1"/>
      <w:numFmt w:val="bullet"/>
      <w:lvlText w:val=""/>
      <w:lvlJc w:val="left"/>
      <w:pPr>
        <w:ind w:left="2160" w:hanging="360"/>
      </w:pPr>
      <w:rPr>
        <w:rFonts w:ascii="Wingdings" w:hAnsi="Wingdings" w:hint="default"/>
      </w:rPr>
    </w:lvl>
    <w:lvl w:ilvl="3" w:tplc="8FD2149C">
      <w:start w:val="1"/>
      <w:numFmt w:val="bullet"/>
      <w:lvlText w:val=""/>
      <w:lvlJc w:val="left"/>
      <w:pPr>
        <w:ind w:left="2880" w:hanging="360"/>
      </w:pPr>
      <w:rPr>
        <w:rFonts w:ascii="Symbol" w:hAnsi="Symbol" w:hint="default"/>
      </w:rPr>
    </w:lvl>
    <w:lvl w:ilvl="4" w:tplc="FB96676E">
      <w:start w:val="1"/>
      <w:numFmt w:val="bullet"/>
      <w:lvlText w:val="o"/>
      <w:lvlJc w:val="left"/>
      <w:pPr>
        <w:ind w:left="3600" w:hanging="360"/>
      </w:pPr>
      <w:rPr>
        <w:rFonts w:ascii="Courier New" w:hAnsi="Courier New" w:hint="default"/>
      </w:rPr>
    </w:lvl>
    <w:lvl w:ilvl="5" w:tplc="86AE42A4">
      <w:start w:val="1"/>
      <w:numFmt w:val="bullet"/>
      <w:lvlText w:val=""/>
      <w:lvlJc w:val="left"/>
      <w:pPr>
        <w:ind w:left="4320" w:hanging="360"/>
      </w:pPr>
      <w:rPr>
        <w:rFonts w:ascii="Wingdings" w:hAnsi="Wingdings" w:hint="default"/>
      </w:rPr>
    </w:lvl>
    <w:lvl w:ilvl="6" w:tplc="F86CF0C0">
      <w:start w:val="1"/>
      <w:numFmt w:val="bullet"/>
      <w:lvlText w:val=""/>
      <w:lvlJc w:val="left"/>
      <w:pPr>
        <w:ind w:left="5040" w:hanging="360"/>
      </w:pPr>
      <w:rPr>
        <w:rFonts w:ascii="Symbol" w:hAnsi="Symbol" w:hint="default"/>
      </w:rPr>
    </w:lvl>
    <w:lvl w:ilvl="7" w:tplc="7E1A0894">
      <w:start w:val="1"/>
      <w:numFmt w:val="bullet"/>
      <w:lvlText w:val="o"/>
      <w:lvlJc w:val="left"/>
      <w:pPr>
        <w:ind w:left="5760" w:hanging="360"/>
      </w:pPr>
      <w:rPr>
        <w:rFonts w:ascii="Courier New" w:hAnsi="Courier New" w:hint="default"/>
      </w:rPr>
    </w:lvl>
    <w:lvl w:ilvl="8" w:tplc="6EE01D94">
      <w:start w:val="1"/>
      <w:numFmt w:val="bullet"/>
      <w:lvlText w:val=""/>
      <w:lvlJc w:val="left"/>
      <w:pPr>
        <w:ind w:left="6480" w:hanging="360"/>
      </w:pPr>
      <w:rPr>
        <w:rFonts w:ascii="Wingdings" w:hAnsi="Wingdings" w:hint="default"/>
      </w:rPr>
    </w:lvl>
  </w:abstractNum>
  <w:abstractNum w:abstractNumId="29" w15:restartNumberingAfterBreak="0">
    <w:nsid w:val="3A9F32DA"/>
    <w:multiLevelType w:val="hybridMultilevel"/>
    <w:tmpl w:val="FFFFFFFF"/>
    <w:lvl w:ilvl="0" w:tplc="38F431C2">
      <w:start w:val="1"/>
      <w:numFmt w:val="bullet"/>
      <w:lvlText w:val=""/>
      <w:lvlJc w:val="left"/>
      <w:pPr>
        <w:ind w:left="720" w:hanging="360"/>
      </w:pPr>
      <w:rPr>
        <w:rFonts w:ascii="Symbol" w:hAnsi="Symbol" w:hint="default"/>
      </w:rPr>
    </w:lvl>
    <w:lvl w:ilvl="1" w:tplc="3B2C8F22">
      <w:start w:val="1"/>
      <w:numFmt w:val="bullet"/>
      <w:lvlText w:val="o"/>
      <w:lvlJc w:val="left"/>
      <w:pPr>
        <w:ind w:left="1440" w:hanging="360"/>
      </w:pPr>
      <w:rPr>
        <w:rFonts w:ascii="Courier New" w:hAnsi="Courier New" w:hint="default"/>
      </w:rPr>
    </w:lvl>
    <w:lvl w:ilvl="2" w:tplc="7D1C1D74">
      <w:start w:val="1"/>
      <w:numFmt w:val="bullet"/>
      <w:lvlText w:val=""/>
      <w:lvlJc w:val="left"/>
      <w:pPr>
        <w:ind w:left="2160" w:hanging="360"/>
      </w:pPr>
      <w:rPr>
        <w:rFonts w:ascii="Wingdings" w:hAnsi="Wingdings" w:hint="default"/>
      </w:rPr>
    </w:lvl>
    <w:lvl w:ilvl="3" w:tplc="43AEC92E">
      <w:start w:val="1"/>
      <w:numFmt w:val="bullet"/>
      <w:lvlText w:val=""/>
      <w:lvlJc w:val="left"/>
      <w:pPr>
        <w:ind w:left="2880" w:hanging="360"/>
      </w:pPr>
      <w:rPr>
        <w:rFonts w:ascii="Symbol" w:hAnsi="Symbol" w:hint="default"/>
      </w:rPr>
    </w:lvl>
    <w:lvl w:ilvl="4" w:tplc="935A633A">
      <w:start w:val="1"/>
      <w:numFmt w:val="bullet"/>
      <w:lvlText w:val="o"/>
      <w:lvlJc w:val="left"/>
      <w:pPr>
        <w:ind w:left="3600" w:hanging="360"/>
      </w:pPr>
      <w:rPr>
        <w:rFonts w:ascii="Courier New" w:hAnsi="Courier New" w:hint="default"/>
      </w:rPr>
    </w:lvl>
    <w:lvl w:ilvl="5" w:tplc="284C56AC">
      <w:start w:val="1"/>
      <w:numFmt w:val="bullet"/>
      <w:lvlText w:val=""/>
      <w:lvlJc w:val="left"/>
      <w:pPr>
        <w:ind w:left="4320" w:hanging="360"/>
      </w:pPr>
      <w:rPr>
        <w:rFonts w:ascii="Wingdings" w:hAnsi="Wingdings" w:hint="default"/>
      </w:rPr>
    </w:lvl>
    <w:lvl w:ilvl="6" w:tplc="6E96F6D0">
      <w:start w:val="1"/>
      <w:numFmt w:val="bullet"/>
      <w:lvlText w:val=""/>
      <w:lvlJc w:val="left"/>
      <w:pPr>
        <w:ind w:left="5040" w:hanging="360"/>
      </w:pPr>
      <w:rPr>
        <w:rFonts w:ascii="Symbol" w:hAnsi="Symbol" w:hint="default"/>
      </w:rPr>
    </w:lvl>
    <w:lvl w:ilvl="7" w:tplc="4C500CD8">
      <w:start w:val="1"/>
      <w:numFmt w:val="bullet"/>
      <w:lvlText w:val="o"/>
      <w:lvlJc w:val="left"/>
      <w:pPr>
        <w:ind w:left="5760" w:hanging="360"/>
      </w:pPr>
      <w:rPr>
        <w:rFonts w:ascii="Courier New" w:hAnsi="Courier New" w:hint="default"/>
      </w:rPr>
    </w:lvl>
    <w:lvl w:ilvl="8" w:tplc="FAB0C06C">
      <w:start w:val="1"/>
      <w:numFmt w:val="bullet"/>
      <w:lvlText w:val=""/>
      <w:lvlJc w:val="left"/>
      <w:pPr>
        <w:ind w:left="6480" w:hanging="360"/>
      </w:pPr>
      <w:rPr>
        <w:rFonts w:ascii="Wingdings" w:hAnsi="Wingdings" w:hint="default"/>
      </w:rPr>
    </w:lvl>
  </w:abstractNum>
  <w:abstractNum w:abstractNumId="30" w15:restartNumberingAfterBreak="0">
    <w:nsid w:val="40774C24"/>
    <w:multiLevelType w:val="multilevel"/>
    <w:tmpl w:val="742AF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21972D8"/>
    <w:multiLevelType w:val="hybridMultilevel"/>
    <w:tmpl w:val="FFFFFFFF"/>
    <w:lvl w:ilvl="0" w:tplc="18863CAC">
      <w:start w:val="1"/>
      <w:numFmt w:val="bullet"/>
      <w:lvlText w:val=""/>
      <w:lvlJc w:val="left"/>
      <w:pPr>
        <w:ind w:left="720" w:hanging="360"/>
      </w:pPr>
      <w:rPr>
        <w:rFonts w:ascii="Symbol" w:hAnsi="Symbol" w:hint="default"/>
      </w:rPr>
    </w:lvl>
    <w:lvl w:ilvl="1" w:tplc="F31C24B8">
      <w:start w:val="1"/>
      <w:numFmt w:val="bullet"/>
      <w:lvlText w:val="o"/>
      <w:lvlJc w:val="left"/>
      <w:pPr>
        <w:ind w:left="1440" w:hanging="360"/>
      </w:pPr>
      <w:rPr>
        <w:rFonts w:ascii="Courier New" w:hAnsi="Courier New" w:hint="default"/>
      </w:rPr>
    </w:lvl>
    <w:lvl w:ilvl="2" w:tplc="0390E99A">
      <w:start w:val="1"/>
      <w:numFmt w:val="bullet"/>
      <w:lvlText w:val=""/>
      <w:lvlJc w:val="left"/>
      <w:pPr>
        <w:ind w:left="2160" w:hanging="360"/>
      </w:pPr>
      <w:rPr>
        <w:rFonts w:ascii="Wingdings" w:hAnsi="Wingdings" w:hint="default"/>
      </w:rPr>
    </w:lvl>
    <w:lvl w:ilvl="3" w:tplc="688C1888">
      <w:start w:val="1"/>
      <w:numFmt w:val="bullet"/>
      <w:lvlText w:val=""/>
      <w:lvlJc w:val="left"/>
      <w:pPr>
        <w:ind w:left="2880" w:hanging="360"/>
      </w:pPr>
      <w:rPr>
        <w:rFonts w:ascii="Symbol" w:hAnsi="Symbol" w:hint="default"/>
      </w:rPr>
    </w:lvl>
    <w:lvl w:ilvl="4" w:tplc="8DE643A6">
      <w:start w:val="1"/>
      <w:numFmt w:val="bullet"/>
      <w:lvlText w:val="o"/>
      <w:lvlJc w:val="left"/>
      <w:pPr>
        <w:ind w:left="3600" w:hanging="360"/>
      </w:pPr>
      <w:rPr>
        <w:rFonts w:ascii="Courier New" w:hAnsi="Courier New" w:hint="default"/>
      </w:rPr>
    </w:lvl>
    <w:lvl w:ilvl="5" w:tplc="C194030E">
      <w:start w:val="1"/>
      <w:numFmt w:val="bullet"/>
      <w:lvlText w:val=""/>
      <w:lvlJc w:val="left"/>
      <w:pPr>
        <w:ind w:left="4320" w:hanging="360"/>
      </w:pPr>
      <w:rPr>
        <w:rFonts w:ascii="Wingdings" w:hAnsi="Wingdings" w:hint="default"/>
      </w:rPr>
    </w:lvl>
    <w:lvl w:ilvl="6" w:tplc="ADF64D4E">
      <w:start w:val="1"/>
      <w:numFmt w:val="bullet"/>
      <w:lvlText w:val=""/>
      <w:lvlJc w:val="left"/>
      <w:pPr>
        <w:ind w:left="5040" w:hanging="360"/>
      </w:pPr>
      <w:rPr>
        <w:rFonts w:ascii="Symbol" w:hAnsi="Symbol" w:hint="default"/>
      </w:rPr>
    </w:lvl>
    <w:lvl w:ilvl="7" w:tplc="0CBC057E">
      <w:start w:val="1"/>
      <w:numFmt w:val="bullet"/>
      <w:lvlText w:val="o"/>
      <w:lvlJc w:val="left"/>
      <w:pPr>
        <w:ind w:left="5760" w:hanging="360"/>
      </w:pPr>
      <w:rPr>
        <w:rFonts w:ascii="Courier New" w:hAnsi="Courier New" w:hint="default"/>
      </w:rPr>
    </w:lvl>
    <w:lvl w:ilvl="8" w:tplc="F7A65F2E">
      <w:start w:val="1"/>
      <w:numFmt w:val="bullet"/>
      <w:lvlText w:val=""/>
      <w:lvlJc w:val="left"/>
      <w:pPr>
        <w:ind w:left="6480" w:hanging="360"/>
      </w:pPr>
      <w:rPr>
        <w:rFonts w:ascii="Wingdings" w:hAnsi="Wingdings" w:hint="default"/>
      </w:rPr>
    </w:lvl>
  </w:abstractNum>
  <w:abstractNum w:abstractNumId="32" w15:restartNumberingAfterBreak="0">
    <w:nsid w:val="43931206"/>
    <w:multiLevelType w:val="hybridMultilevel"/>
    <w:tmpl w:val="5B624E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458A0E7C"/>
    <w:multiLevelType w:val="multilevel"/>
    <w:tmpl w:val="DA70A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AA538F"/>
    <w:multiLevelType w:val="multilevel"/>
    <w:tmpl w:val="92987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F81725"/>
    <w:multiLevelType w:val="hybridMultilevel"/>
    <w:tmpl w:val="1A42D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97554BD"/>
    <w:multiLevelType w:val="hybridMultilevel"/>
    <w:tmpl w:val="45320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D8249D"/>
    <w:multiLevelType w:val="hybridMultilevel"/>
    <w:tmpl w:val="48009720"/>
    <w:lvl w:ilvl="0" w:tplc="99168846">
      <w:start w:val="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7D71CD"/>
    <w:multiLevelType w:val="hybridMultilevel"/>
    <w:tmpl w:val="A2CE64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C755B2E"/>
    <w:multiLevelType w:val="hybridMultilevel"/>
    <w:tmpl w:val="4C8E6476"/>
    <w:lvl w:ilvl="0" w:tplc="7864161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CDE2993"/>
    <w:multiLevelType w:val="hybridMultilevel"/>
    <w:tmpl w:val="FFFFFFFF"/>
    <w:lvl w:ilvl="0" w:tplc="5856676A">
      <w:start w:val="1"/>
      <w:numFmt w:val="bullet"/>
      <w:lvlText w:val=""/>
      <w:lvlJc w:val="left"/>
      <w:pPr>
        <w:ind w:left="720" w:hanging="360"/>
      </w:pPr>
      <w:rPr>
        <w:rFonts w:ascii="Symbol" w:hAnsi="Symbol" w:hint="default"/>
      </w:rPr>
    </w:lvl>
    <w:lvl w:ilvl="1" w:tplc="CA4ECD4E">
      <w:start w:val="1"/>
      <w:numFmt w:val="bullet"/>
      <w:lvlText w:val="o"/>
      <w:lvlJc w:val="left"/>
      <w:pPr>
        <w:ind w:left="1440" w:hanging="360"/>
      </w:pPr>
      <w:rPr>
        <w:rFonts w:ascii="Courier New" w:hAnsi="Courier New" w:hint="default"/>
      </w:rPr>
    </w:lvl>
    <w:lvl w:ilvl="2" w:tplc="E32CB042">
      <w:start w:val="1"/>
      <w:numFmt w:val="bullet"/>
      <w:lvlText w:val=""/>
      <w:lvlJc w:val="left"/>
      <w:pPr>
        <w:ind w:left="2160" w:hanging="360"/>
      </w:pPr>
      <w:rPr>
        <w:rFonts w:ascii="Wingdings" w:hAnsi="Wingdings" w:hint="default"/>
      </w:rPr>
    </w:lvl>
    <w:lvl w:ilvl="3" w:tplc="4AD2B322">
      <w:start w:val="1"/>
      <w:numFmt w:val="bullet"/>
      <w:lvlText w:val=""/>
      <w:lvlJc w:val="left"/>
      <w:pPr>
        <w:ind w:left="2880" w:hanging="360"/>
      </w:pPr>
      <w:rPr>
        <w:rFonts w:ascii="Symbol" w:hAnsi="Symbol" w:hint="default"/>
      </w:rPr>
    </w:lvl>
    <w:lvl w:ilvl="4" w:tplc="C924F72E">
      <w:start w:val="1"/>
      <w:numFmt w:val="bullet"/>
      <w:lvlText w:val="o"/>
      <w:lvlJc w:val="left"/>
      <w:pPr>
        <w:ind w:left="3600" w:hanging="360"/>
      </w:pPr>
      <w:rPr>
        <w:rFonts w:ascii="Courier New" w:hAnsi="Courier New" w:hint="default"/>
      </w:rPr>
    </w:lvl>
    <w:lvl w:ilvl="5" w:tplc="650AB9BC">
      <w:start w:val="1"/>
      <w:numFmt w:val="bullet"/>
      <w:lvlText w:val=""/>
      <w:lvlJc w:val="left"/>
      <w:pPr>
        <w:ind w:left="4320" w:hanging="360"/>
      </w:pPr>
      <w:rPr>
        <w:rFonts w:ascii="Wingdings" w:hAnsi="Wingdings" w:hint="default"/>
      </w:rPr>
    </w:lvl>
    <w:lvl w:ilvl="6" w:tplc="1022653A">
      <w:start w:val="1"/>
      <w:numFmt w:val="bullet"/>
      <w:lvlText w:val=""/>
      <w:lvlJc w:val="left"/>
      <w:pPr>
        <w:ind w:left="5040" w:hanging="360"/>
      </w:pPr>
      <w:rPr>
        <w:rFonts w:ascii="Symbol" w:hAnsi="Symbol" w:hint="default"/>
      </w:rPr>
    </w:lvl>
    <w:lvl w:ilvl="7" w:tplc="EDA21470">
      <w:start w:val="1"/>
      <w:numFmt w:val="bullet"/>
      <w:lvlText w:val="o"/>
      <w:lvlJc w:val="left"/>
      <w:pPr>
        <w:ind w:left="5760" w:hanging="360"/>
      </w:pPr>
      <w:rPr>
        <w:rFonts w:ascii="Courier New" w:hAnsi="Courier New" w:hint="default"/>
      </w:rPr>
    </w:lvl>
    <w:lvl w:ilvl="8" w:tplc="6798889E">
      <w:start w:val="1"/>
      <w:numFmt w:val="bullet"/>
      <w:lvlText w:val=""/>
      <w:lvlJc w:val="left"/>
      <w:pPr>
        <w:ind w:left="6480" w:hanging="360"/>
      </w:pPr>
      <w:rPr>
        <w:rFonts w:ascii="Wingdings" w:hAnsi="Wingdings" w:hint="default"/>
      </w:rPr>
    </w:lvl>
  </w:abstractNum>
  <w:abstractNum w:abstractNumId="41" w15:restartNumberingAfterBreak="0">
    <w:nsid w:val="4FA24952"/>
    <w:multiLevelType w:val="hybridMultilevel"/>
    <w:tmpl w:val="15BC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773996"/>
    <w:multiLevelType w:val="hybridMultilevel"/>
    <w:tmpl w:val="9AE01962"/>
    <w:lvl w:ilvl="0" w:tplc="77D0DD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53813BD3"/>
    <w:multiLevelType w:val="multilevel"/>
    <w:tmpl w:val="926473C2"/>
    <w:lvl w:ilvl="0">
      <w:start w:val="1"/>
      <w:numFmt w:val="lowerRoman"/>
      <w:lvlText w:val="(%1)"/>
      <w:lvlJc w:val="left"/>
      <w:pPr>
        <w:tabs>
          <w:tab w:val="num" w:pos="360"/>
        </w:tabs>
        <w:ind w:left="360" w:hanging="360"/>
      </w:pPr>
      <w:rPr>
        <w:rFonts w:hint="default"/>
      </w:rPr>
    </w:lvl>
    <w:lvl w:ilvl="1">
      <w:start w:val="1"/>
      <w:numFmt w:val="lowerRoman"/>
      <w:lvlText w:val="(%2)"/>
      <w:lvlJc w:val="left"/>
      <w:pPr>
        <w:ind w:left="1440" w:hanging="720"/>
      </w:pPr>
      <w:rPr>
        <w:rFonts w:hint="default"/>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55642898"/>
    <w:multiLevelType w:val="hybridMultilevel"/>
    <w:tmpl w:val="186C4460"/>
    <w:lvl w:ilvl="0" w:tplc="0809001B">
      <w:start w:val="1"/>
      <w:numFmt w:val="lowerRoman"/>
      <w:lvlText w:val="%1."/>
      <w:lvlJc w:val="righ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360"/>
      </w:p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5C700E8B"/>
    <w:multiLevelType w:val="hybridMultilevel"/>
    <w:tmpl w:val="57781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3A15B17"/>
    <w:multiLevelType w:val="multilevel"/>
    <w:tmpl w:val="A25C47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49337BD"/>
    <w:multiLevelType w:val="hybridMultilevel"/>
    <w:tmpl w:val="A37EB6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65EC6987"/>
    <w:multiLevelType w:val="multilevel"/>
    <w:tmpl w:val="38FA1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096C63"/>
    <w:multiLevelType w:val="hybridMultilevel"/>
    <w:tmpl w:val="D4F66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F42741E"/>
    <w:multiLevelType w:val="multilevel"/>
    <w:tmpl w:val="EA461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4540296"/>
    <w:multiLevelType w:val="hybridMultilevel"/>
    <w:tmpl w:val="B324DF4A"/>
    <w:lvl w:ilvl="0" w:tplc="0809000F">
      <w:start w:val="1"/>
      <w:numFmt w:val="decimal"/>
      <w:lvlText w:val="%1."/>
      <w:lvlJc w:val="left"/>
      <w:pPr>
        <w:ind w:left="720" w:hanging="360"/>
      </w:pPr>
    </w:lvl>
    <w:lvl w:ilvl="1" w:tplc="9AB0BD80">
      <w:start w:val="1"/>
      <w:numFmt w:val="upperLetter"/>
      <w:lvlText w:val="%2."/>
      <w:lvlJc w:val="left"/>
      <w:pPr>
        <w:ind w:left="1440" w:hanging="360"/>
      </w:pPr>
      <w:rPr>
        <w:color w:val="000000"/>
        <w:sz w:val="24"/>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2" w15:restartNumberingAfterBreak="0">
    <w:nsid w:val="784C59DB"/>
    <w:multiLevelType w:val="hybridMultilevel"/>
    <w:tmpl w:val="774ADB38"/>
    <w:lvl w:ilvl="0" w:tplc="E1344B82">
      <w:start w:val="1"/>
      <w:numFmt w:val="decimal"/>
      <w:lvlText w:val="%1."/>
      <w:lvlJc w:val="left"/>
      <w:pPr>
        <w:ind w:left="720" w:hanging="360"/>
      </w:pPr>
      <w:rPr>
        <w:rFonts w:asciiTheme="minorHAnsi" w:eastAsia="Times New Roman"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8AC420C"/>
    <w:multiLevelType w:val="multilevel"/>
    <w:tmpl w:val="68725BE8"/>
    <w:lvl w:ilvl="0">
      <w:start w:val="2"/>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8CF70CA"/>
    <w:multiLevelType w:val="hybridMultilevel"/>
    <w:tmpl w:val="7332A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A4448F1"/>
    <w:multiLevelType w:val="hybridMultilevel"/>
    <w:tmpl w:val="DE4C992E"/>
    <w:lvl w:ilvl="0" w:tplc="08090001">
      <w:start w:val="1"/>
      <w:numFmt w:val="bullet"/>
      <w:lvlText w:val=""/>
      <w:lvlJc w:val="left"/>
      <w:pPr>
        <w:ind w:left="2771" w:hanging="360"/>
      </w:pPr>
      <w:rPr>
        <w:rFonts w:ascii="Symbol" w:hAnsi="Symbol" w:hint="default"/>
      </w:rPr>
    </w:lvl>
    <w:lvl w:ilvl="1" w:tplc="08090003">
      <w:start w:val="1"/>
      <w:numFmt w:val="bullet"/>
      <w:lvlText w:val="o"/>
      <w:lvlJc w:val="left"/>
      <w:pPr>
        <w:ind w:left="3491" w:hanging="360"/>
      </w:pPr>
      <w:rPr>
        <w:rFonts w:ascii="Courier New" w:hAnsi="Courier New" w:cs="Courier New" w:hint="default"/>
      </w:rPr>
    </w:lvl>
    <w:lvl w:ilvl="2" w:tplc="08090005">
      <w:start w:val="1"/>
      <w:numFmt w:val="bullet"/>
      <w:lvlText w:val=""/>
      <w:lvlJc w:val="left"/>
      <w:pPr>
        <w:ind w:left="4211" w:hanging="360"/>
      </w:pPr>
      <w:rPr>
        <w:rFonts w:ascii="Wingdings" w:hAnsi="Wingdings" w:hint="default"/>
      </w:rPr>
    </w:lvl>
    <w:lvl w:ilvl="3" w:tplc="08090001">
      <w:start w:val="1"/>
      <w:numFmt w:val="bullet"/>
      <w:lvlText w:val=""/>
      <w:lvlJc w:val="left"/>
      <w:pPr>
        <w:ind w:left="4931" w:hanging="360"/>
      </w:pPr>
      <w:rPr>
        <w:rFonts w:ascii="Symbol" w:hAnsi="Symbol" w:hint="default"/>
      </w:rPr>
    </w:lvl>
    <w:lvl w:ilvl="4" w:tplc="08090003">
      <w:start w:val="1"/>
      <w:numFmt w:val="bullet"/>
      <w:lvlText w:val="o"/>
      <w:lvlJc w:val="left"/>
      <w:pPr>
        <w:ind w:left="5651" w:hanging="360"/>
      </w:pPr>
      <w:rPr>
        <w:rFonts w:ascii="Courier New" w:hAnsi="Courier New" w:cs="Courier New" w:hint="default"/>
      </w:rPr>
    </w:lvl>
    <w:lvl w:ilvl="5" w:tplc="08090005">
      <w:start w:val="1"/>
      <w:numFmt w:val="bullet"/>
      <w:lvlText w:val=""/>
      <w:lvlJc w:val="left"/>
      <w:pPr>
        <w:ind w:left="6371" w:hanging="360"/>
      </w:pPr>
      <w:rPr>
        <w:rFonts w:ascii="Wingdings" w:hAnsi="Wingdings" w:hint="default"/>
      </w:rPr>
    </w:lvl>
    <w:lvl w:ilvl="6" w:tplc="08090001">
      <w:start w:val="1"/>
      <w:numFmt w:val="bullet"/>
      <w:lvlText w:val=""/>
      <w:lvlJc w:val="left"/>
      <w:pPr>
        <w:ind w:left="7091" w:hanging="360"/>
      </w:pPr>
      <w:rPr>
        <w:rFonts w:ascii="Symbol" w:hAnsi="Symbol" w:hint="default"/>
      </w:rPr>
    </w:lvl>
    <w:lvl w:ilvl="7" w:tplc="08090003">
      <w:start w:val="1"/>
      <w:numFmt w:val="bullet"/>
      <w:lvlText w:val="o"/>
      <w:lvlJc w:val="left"/>
      <w:pPr>
        <w:ind w:left="7811" w:hanging="360"/>
      </w:pPr>
      <w:rPr>
        <w:rFonts w:ascii="Courier New" w:hAnsi="Courier New" w:cs="Courier New" w:hint="default"/>
      </w:rPr>
    </w:lvl>
    <w:lvl w:ilvl="8" w:tplc="08090005">
      <w:start w:val="1"/>
      <w:numFmt w:val="bullet"/>
      <w:lvlText w:val=""/>
      <w:lvlJc w:val="left"/>
      <w:pPr>
        <w:ind w:left="8531" w:hanging="360"/>
      </w:pPr>
      <w:rPr>
        <w:rFonts w:ascii="Wingdings" w:hAnsi="Wingdings" w:hint="default"/>
      </w:rPr>
    </w:lvl>
  </w:abstractNum>
  <w:num w:numId="1" w16cid:durableId="17950563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873701">
    <w:abstractNumId w:val="41"/>
  </w:num>
  <w:num w:numId="3" w16cid:durableId="1999306756">
    <w:abstractNumId w:val="32"/>
  </w:num>
  <w:num w:numId="4" w16cid:durableId="2021227076">
    <w:abstractNumId w:val="48"/>
  </w:num>
  <w:num w:numId="5" w16cid:durableId="167335963">
    <w:abstractNumId w:val="12"/>
  </w:num>
  <w:num w:numId="6" w16cid:durableId="63529807">
    <w:abstractNumId w:val="5"/>
  </w:num>
  <w:num w:numId="7" w16cid:durableId="879366217">
    <w:abstractNumId w:val="16"/>
  </w:num>
  <w:num w:numId="8" w16cid:durableId="940644739">
    <w:abstractNumId w:val="15"/>
  </w:num>
  <w:num w:numId="9" w16cid:durableId="620503083">
    <w:abstractNumId w:val="26"/>
  </w:num>
  <w:num w:numId="10" w16cid:durableId="1894850422">
    <w:abstractNumId w:val="17"/>
  </w:num>
  <w:num w:numId="11" w16cid:durableId="59652559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1346174">
    <w:abstractNumId w:val="50"/>
  </w:num>
  <w:num w:numId="13" w16cid:durableId="2109495315">
    <w:abstractNumId w:val="14"/>
  </w:num>
  <w:num w:numId="14" w16cid:durableId="674698060">
    <w:abstractNumId w:val="46"/>
  </w:num>
  <w:num w:numId="15" w16cid:durableId="594246682">
    <w:abstractNumId w:val="33"/>
  </w:num>
  <w:num w:numId="16" w16cid:durableId="330136430">
    <w:abstractNumId w:val="30"/>
  </w:num>
  <w:num w:numId="17" w16cid:durableId="1669216076">
    <w:abstractNumId w:val="53"/>
  </w:num>
  <w:num w:numId="18" w16cid:durableId="1271818140">
    <w:abstractNumId w:val="0"/>
  </w:num>
  <w:num w:numId="19" w16cid:durableId="164711655">
    <w:abstractNumId w:val="34"/>
  </w:num>
  <w:num w:numId="20" w16cid:durableId="9392660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4370138">
    <w:abstractNumId w:val="22"/>
  </w:num>
  <w:num w:numId="22" w16cid:durableId="914825275">
    <w:abstractNumId w:val="42"/>
  </w:num>
  <w:num w:numId="23" w16cid:durableId="1027369654">
    <w:abstractNumId w:val="44"/>
    <w:lvlOverride w:ilvl="0">
      <w:startOverride w:val="1"/>
    </w:lvlOverride>
    <w:lvlOverride w:ilvl="1"/>
    <w:lvlOverride w:ilvl="2">
      <w:startOverride w:val="1"/>
    </w:lvlOverride>
    <w:lvlOverride w:ilvl="3"/>
    <w:lvlOverride w:ilvl="4"/>
    <w:lvlOverride w:ilvl="5"/>
    <w:lvlOverride w:ilvl="6"/>
    <w:lvlOverride w:ilvl="7"/>
    <w:lvlOverride w:ilvl="8"/>
  </w:num>
  <w:num w:numId="24" w16cid:durableId="691877284">
    <w:abstractNumId w:val="43"/>
  </w:num>
  <w:num w:numId="25" w16cid:durableId="1136408956">
    <w:abstractNumId w:val="4"/>
  </w:num>
  <w:num w:numId="26" w16cid:durableId="2081058053">
    <w:abstractNumId w:val="38"/>
  </w:num>
  <w:num w:numId="27" w16cid:durableId="1964996693">
    <w:abstractNumId w:val="52"/>
  </w:num>
  <w:num w:numId="28" w16cid:durableId="42292453">
    <w:abstractNumId w:val="54"/>
  </w:num>
  <w:num w:numId="29" w16cid:durableId="1895197582">
    <w:abstractNumId w:val="21"/>
  </w:num>
  <w:num w:numId="30" w16cid:durableId="795638291">
    <w:abstractNumId w:val="7"/>
  </w:num>
  <w:num w:numId="31" w16cid:durableId="2018656738">
    <w:abstractNumId w:val="10"/>
  </w:num>
  <w:num w:numId="32" w16cid:durableId="1014649812">
    <w:abstractNumId w:val="37"/>
  </w:num>
  <w:num w:numId="33" w16cid:durableId="731125894">
    <w:abstractNumId w:val="9"/>
  </w:num>
  <w:num w:numId="34" w16cid:durableId="1779788468">
    <w:abstractNumId w:val="20"/>
  </w:num>
  <w:num w:numId="35" w16cid:durableId="349332578">
    <w:abstractNumId w:val="39"/>
  </w:num>
  <w:num w:numId="36" w16cid:durableId="759066287">
    <w:abstractNumId w:val="45"/>
  </w:num>
  <w:num w:numId="37" w16cid:durableId="900336101">
    <w:abstractNumId w:val="2"/>
  </w:num>
  <w:num w:numId="38" w16cid:durableId="1475758497">
    <w:abstractNumId w:val="23"/>
  </w:num>
  <w:num w:numId="39" w16cid:durableId="2072532930">
    <w:abstractNumId w:val="35"/>
  </w:num>
  <w:num w:numId="40" w16cid:durableId="1494685257">
    <w:abstractNumId w:val="49"/>
  </w:num>
  <w:num w:numId="41" w16cid:durableId="439885032">
    <w:abstractNumId w:val="36"/>
  </w:num>
  <w:num w:numId="42" w16cid:durableId="833569008">
    <w:abstractNumId w:val="19"/>
  </w:num>
  <w:num w:numId="43" w16cid:durableId="21348660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6602331">
    <w:abstractNumId w:val="55"/>
  </w:num>
  <w:num w:numId="45" w16cid:durableId="1408067521">
    <w:abstractNumId w:val="35"/>
  </w:num>
  <w:num w:numId="46" w16cid:durableId="11592310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9856753">
    <w:abstractNumId w:val="8"/>
  </w:num>
  <w:num w:numId="48" w16cid:durableId="796604939">
    <w:abstractNumId w:val="29"/>
  </w:num>
  <w:num w:numId="49" w16cid:durableId="161161267">
    <w:abstractNumId w:val="40"/>
  </w:num>
  <w:num w:numId="50" w16cid:durableId="433865833">
    <w:abstractNumId w:val="24"/>
  </w:num>
  <w:num w:numId="51" w16cid:durableId="701636240">
    <w:abstractNumId w:val="28"/>
  </w:num>
  <w:num w:numId="52" w16cid:durableId="1725834814">
    <w:abstractNumId w:val="31"/>
  </w:num>
  <w:num w:numId="53" w16cid:durableId="1473449891">
    <w:abstractNumId w:val="3"/>
  </w:num>
  <w:num w:numId="54" w16cid:durableId="65686947">
    <w:abstractNumId w:val="6"/>
  </w:num>
  <w:num w:numId="55" w16cid:durableId="1622347153">
    <w:abstractNumId w:val="27"/>
  </w:num>
  <w:num w:numId="56" w16cid:durableId="391778309">
    <w:abstractNumId w:val="1"/>
  </w:num>
  <w:num w:numId="57" w16cid:durableId="37825927">
    <w:abstractNumId w:val="18"/>
  </w:num>
  <w:num w:numId="58" w16cid:durableId="1240335909">
    <w:abstractNumId w:val="1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otley@prepressprojects.onmicrosoft.com::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1&lt;/LineSpacing&gt;&lt;SpaceAfter&gt;1&lt;/SpaceAfter&gt;&lt;HyperlinksEnabled&gt;0&lt;/HyperlinksEnabled&gt;&lt;HyperlinksVisible&gt;0&lt;/HyperlinksVisible&gt;&lt;EnableBibliographyCategories&gt;0&lt;/EnableBibliographyCategories&gt;&lt;/ENLayout&gt;"/>
    <w:docVar w:name="EN.Libraries" w:val="&lt;Libraries&gt;&lt;item db-id=&quot;e5r9rvwr3wzde8esefqvpvx0sxdpdp2zffxa&quot;&gt;ESORT EndNote Library&lt;record-ids&gt;&lt;item&gt;2&lt;/item&gt;&lt;item&gt;3&lt;/item&gt;&lt;item&gt;4&lt;/item&gt;&lt;item&gt;7&lt;/item&gt;&lt;item&gt;8&lt;/item&gt;&lt;item&gt;9&lt;/item&gt;&lt;item&gt;11&lt;/item&gt;&lt;item&gt;12&lt;/item&gt;&lt;item&gt;14&lt;/item&gt;&lt;item&gt;15&lt;/item&gt;&lt;item&gt;16&lt;/item&gt;&lt;item&gt;17&lt;/item&gt;&lt;item&gt;18&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95&lt;/item&gt;&lt;item&gt;96&lt;/item&gt;&lt;item&gt;97&lt;/item&gt;&lt;item&gt;98&lt;/item&gt;&lt;item&gt;99&lt;/item&gt;&lt;item&gt;100&lt;/item&gt;&lt;item&gt;101&lt;/item&gt;&lt;item&gt;102&lt;/item&gt;&lt;item&gt;103&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9&lt;/item&gt;&lt;item&gt;140&lt;/item&gt;&lt;item&gt;141&lt;/item&gt;&lt;item&gt;142&lt;/item&gt;&lt;item&gt;143&lt;/item&gt;&lt;item&gt;144&lt;/item&gt;&lt;item&gt;145&lt;/item&gt;&lt;item&gt;146&lt;/item&gt;&lt;item&gt;147&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1&lt;/item&gt;&lt;item&gt;182&lt;/item&gt;&lt;item&gt;183&lt;/item&gt;&lt;item&gt;184&lt;/item&gt;&lt;item&gt;185&lt;/item&gt;&lt;item&gt;186&lt;/item&gt;&lt;item&gt;187&lt;/item&gt;&lt;item&gt;188&lt;/item&gt;&lt;item&gt;189&lt;/item&gt;&lt;item&gt;190&lt;/item&gt;&lt;item&gt;191&lt;/item&gt;&lt;item&gt;192&lt;/item&gt;&lt;item&gt;193&lt;/item&gt;&lt;/record-ids&gt;&lt;/item&gt;&lt;/Libraries&gt;"/>
  </w:docVars>
  <w:rsids>
    <w:rsidRoot w:val="00B543AE"/>
    <w:rsid w:val="000000E2"/>
    <w:rsid w:val="000004D9"/>
    <w:rsid w:val="00000947"/>
    <w:rsid w:val="00001B1C"/>
    <w:rsid w:val="00002134"/>
    <w:rsid w:val="000033CB"/>
    <w:rsid w:val="00006433"/>
    <w:rsid w:val="0000649B"/>
    <w:rsid w:val="00006560"/>
    <w:rsid w:val="000070FF"/>
    <w:rsid w:val="00007775"/>
    <w:rsid w:val="0001077D"/>
    <w:rsid w:val="0001192C"/>
    <w:rsid w:val="00013CA3"/>
    <w:rsid w:val="00014215"/>
    <w:rsid w:val="000154D2"/>
    <w:rsid w:val="00015852"/>
    <w:rsid w:val="00016968"/>
    <w:rsid w:val="0001753C"/>
    <w:rsid w:val="00017D43"/>
    <w:rsid w:val="0002063C"/>
    <w:rsid w:val="00020A76"/>
    <w:rsid w:val="00020B96"/>
    <w:rsid w:val="00020BFC"/>
    <w:rsid w:val="00021F65"/>
    <w:rsid w:val="000228BA"/>
    <w:rsid w:val="000229FD"/>
    <w:rsid w:val="00023BF7"/>
    <w:rsid w:val="00024A7E"/>
    <w:rsid w:val="00024FDE"/>
    <w:rsid w:val="000250A0"/>
    <w:rsid w:val="0002556C"/>
    <w:rsid w:val="00025DAD"/>
    <w:rsid w:val="00027B53"/>
    <w:rsid w:val="00027B7F"/>
    <w:rsid w:val="0003116D"/>
    <w:rsid w:val="00031D0E"/>
    <w:rsid w:val="000329DE"/>
    <w:rsid w:val="0003583E"/>
    <w:rsid w:val="0003609B"/>
    <w:rsid w:val="0003651E"/>
    <w:rsid w:val="00037393"/>
    <w:rsid w:val="00040811"/>
    <w:rsid w:val="00041570"/>
    <w:rsid w:val="0004335D"/>
    <w:rsid w:val="00043CF6"/>
    <w:rsid w:val="000442CA"/>
    <w:rsid w:val="00044378"/>
    <w:rsid w:val="0004555A"/>
    <w:rsid w:val="000459D7"/>
    <w:rsid w:val="00046967"/>
    <w:rsid w:val="00050A5D"/>
    <w:rsid w:val="000511A2"/>
    <w:rsid w:val="0005277D"/>
    <w:rsid w:val="000542C5"/>
    <w:rsid w:val="00055DA3"/>
    <w:rsid w:val="00056E15"/>
    <w:rsid w:val="00057119"/>
    <w:rsid w:val="00057746"/>
    <w:rsid w:val="000602A8"/>
    <w:rsid w:val="00061432"/>
    <w:rsid w:val="000618FF"/>
    <w:rsid w:val="000641B3"/>
    <w:rsid w:val="0006491F"/>
    <w:rsid w:val="00070091"/>
    <w:rsid w:val="000717D2"/>
    <w:rsid w:val="00071898"/>
    <w:rsid w:val="000724DE"/>
    <w:rsid w:val="00073093"/>
    <w:rsid w:val="00075050"/>
    <w:rsid w:val="00075C6A"/>
    <w:rsid w:val="000767C0"/>
    <w:rsid w:val="00076921"/>
    <w:rsid w:val="00076D20"/>
    <w:rsid w:val="00077196"/>
    <w:rsid w:val="00077D25"/>
    <w:rsid w:val="00080B62"/>
    <w:rsid w:val="0008136F"/>
    <w:rsid w:val="00081689"/>
    <w:rsid w:val="00082084"/>
    <w:rsid w:val="00082118"/>
    <w:rsid w:val="00085543"/>
    <w:rsid w:val="000860FB"/>
    <w:rsid w:val="0008791A"/>
    <w:rsid w:val="00087CB4"/>
    <w:rsid w:val="00091318"/>
    <w:rsid w:val="0009240C"/>
    <w:rsid w:val="00094330"/>
    <w:rsid w:val="000952AD"/>
    <w:rsid w:val="000A04B9"/>
    <w:rsid w:val="000A1ACC"/>
    <w:rsid w:val="000A273F"/>
    <w:rsid w:val="000A298E"/>
    <w:rsid w:val="000A2B09"/>
    <w:rsid w:val="000A2BCA"/>
    <w:rsid w:val="000A2F40"/>
    <w:rsid w:val="000A3EAA"/>
    <w:rsid w:val="000A427F"/>
    <w:rsid w:val="000A4F54"/>
    <w:rsid w:val="000A5D59"/>
    <w:rsid w:val="000A5FEF"/>
    <w:rsid w:val="000A6B23"/>
    <w:rsid w:val="000A6CFE"/>
    <w:rsid w:val="000A75CB"/>
    <w:rsid w:val="000A7CAF"/>
    <w:rsid w:val="000B0181"/>
    <w:rsid w:val="000B2382"/>
    <w:rsid w:val="000B29B7"/>
    <w:rsid w:val="000B2E44"/>
    <w:rsid w:val="000B3CAD"/>
    <w:rsid w:val="000B3EC8"/>
    <w:rsid w:val="000B46CC"/>
    <w:rsid w:val="000B5A97"/>
    <w:rsid w:val="000B6A6A"/>
    <w:rsid w:val="000B75DA"/>
    <w:rsid w:val="000B7B7C"/>
    <w:rsid w:val="000B7DD8"/>
    <w:rsid w:val="000C0830"/>
    <w:rsid w:val="000C0CA9"/>
    <w:rsid w:val="000C0E03"/>
    <w:rsid w:val="000C0E55"/>
    <w:rsid w:val="000C14A0"/>
    <w:rsid w:val="000C187C"/>
    <w:rsid w:val="000C2085"/>
    <w:rsid w:val="000C22C6"/>
    <w:rsid w:val="000C2B1A"/>
    <w:rsid w:val="000C3ABF"/>
    <w:rsid w:val="000C4828"/>
    <w:rsid w:val="000C56D0"/>
    <w:rsid w:val="000C5C6B"/>
    <w:rsid w:val="000C7E95"/>
    <w:rsid w:val="000D295A"/>
    <w:rsid w:val="000D2E4A"/>
    <w:rsid w:val="000D3256"/>
    <w:rsid w:val="000D3A22"/>
    <w:rsid w:val="000D4D73"/>
    <w:rsid w:val="000D6401"/>
    <w:rsid w:val="000D7AEB"/>
    <w:rsid w:val="000E027D"/>
    <w:rsid w:val="000E1997"/>
    <w:rsid w:val="000E390D"/>
    <w:rsid w:val="000E3AA1"/>
    <w:rsid w:val="000E5542"/>
    <w:rsid w:val="000E5580"/>
    <w:rsid w:val="000E558C"/>
    <w:rsid w:val="000E705D"/>
    <w:rsid w:val="000E7112"/>
    <w:rsid w:val="000E71BA"/>
    <w:rsid w:val="000E771F"/>
    <w:rsid w:val="000F00BA"/>
    <w:rsid w:val="000F0F97"/>
    <w:rsid w:val="000F1686"/>
    <w:rsid w:val="000F4109"/>
    <w:rsid w:val="00101974"/>
    <w:rsid w:val="001027A8"/>
    <w:rsid w:val="0010341C"/>
    <w:rsid w:val="00103C89"/>
    <w:rsid w:val="001058B5"/>
    <w:rsid w:val="0011121B"/>
    <w:rsid w:val="001115EB"/>
    <w:rsid w:val="00111F5C"/>
    <w:rsid w:val="00112909"/>
    <w:rsid w:val="00113D42"/>
    <w:rsid w:val="00114784"/>
    <w:rsid w:val="00114F24"/>
    <w:rsid w:val="001150D6"/>
    <w:rsid w:val="00116E17"/>
    <w:rsid w:val="0012052D"/>
    <w:rsid w:val="0012177A"/>
    <w:rsid w:val="00121885"/>
    <w:rsid w:val="00121D11"/>
    <w:rsid w:val="00121F6A"/>
    <w:rsid w:val="00122571"/>
    <w:rsid w:val="00122A28"/>
    <w:rsid w:val="00123383"/>
    <w:rsid w:val="00123B2E"/>
    <w:rsid w:val="001244B7"/>
    <w:rsid w:val="00125CCF"/>
    <w:rsid w:val="00126328"/>
    <w:rsid w:val="00132873"/>
    <w:rsid w:val="0013529C"/>
    <w:rsid w:val="00135A18"/>
    <w:rsid w:val="001414C1"/>
    <w:rsid w:val="00141F8B"/>
    <w:rsid w:val="001420A4"/>
    <w:rsid w:val="00142B12"/>
    <w:rsid w:val="00143900"/>
    <w:rsid w:val="00143E7F"/>
    <w:rsid w:val="00145786"/>
    <w:rsid w:val="00145A91"/>
    <w:rsid w:val="00146B35"/>
    <w:rsid w:val="00146CBC"/>
    <w:rsid w:val="00147745"/>
    <w:rsid w:val="00147FA3"/>
    <w:rsid w:val="00150174"/>
    <w:rsid w:val="00153A11"/>
    <w:rsid w:val="00154476"/>
    <w:rsid w:val="0015533A"/>
    <w:rsid w:val="001565C2"/>
    <w:rsid w:val="001569AC"/>
    <w:rsid w:val="00156B85"/>
    <w:rsid w:val="0015705A"/>
    <w:rsid w:val="0015758B"/>
    <w:rsid w:val="00157B14"/>
    <w:rsid w:val="00157F07"/>
    <w:rsid w:val="001606F5"/>
    <w:rsid w:val="0016174B"/>
    <w:rsid w:val="00161C16"/>
    <w:rsid w:val="00162107"/>
    <w:rsid w:val="00162963"/>
    <w:rsid w:val="00162F4A"/>
    <w:rsid w:val="001635DE"/>
    <w:rsid w:val="00163872"/>
    <w:rsid w:val="0016428B"/>
    <w:rsid w:val="001647CE"/>
    <w:rsid w:val="001649DA"/>
    <w:rsid w:val="0016710B"/>
    <w:rsid w:val="00167316"/>
    <w:rsid w:val="0016764E"/>
    <w:rsid w:val="00171333"/>
    <w:rsid w:val="00172BCB"/>
    <w:rsid w:val="00173254"/>
    <w:rsid w:val="00173B4B"/>
    <w:rsid w:val="00173E48"/>
    <w:rsid w:val="00174176"/>
    <w:rsid w:val="00174269"/>
    <w:rsid w:val="00175204"/>
    <w:rsid w:val="0017657F"/>
    <w:rsid w:val="0017761A"/>
    <w:rsid w:val="001819BC"/>
    <w:rsid w:val="001846AB"/>
    <w:rsid w:val="00184D11"/>
    <w:rsid w:val="001852AB"/>
    <w:rsid w:val="001901F8"/>
    <w:rsid w:val="00192874"/>
    <w:rsid w:val="00192D47"/>
    <w:rsid w:val="0019384C"/>
    <w:rsid w:val="00194420"/>
    <w:rsid w:val="00194F23"/>
    <w:rsid w:val="00194F69"/>
    <w:rsid w:val="001951D1"/>
    <w:rsid w:val="0019540C"/>
    <w:rsid w:val="001969BB"/>
    <w:rsid w:val="001A2817"/>
    <w:rsid w:val="001A4C6A"/>
    <w:rsid w:val="001A4E79"/>
    <w:rsid w:val="001A610D"/>
    <w:rsid w:val="001A7500"/>
    <w:rsid w:val="001B0035"/>
    <w:rsid w:val="001B0201"/>
    <w:rsid w:val="001B04D3"/>
    <w:rsid w:val="001B0679"/>
    <w:rsid w:val="001B0AD9"/>
    <w:rsid w:val="001B194E"/>
    <w:rsid w:val="001B2851"/>
    <w:rsid w:val="001B2E3F"/>
    <w:rsid w:val="001B3391"/>
    <w:rsid w:val="001B3D13"/>
    <w:rsid w:val="001B7287"/>
    <w:rsid w:val="001B77C1"/>
    <w:rsid w:val="001C01D8"/>
    <w:rsid w:val="001C32E5"/>
    <w:rsid w:val="001C3325"/>
    <w:rsid w:val="001C3912"/>
    <w:rsid w:val="001C40AB"/>
    <w:rsid w:val="001C6C1C"/>
    <w:rsid w:val="001C712F"/>
    <w:rsid w:val="001C7D6D"/>
    <w:rsid w:val="001D0314"/>
    <w:rsid w:val="001D2EE6"/>
    <w:rsid w:val="001D49C8"/>
    <w:rsid w:val="001D4C37"/>
    <w:rsid w:val="001D518A"/>
    <w:rsid w:val="001D7FC0"/>
    <w:rsid w:val="001E0215"/>
    <w:rsid w:val="001E0F92"/>
    <w:rsid w:val="001E166A"/>
    <w:rsid w:val="001E3568"/>
    <w:rsid w:val="001E4352"/>
    <w:rsid w:val="001E5846"/>
    <w:rsid w:val="001E6D4C"/>
    <w:rsid w:val="001F019B"/>
    <w:rsid w:val="001F0B2F"/>
    <w:rsid w:val="001F21B0"/>
    <w:rsid w:val="001F21BD"/>
    <w:rsid w:val="001F3B3F"/>
    <w:rsid w:val="001F4396"/>
    <w:rsid w:val="001F5C7E"/>
    <w:rsid w:val="001F624C"/>
    <w:rsid w:val="001F643C"/>
    <w:rsid w:val="001F689D"/>
    <w:rsid w:val="001F7420"/>
    <w:rsid w:val="0020003B"/>
    <w:rsid w:val="002000EC"/>
    <w:rsid w:val="0020028A"/>
    <w:rsid w:val="00200C54"/>
    <w:rsid w:val="00202938"/>
    <w:rsid w:val="00203FCA"/>
    <w:rsid w:val="002078EB"/>
    <w:rsid w:val="00207989"/>
    <w:rsid w:val="0021060F"/>
    <w:rsid w:val="00210CB4"/>
    <w:rsid w:val="002111CD"/>
    <w:rsid w:val="00211D04"/>
    <w:rsid w:val="00211D15"/>
    <w:rsid w:val="00212B12"/>
    <w:rsid w:val="002139D3"/>
    <w:rsid w:val="00213F50"/>
    <w:rsid w:val="00215A3E"/>
    <w:rsid w:val="00216558"/>
    <w:rsid w:val="00217A65"/>
    <w:rsid w:val="00217BB2"/>
    <w:rsid w:val="00217EA8"/>
    <w:rsid w:val="00220E0B"/>
    <w:rsid w:val="00221616"/>
    <w:rsid w:val="0022549E"/>
    <w:rsid w:val="00226524"/>
    <w:rsid w:val="00227229"/>
    <w:rsid w:val="00227400"/>
    <w:rsid w:val="00230044"/>
    <w:rsid w:val="00230235"/>
    <w:rsid w:val="00231635"/>
    <w:rsid w:val="002328DC"/>
    <w:rsid w:val="002335D9"/>
    <w:rsid w:val="00233FEF"/>
    <w:rsid w:val="00235B5B"/>
    <w:rsid w:val="002407E7"/>
    <w:rsid w:val="00243FCA"/>
    <w:rsid w:val="0024498A"/>
    <w:rsid w:val="00247C35"/>
    <w:rsid w:val="00250294"/>
    <w:rsid w:val="002551DE"/>
    <w:rsid w:val="00255F95"/>
    <w:rsid w:val="0025608F"/>
    <w:rsid w:val="00256F4A"/>
    <w:rsid w:val="0025714A"/>
    <w:rsid w:val="0025739F"/>
    <w:rsid w:val="002608DC"/>
    <w:rsid w:val="00260B74"/>
    <w:rsid w:val="00260C67"/>
    <w:rsid w:val="00261326"/>
    <w:rsid w:val="00261AF2"/>
    <w:rsid w:val="0026320C"/>
    <w:rsid w:val="00264CBA"/>
    <w:rsid w:val="002652C7"/>
    <w:rsid w:val="002661C0"/>
    <w:rsid w:val="0026CB6E"/>
    <w:rsid w:val="0027029D"/>
    <w:rsid w:val="00272227"/>
    <w:rsid w:val="00272C2E"/>
    <w:rsid w:val="00273814"/>
    <w:rsid w:val="00275EAE"/>
    <w:rsid w:val="00276E62"/>
    <w:rsid w:val="00277168"/>
    <w:rsid w:val="00281178"/>
    <w:rsid w:val="00281232"/>
    <w:rsid w:val="00282A5A"/>
    <w:rsid w:val="00282F2E"/>
    <w:rsid w:val="002832DD"/>
    <w:rsid w:val="002837FB"/>
    <w:rsid w:val="00283919"/>
    <w:rsid w:val="00284BF2"/>
    <w:rsid w:val="00285CF3"/>
    <w:rsid w:val="002865A4"/>
    <w:rsid w:val="00286851"/>
    <w:rsid w:val="00286AD1"/>
    <w:rsid w:val="002900BB"/>
    <w:rsid w:val="002919FA"/>
    <w:rsid w:val="0029317C"/>
    <w:rsid w:val="00293F19"/>
    <w:rsid w:val="0029777F"/>
    <w:rsid w:val="002A08A9"/>
    <w:rsid w:val="002A12C4"/>
    <w:rsid w:val="002A1743"/>
    <w:rsid w:val="002A1A25"/>
    <w:rsid w:val="002A1F1E"/>
    <w:rsid w:val="002A38E1"/>
    <w:rsid w:val="002A3E3D"/>
    <w:rsid w:val="002A465F"/>
    <w:rsid w:val="002A4D94"/>
    <w:rsid w:val="002A581F"/>
    <w:rsid w:val="002A647D"/>
    <w:rsid w:val="002B1CEF"/>
    <w:rsid w:val="002B1FBA"/>
    <w:rsid w:val="002B1FBC"/>
    <w:rsid w:val="002B54AA"/>
    <w:rsid w:val="002B6145"/>
    <w:rsid w:val="002B6885"/>
    <w:rsid w:val="002B6E0E"/>
    <w:rsid w:val="002B7590"/>
    <w:rsid w:val="002B78AB"/>
    <w:rsid w:val="002C1750"/>
    <w:rsid w:val="002C3AD8"/>
    <w:rsid w:val="002C3F09"/>
    <w:rsid w:val="002C6364"/>
    <w:rsid w:val="002C63FF"/>
    <w:rsid w:val="002C6E12"/>
    <w:rsid w:val="002C7268"/>
    <w:rsid w:val="002C7696"/>
    <w:rsid w:val="002C7727"/>
    <w:rsid w:val="002C7D1F"/>
    <w:rsid w:val="002D04E9"/>
    <w:rsid w:val="002D1CAC"/>
    <w:rsid w:val="002D2051"/>
    <w:rsid w:val="002D29EB"/>
    <w:rsid w:val="002D3A07"/>
    <w:rsid w:val="002D4687"/>
    <w:rsid w:val="002D50CD"/>
    <w:rsid w:val="002D5FAF"/>
    <w:rsid w:val="002D6287"/>
    <w:rsid w:val="002E21BB"/>
    <w:rsid w:val="002E2E90"/>
    <w:rsid w:val="002E48CA"/>
    <w:rsid w:val="002E5849"/>
    <w:rsid w:val="002E64D8"/>
    <w:rsid w:val="002E701E"/>
    <w:rsid w:val="002E7B8F"/>
    <w:rsid w:val="002F085B"/>
    <w:rsid w:val="002F2058"/>
    <w:rsid w:val="002F531D"/>
    <w:rsid w:val="002F5594"/>
    <w:rsid w:val="002F6D7D"/>
    <w:rsid w:val="002F7D79"/>
    <w:rsid w:val="0030088A"/>
    <w:rsid w:val="00301651"/>
    <w:rsid w:val="0030389D"/>
    <w:rsid w:val="0030482D"/>
    <w:rsid w:val="00307342"/>
    <w:rsid w:val="003078DA"/>
    <w:rsid w:val="00307DA7"/>
    <w:rsid w:val="00310314"/>
    <w:rsid w:val="003109AF"/>
    <w:rsid w:val="00312F5A"/>
    <w:rsid w:val="00314412"/>
    <w:rsid w:val="0031479C"/>
    <w:rsid w:val="003148B2"/>
    <w:rsid w:val="003152A4"/>
    <w:rsid w:val="00315A5D"/>
    <w:rsid w:val="00316213"/>
    <w:rsid w:val="00316A7D"/>
    <w:rsid w:val="00317B3D"/>
    <w:rsid w:val="00321064"/>
    <w:rsid w:val="003213D0"/>
    <w:rsid w:val="00322132"/>
    <w:rsid w:val="00322669"/>
    <w:rsid w:val="00322CA5"/>
    <w:rsid w:val="00323055"/>
    <w:rsid w:val="00323422"/>
    <w:rsid w:val="00323A6D"/>
    <w:rsid w:val="00323E92"/>
    <w:rsid w:val="00323F75"/>
    <w:rsid w:val="00327050"/>
    <w:rsid w:val="0032723C"/>
    <w:rsid w:val="003304E9"/>
    <w:rsid w:val="00331CAF"/>
    <w:rsid w:val="003320A9"/>
    <w:rsid w:val="0033295B"/>
    <w:rsid w:val="003341FC"/>
    <w:rsid w:val="00334603"/>
    <w:rsid w:val="003348FF"/>
    <w:rsid w:val="00335134"/>
    <w:rsid w:val="0033544C"/>
    <w:rsid w:val="00336DAC"/>
    <w:rsid w:val="003415E0"/>
    <w:rsid w:val="003462B0"/>
    <w:rsid w:val="00346DE3"/>
    <w:rsid w:val="00347E40"/>
    <w:rsid w:val="0035003D"/>
    <w:rsid w:val="003512F0"/>
    <w:rsid w:val="0035154E"/>
    <w:rsid w:val="00353749"/>
    <w:rsid w:val="00354D45"/>
    <w:rsid w:val="00354D72"/>
    <w:rsid w:val="00362086"/>
    <w:rsid w:val="00363084"/>
    <w:rsid w:val="00363CBD"/>
    <w:rsid w:val="003648C6"/>
    <w:rsid w:val="00364EE8"/>
    <w:rsid w:val="00365F31"/>
    <w:rsid w:val="00370E1E"/>
    <w:rsid w:val="00372C7C"/>
    <w:rsid w:val="00372E63"/>
    <w:rsid w:val="00372F8C"/>
    <w:rsid w:val="00373911"/>
    <w:rsid w:val="00374A10"/>
    <w:rsid w:val="00375467"/>
    <w:rsid w:val="003754DD"/>
    <w:rsid w:val="00377A0B"/>
    <w:rsid w:val="003806DF"/>
    <w:rsid w:val="003809C4"/>
    <w:rsid w:val="00380F46"/>
    <w:rsid w:val="00381252"/>
    <w:rsid w:val="0038237D"/>
    <w:rsid w:val="00384909"/>
    <w:rsid w:val="00386BEA"/>
    <w:rsid w:val="00386E21"/>
    <w:rsid w:val="00387AFE"/>
    <w:rsid w:val="00387BFF"/>
    <w:rsid w:val="003907D6"/>
    <w:rsid w:val="00391284"/>
    <w:rsid w:val="003927CD"/>
    <w:rsid w:val="003928BE"/>
    <w:rsid w:val="00392D93"/>
    <w:rsid w:val="003948AF"/>
    <w:rsid w:val="003952E1"/>
    <w:rsid w:val="0039538F"/>
    <w:rsid w:val="00395781"/>
    <w:rsid w:val="00397539"/>
    <w:rsid w:val="00397DB6"/>
    <w:rsid w:val="003A04AA"/>
    <w:rsid w:val="003A11A2"/>
    <w:rsid w:val="003A19A7"/>
    <w:rsid w:val="003A2499"/>
    <w:rsid w:val="003A27DC"/>
    <w:rsid w:val="003A3AF0"/>
    <w:rsid w:val="003A4B98"/>
    <w:rsid w:val="003A51EA"/>
    <w:rsid w:val="003A758C"/>
    <w:rsid w:val="003A7759"/>
    <w:rsid w:val="003A78C4"/>
    <w:rsid w:val="003A7997"/>
    <w:rsid w:val="003B108C"/>
    <w:rsid w:val="003B1248"/>
    <w:rsid w:val="003B1C44"/>
    <w:rsid w:val="003B1F00"/>
    <w:rsid w:val="003B22E3"/>
    <w:rsid w:val="003B2F8B"/>
    <w:rsid w:val="003B3540"/>
    <w:rsid w:val="003B438F"/>
    <w:rsid w:val="003B7DBF"/>
    <w:rsid w:val="003C138F"/>
    <w:rsid w:val="003C1DDA"/>
    <w:rsid w:val="003C3C8F"/>
    <w:rsid w:val="003C606C"/>
    <w:rsid w:val="003D0F1D"/>
    <w:rsid w:val="003D115B"/>
    <w:rsid w:val="003D253C"/>
    <w:rsid w:val="003D36F0"/>
    <w:rsid w:val="003D3C10"/>
    <w:rsid w:val="003D4935"/>
    <w:rsid w:val="003D4D13"/>
    <w:rsid w:val="003D4DE1"/>
    <w:rsid w:val="003D568A"/>
    <w:rsid w:val="003D7DA3"/>
    <w:rsid w:val="003E0656"/>
    <w:rsid w:val="003E0AD0"/>
    <w:rsid w:val="003E0C29"/>
    <w:rsid w:val="003E3B7B"/>
    <w:rsid w:val="003E5A5E"/>
    <w:rsid w:val="003E5DED"/>
    <w:rsid w:val="003E5DF0"/>
    <w:rsid w:val="003E64A3"/>
    <w:rsid w:val="003E67FB"/>
    <w:rsid w:val="003E72A2"/>
    <w:rsid w:val="003F128B"/>
    <w:rsid w:val="003F169F"/>
    <w:rsid w:val="003F3863"/>
    <w:rsid w:val="003F45E2"/>
    <w:rsid w:val="004010AA"/>
    <w:rsid w:val="00402D33"/>
    <w:rsid w:val="00402EF5"/>
    <w:rsid w:val="00403228"/>
    <w:rsid w:val="00404610"/>
    <w:rsid w:val="0040469F"/>
    <w:rsid w:val="00404CFC"/>
    <w:rsid w:val="0041071D"/>
    <w:rsid w:val="0041132C"/>
    <w:rsid w:val="004114DB"/>
    <w:rsid w:val="00411869"/>
    <w:rsid w:val="0041251D"/>
    <w:rsid w:val="00415127"/>
    <w:rsid w:val="0041517A"/>
    <w:rsid w:val="00416DCC"/>
    <w:rsid w:val="00422F56"/>
    <w:rsid w:val="0042419E"/>
    <w:rsid w:val="004241F4"/>
    <w:rsid w:val="00424541"/>
    <w:rsid w:val="00426F2F"/>
    <w:rsid w:val="00427A8C"/>
    <w:rsid w:val="00430505"/>
    <w:rsid w:val="004309DF"/>
    <w:rsid w:val="00431516"/>
    <w:rsid w:val="004324EE"/>
    <w:rsid w:val="00432EBC"/>
    <w:rsid w:val="00433AE0"/>
    <w:rsid w:val="00433F4F"/>
    <w:rsid w:val="00434788"/>
    <w:rsid w:val="0043625F"/>
    <w:rsid w:val="00436CCD"/>
    <w:rsid w:val="00436F30"/>
    <w:rsid w:val="004377F5"/>
    <w:rsid w:val="00440246"/>
    <w:rsid w:val="0044098B"/>
    <w:rsid w:val="004411C1"/>
    <w:rsid w:val="00442625"/>
    <w:rsid w:val="004426DA"/>
    <w:rsid w:val="004459D0"/>
    <w:rsid w:val="00446E10"/>
    <w:rsid w:val="00447F7D"/>
    <w:rsid w:val="00450230"/>
    <w:rsid w:val="00450BFB"/>
    <w:rsid w:val="00454738"/>
    <w:rsid w:val="00455E39"/>
    <w:rsid w:val="00455F64"/>
    <w:rsid w:val="00456140"/>
    <w:rsid w:val="00456578"/>
    <w:rsid w:val="004622D2"/>
    <w:rsid w:val="004638B7"/>
    <w:rsid w:val="00463C64"/>
    <w:rsid w:val="00467367"/>
    <w:rsid w:val="00470AA9"/>
    <w:rsid w:val="00470AE4"/>
    <w:rsid w:val="00470CA5"/>
    <w:rsid w:val="0047107B"/>
    <w:rsid w:val="00471269"/>
    <w:rsid w:val="00472F09"/>
    <w:rsid w:val="00473159"/>
    <w:rsid w:val="00473709"/>
    <w:rsid w:val="0047412A"/>
    <w:rsid w:val="00474350"/>
    <w:rsid w:val="00476574"/>
    <w:rsid w:val="0048044D"/>
    <w:rsid w:val="0048209F"/>
    <w:rsid w:val="00482A29"/>
    <w:rsid w:val="0048318D"/>
    <w:rsid w:val="00483414"/>
    <w:rsid w:val="004843AC"/>
    <w:rsid w:val="00485311"/>
    <w:rsid w:val="00486549"/>
    <w:rsid w:val="004879BE"/>
    <w:rsid w:val="00487F95"/>
    <w:rsid w:val="00491900"/>
    <w:rsid w:val="004959E0"/>
    <w:rsid w:val="004959FE"/>
    <w:rsid w:val="0049613E"/>
    <w:rsid w:val="004977E9"/>
    <w:rsid w:val="004A176D"/>
    <w:rsid w:val="004A19AF"/>
    <w:rsid w:val="004A2B6C"/>
    <w:rsid w:val="004A4118"/>
    <w:rsid w:val="004A5176"/>
    <w:rsid w:val="004A6E27"/>
    <w:rsid w:val="004B0090"/>
    <w:rsid w:val="004B078C"/>
    <w:rsid w:val="004B1982"/>
    <w:rsid w:val="004B27FE"/>
    <w:rsid w:val="004B2C8A"/>
    <w:rsid w:val="004B313B"/>
    <w:rsid w:val="004B3885"/>
    <w:rsid w:val="004B3D8B"/>
    <w:rsid w:val="004B3E24"/>
    <w:rsid w:val="004B50DD"/>
    <w:rsid w:val="004B5146"/>
    <w:rsid w:val="004B69F3"/>
    <w:rsid w:val="004C01A1"/>
    <w:rsid w:val="004C40A4"/>
    <w:rsid w:val="004C4B43"/>
    <w:rsid w:val="004C54FC"/>
    <w:rsid w:val="004C6A4F"/>
    <w:rsid w:val="004C7613"/>
    <w:rsid w:val="004D021E"/>
    <w:rsid w:val="004D1FE8"/>
    <w:rsid w:val="004D20F5"/>
    <w:rsid w:val="004D2E4B"/>
    <w:rsid w:val="004D3002"/>
    <w:rsid w:val="004D3280"/>
    <w:rsid w:val="004D3DF5"/>
    <w:rsid w:val="004D3F18"/>
    <w:rsid w:val="004D4755"/>
    <w:rsid w:val="004D6723"/>
    <w:rsid w:val="004E0B1D"/>
    <w:rsid w:val="004E0C08"/>
    <w:rsid w:val="004E0CB0"/>
    <w:rsid w:val="004E1B08"/>
    <w:rsid w:val="004E2A37"/>
    <w:rsid w:val="004E3604"/>
    <w:rsid w:val="004E36E1"/>
    <w:rsid w:val="004E37E5"/>
    <w:rsid w:val="004E3E24"/>
    <w:rsid w:val="004E4454"/>
    <w:rsid w:val="004E4A0E"/>
    <w:rsid w:val="004E4BC6"/>
    <w:rsid w:val="004E505D"/>
    <w:rsid w:val="004E62D8"/>
    <w:rsid w:val="004E7CAD"/>
    <w:rsid w:val="004E7D7F"/>
    <w:rsid w:val="004F24A0"/>
    <w:rsid w:val="004F2F5E"/>
    <w:rsid w:val="004F5EDC"/>
    <w:rsid w:val="004F6F51"/>
    <w:rsid w:val="00500B30"/>
    <w:rsid w:val="00501C41"/>
    <w:rsid w:val="005027D6"/>
    <w:rsid w:val="00503DA7"/>
    <w:rsid w:val="0050403E"/>
    <w:rsid w:val="00504188"/>
    <w:rsid w:val="0050625E"/>
    <w:rsid w:val="00506D0A"/>
    <w:rsid w:val="005074F9"/>
    <w:rsid w:val="005126A9"/>
    <w:rsid w:val="00512ED7"/>
    <w:rsid w:val="0051372C"/>
    <w:rsid w:val="00513A2D"/>
    <w:rsid w:val="00514B4F"/>
    <w:rsid w:val="005153D3"/>
    <w:rsid w:val="005162F0"/>
    <w:rsid w:val="005174C5"/>
    <w:rsid w:val="00520500"/>
    <w:rsid w:val="00521099"/>
    <w:rsid w:val="00522EC4"/>
    <w:rsid w:val="005245F3"/>
    <w:rsid w:val="00524E91"/>
    <w:rsid w:val="00525731"/>
    <w:rsid w:val="00525797"/>
    <w:rsid w:val="00525E65"/>
    <w:rsid w:val="0052773B"/>
    <w:rsid w:val="00531ECC"/>
    <w:rsid w:val="00532217"/>
    <w:rsid w:val="00532606"/>
    <w:rsid w:val="00532857"/>
    <w:rsid w:val="00533F74"/>
    <w:rsid w:val="00536586"/>
    <w:rsid w:val="00536924"/>
    <w:rsid w:val="005377A8"/>
    <w:rsid w:val="00537E45"/>
    <w:rsid w:val="00540F84"/>
    <w:rsid w:val="00541261"/>
    <w:rsid w:val="00544781"/>
    <w:rsid w:val="00544C56"/>
    <w:rsid w:val="0055163B"/>
    <w:rsid w:val="00551FFC"/>
    <w:rsid w:val="00552ACE"/>
    <w:rsid w:val="00553B2A"/>
    <w:rsid w:val="00554544"/>
    <w:rsid w:val="00554E7D"/>
    <w:rsid w:val="00556303"/>
    <w:rsid w:val="00556786"/>
    <w:rsid w:val="00556AE9"/>
    <w:rsid w:val="00556C0D"/>
    <w:rsid w:val="00562136"/>
    <w:rsid w:val="00562820"/>
    <w:rsid w:val="005629CC"/>
    <w:rsid w:val="00562AFF"/>
    <w:rsid w:val="005632F7"/>
    <w:rsid w:val="00565E43"/>
    <w:rsid w:val="00566966"/>
    <w:rsid w:val="00566BD7"/>
    <w:rsid w:val="00570A88"/>
    <w:rsid w:val="0057197D"/>
    <w:rsid w:val="00573399"/>
    <w:rsid w:val="00573D56"/>
    <w:rsid w:val="00575382"/>
    <w:rsid w:val="00575D2B"/>
    <w:rsid w:val="005764AC"/>
    <w:rsid w:val="0057799E"/>
    <w:rsid w:val="005801E5"/>
    <w:rsid w:val="00580C27"/>
    <w:rsid w:val="0058125A"/>
    <w:rsid w:val="005829CC"/>
    <w:rsid w:val="005835FE"/>
    <w:rsid w:val="00583FD9"/>
    <w:rsid w:val="00584160"/>
    <w:rsid w:val="00584776"/>
    <w:rsid w:val="00584CA9"/>
    <w:rsid w:val="0058762F"/>
    <w:rsid w:val="0059099D"/>
    <w:rsid w:val="00591DE8"/>
    <w:rsid w:val="00592243"/>
    <w:rsid w:val="005936ED"/>
    <w:rsid w:val="00593E9D"/>
    <w:rsid w:val="00593EFD"/>
    <w:rsid w:val="005950F8"/>
    <w:rsid w:val="0059730B"/>
    <w:rsid w:val="0059770F"/>
    <w:rsid w:val="005A0775"/>
    <w:rsid w:val="005A1BFC"/>
    <w:rsid w:val="005A1E71"/>
    <w:rsid w:val="005A20A1"/>
    <w:rsid w:val="005A25AE"/>
    <w:rsid w:val="005A2F77"/>
    <w:rsid w:val="005A411F"/>
    <w:rsid w:val="005A5642"/>
    <w:rsid w:val="005A5CBE"/>
    <w:rsid w:val="005A6AB2"/>
    <w:rsid w:val="005A6DA4"/>
    <w:rsid w:val="005A6DD5"/>
    <w:rsid w:val="005A7588"/>
    <w:rsid w:val="005A7BA0"/>
    <w:rsid w:val="005B195D"/>
    <w:rsid w:val="005B1EA7"/>
    <w:rsid w:val="005B2501"/>
    <w:rsid w:val="005B2C34"/>
    <w:rsid w:val="005B3642"/>
    <w:rsid w:val="005B3D1F"/>
    <w:rsid w:val="005B4A32"/>
    <w:rsid w:val="005B5294"/>
    <w:rsid w:val="005B6F37"/>
    <w:rsid w:val="005B7289"/>
    <w:rsid w:val="005B7935"/>
    <w:rsid w:val="005C023C"/>
    <w:rsid w:val="005C06CC"/>
    <w:rsid w:val="005C1AFE"/>
    <w:rsid w:val="005C1CC7"/>
    <w:rsid w:val="005C29BE"/>
    <w:rsid w:val="005C3501"/>
    <w:rsid w:val="005C3715"/>
    <w:rsid w:val="005C498E"/>
    <w:rsid w:val="005C4A58"/>
    <w:rsid w:val="005C4C24"/>
    <w:rsid w:val="005C4D1A"/>
    <w:rsid w:val="005C5ADE"/>
    <w:rsid w:val="005C5B67"/>
    <w:rsid w:val="005C5BBD"/>
    <w:rsid w:val="005C62C2"/>
    <w:rsid w:val="005D0C4F"/>
    <w:rsid w:val="005D1AE2"/>
    <w:rsid w:val="005D36EE"/>
    <w:rsid w:val="005D4053"/>
    <w:rsid w:val="005D49B2"/>
    <w:rsid w:val="005D4A95"/>
    <w:rsid w:val="005D612D"/>
    <w:rsid w:val="005D7C52"/>
    <w:rsid w:val="005E1956"/>
    <w:rsid w:val="005E1B30"/>
    <w:rsid w:val="005E22BF"/>
    <w:rsid w:val="005E4F42"/>
    <w:rsid w:val="005E516A"/>
    <w:rsid w:val="005E5D75"/>
    <w:rsid w:val="005E64B0"/>
    <w:rsid w:val="005E6575"/>
    <w:rsid w:val="005E6E26"/>
    <w:rsid w:val="005F19B3"/>
    <w:rsid w:val="005F2982"/>
    <w:rsid w:val="005F2E00"/>
    <w:rsid w:val="005F340C"/>
    <w:rsid w:val="005F42CA"/>
    <w:rsid w:val="005F5EF6"/>
    <w:rsid w:val="005F66FF"/>
    <w:rsid w:val="005F69AB"/>
    <w:rsid w:val="005F7709"/>
    <w:rsid w:val="0060152C"/>
    <w:rsid w:val="0060175B"/>
    <w:rsid w:val="00601AB9"/>
    <w:rsid w:val="006028A0"/>
    <w:rsid w:val="00603396"/>
    <w:rsid w:val="00604B85"/>
    <w:rsid w:val="00605512"/>
    <w:rsid w:val="00605B2B"/>
    <w:rsid w:val="00607406"/>
    <w:rsid w:val="00610684"/>
    <w:rsid w:val="00611B5C"/>
    <w:rsid w:val="00611CCB"/>
    <w:rsid w:val="00612C8B"/>
    <w:rsid w:val="00612FC2"/>
    <w:rsid w:val="006139CE"/>
    <w:rsid w:val="00614480"/>
    <w:rsid w:val="0061518E"/>
    <w:rsid w:val="006161CA"/>
    <w:rsid w:val="006176F4"/>
    <w:rsid w:val="0062089C"/>
    <w:rsid w:val="00621C58"/>
    <w:rsid w:val="00621DE5"/>
    <w:rsid w:val="00622CF9"/>
    <w:rsid w:val="006230E3"/>
    <w:rsid w:val="00623259"/>
    <w:rsid w:val="00623C2F"/>
    <w:rsid w:val="00624777"/>
    <w:rsid w:val="00624D7B"/>
    <w:rsid w:val="00625631"/>
    <w:rsid w:val="00626755"/>
    <w:rsid w:val="006279BE"/>
    <w:rsid w:val="00627B45"/>
    <w:rsid w:val="00630046"/>
    <w:rsid w:val="00630CD6"/>
    <w:rsid w:val="00631812"/>
    <w:rsid w:val="00634E38"/>
    <w:rsid w:val="0063523B"/>
    <w:rsid w:val="006361D3"/>
    <w:rsid w:val="006376A9"/>
    <w:rsid w:val="00637A5B"/>
    <w:rsid w:val="00637DFA"/>
    <w:rsid w:val="00640533"/>
    <w:rsid w:val="0064076F"/>
    <w:rsid w:val="00640E31"/>
    <w:rsid w:val="00643B8B"/>
    <w:rsid w:val="0064598D"/>
    <w:rsid w:val="00645B6F"/>
    <w:rsid w:val="0064747F"/>
    <w:rsid w:val="006476AC"/>
    <w:rsid w:val="00647EDA"/>
    <w:rsid w:val="0065086F"/>
    <w:rsid w:val="00651115"/>
    <w:rsid w:val="00651307"/>
    <w:rsid w:val="00651C60"/>
    <w:rsid w:val="00652C00"/>
    <w:rsid w:val="0065571E"/>
    <w:rsid w:val="00660F0A"/>
    <w:rsid w:val="0066189E"/>
    <w:rsid w:val="006636D8"/>
    <w:rsid w:val="00663E81"/>
    <w:rsid w:val="00664911"/>
    <w:rsid w:val="00666643"/>
    <w:rsid w:val="00666ACB"/>
    <w:rsid w:val="00666C19"/>
    <w:rsid w:val="00670395"/>
    <w:rsid w:val="0067061C"/>
    <w:rsid w:val="00670F75"/>
    <w:rsid w:val="0067246F"/>
    <w:rsid w:val="006729F7"/>
    <w:rsid w:val="00674C37"/>
    <w:rsid w:val="0067771E"/>
    <w:rsid w:val="0068021F"/>
    <w:rsid w:val="00680CC9"/>
    <w:rsid w:val="0068154E"/>
    <w:rsid w:val="00681867"/>
    <w:rsid w:val="006818CF"/>
    <w:rsid w:val="006847D5"/>
    <w:rsid w:val="00685540"/>
    <w:rsid w:val="006871F6"/>
    <w:rsid w:val="00687888"/>
    <w:rsid w:val="00690413"/>
    <w:rsid w:val="0069295A"/>
    <w:rsid w:val="00693D6F"/>
    <w:rsid w:val="006944BD"/>
    <w:rsid w:val="00695BCA"/>
    <w:rsid w:val="00697026"/>
    <w:rsid w:val="006979DE"/>
    <w:rsid w:val="00697C1F"/>
    <w:rsid w:val="006A0503"/>
    <w:rsid w:val="006A176B"/>
    <w:rsid w:val="006A31B1"/>
    <w:rsid w:val="006A366F"/>
    <w:rsid w:val="006A3E06"/>
    <w:rsid w:val="006A417C"/>
    <w:rsid w:val="006A6EBA"/>
    <w:rsid w:val="006A7996"/>
    <w:rsid w:val="006B036F"/>
    <w:rsid w:val="006B05B6"/>
    <w:rsid w:val="006B061C"/>
    <w:rsid w:val="006B0F24"/>
    <w:rsid w:val="006B1D24"/>
    <w:rsid w:val="006B32EE"/>
    <w:rsid w:val="006B3D73"/>
    <w:rsid w:val="006B3F5D"/>
    <w:rsid w:val="006B410E"/>
    <w:rsid w:val="006B4614"/>
    <w:rsid w:val="006B6A27"/>
    <w:rsid w:val="006B702D"/>
    <w:rsid w:val="006B7E98"/>
    <w:rsid w:val="006C017B"/>
    <w:rsid w:val="006C2C0C"/>
    <w:rsid w:val="006C4EF2"/>
    <w:rsid w:val="006C56D2"/>
    <w:rsid w:val="006C6624"/>
    <w:rsid w:val="006C7259"/>
    <w:rsid w:val="006C7A24"/>
    <w:rsid w:val="006D05C0"/>
    <w:rsid w:val="006D1065"/>
    <w:rsid w:val="006D1CBE"/>
    <w:rsid w:val="006D34F7"/>
    <w:rsid w:val="006D350B"/>
    <w:rsid w:val="006D38EC"/>
    <w:rsid w:val="006D424D"/>
    <w:rsid w:val="006D5217"/>
    <w:rsid w:val="006D6BE2"/>
    <w:rsid w:val="006D7A8C"/>
    <w:rsid w:val="006E1215"/>
    <w:rsid w:val="006E273D"/>
    <w:rsid w:val="006E379C"/>
    <w:rsid w:val="006E39A4"/>
    <w:rsid w:val="006E4566"/>
    <w:rsid w:val="006E540D"/>
    <w:rsid w:val="006E5AAA"/>
    <w:rsid w:val="006E5CE8"/>
    <w:rsid w:val="006E74AF"/>
    <w:rsid w:val="006F01F9"/>
    <w:rsid w:val="006F0A28"/>
    <w:rsid w:val="006F10A0"/>
    <w:rsid w:val="006F31C5"/>
    <w:rsid w:val="006F42E7"/>
    <w:rsid w:val="006F6056"/>
    <w:rsid w:val="006F72CF"/>
    <w:rsid w:val="006F7532"/>
    <w:rsid w:val="0070181A"/>
    <w:rsid w:val="00701D7F"/>
    <w:rsid w:val="007025ED"/>
    <w:rsid w:val="00702BB3"/>
    <w:rsid w:val="0070332C"/>
    <w:rsid w:val="00703555"/>
    <w:rsid w:val="00703C7A"/>
    <w:rsid w:val="00704414"/>
    <w:rsid w:val="007044F0"/>
    <w:rsid w:val="0070485B"/>
    <w:rsid w:val="00705759"/>
    <w:rsid w:val="00707054"/>
    <w:rsid w:val="00707665"/>
    <w:rsid w:val="007078DE"/>
    <w:rsid w:val="007079F9"/>
    <w:rsid w:val="0071309B"/>
    <w:rsid w:val="0071312A"/>
    <w:rsid w:val="007167D0"/>
    <w:rsid w:val="00716ECA"/>
    <w:rsid w:val="00717023"/>
    <w:rsid w:val="00720613"/>
    <w:rsid w:val="00721BFB"/>
    <w:rsid w:val="0072396B"/>
    <w:rsid w:val="00724213"/>
    <w:rsid w:val="00724AE6"/>
    <w:rsid w:val="00724C5B"/>
    <w:rsid w:val="00724E7C"/>
    <w:rsid w:val="007258D8"/>
    <w:rsid w:val="007264C7"/>
    <w:rsid w:val="007318BC"/>
    <w:rsid w:val="00731E10"/>
    <w:rsid w:val="007339CB"/>
    <w:rsid w:val="0073482E"/>
    <w:rsid w:val="0073571B"/>
    <w:rsid w:val="00737460"/>
    <w:rsid w:val="00737D22"/>
    <w:rsid w:val="007407ED"/>
    <w:rsid w:val="00740CDE"/>
    <w:rsid w:val="007417B0"/>
    <w:rsid w:val="00741EFE"/>
    <w:rsid w:val="007424D4"/>
    <w:rsid w:val="0074321A"/>
    <w:rsid w:val="007436E9"/>
    <w:rsid w:val="00743758"/>
    <w:rsid w:val="00743C2D"/>
    <w:rsid w:val="00744BE9"/>
    <w:rsid w:val="00745427"/>
    <w:rsid w:val="00746611"/>
    <w:rsid w:val="00746F18"/>
    <w:rsid w:val="007509DF"/>
    <w:rsid w:val="00750C2A"/>
    <w:rsid w:val="00751F62"/>
    <w:rsid w:val="00752553"/>
    <w:rsid w:val="00752986"/>
    <w:rsid w:val="00753B5B"/>
    <w:rsid w:val="00754670"/>
    <w:rsid w:val="007548F2"/>
    <w:rsid w:val="00756298"/>
    <w:rsid w:val="00756C01"/>
    <w:rsid w:val="00760225"/>
    <w:rsid w:val="007609FD"/>
    <w:rsid w:val="0076171F"/>
    <w:rsid w:val="0076497A"/>
    <w:rsid w:val="00764C85"/>
    <w:rsid w:val="00765A4B"/>
    <w:rsid w:val="00766027"/>
    <w:rsid w:val="007674B6"/>
    <w:rsid w:val="00770A0B"/>
    <w:rsid w:val="00773000"/>
    <w:rsid w:val="007754D3"/>
    <w:rsid w:val="00775FA3"/>
    <w:rsid w:val="007802C2"/>
    <w:rsid w:val="00781B37"/>
    <w:rsid w:val="00784178"/>
    <w:rsid w:val="00786C4F"/>
    <w:rsid w:val="0078773D"/>
    <w:rsid w:val="00790090"/>
    <w:rsid w:val="0079174D"/>
    <w:rsid w:val="0079338C"/>
    <w:rsid w:val="007940CD"/>
    <w:rsid w:val="0079449D"/>
    <w:rsid w:val="007948CE"/>
    <w:rsid w:val="007A1031"/>
    <w:rsid w:val="007A1259"/>
    <w:rsid w:val="007A1427"/>
    <w:rsid w:val="007A1C2A"/>
    <w:rsid w:val="007A4212"/>
    <w:rsid w:val="007A4E87"/>
    <w:rsid w:val="007A5879"/>
    <w:rsid w:val="007A5E0D"/>
    <w:rsid w:val="007A77AF"/>
    <w:rsid w:val="007A7E1C"/>
    <w:rsid w:val="007B0671"/>
    <w:rsid w:val="007B092D"/>
    <w:rsid w:val="007B1127"/>
    <w:rsid w:val="007B2324"/>
    <w:rsid w:val="007B2504"/>
    <w:rsid w:val="007B2A9D"/>
    <w:rsid w:val="007B39E6"/>
    <w:rsid w:val="007B3B2C"/>
    <w:rsid w:val="007B55D6"/>
    <w:rsid w:val="007B6C96"/>
    <w:rsid w:val="007B6CF2"/>
    <w:rsid w:val="007B7FC1"/>
    <w:rsid w:val="007C0960"/>
    <w:rsid w:val="007C1803"/>
    <w:rsid w:val="007C32A8"/>
    <w:rsid w:val="007C4491"/>
    <w:rsid w:val="007C5538"/>
    <w:rsid w:val="007C5611"/>
    <w:rsid w:val="007C608D"/>
    <w:rsid w:val="007C6CB5"/>
    <w:rsid w:val="007C747D"/>
    <w:rsid w:val="007C78CF"/>
    <w:rsid w:val="007D081E"/>
    <w:rsid w:val="007D0D06"/>
    <w:rsid w:val="007D1A87"/>
    <w:rsid w:val="007D1ACB"/>
    <w:rsid w:val="007D214E"/>
    <w:rsid w:val="007D25FD"/>
    <w:rsid w:val="007D3A17"/>
    <w:rsid w:val="007D46AA"/>
    <w:rsid w:val="007D5B35"/>
    <w:rsid w:val="007D5C12"/>
    <w:rsid w:val="007D5E77"/>
    <w:rsid w:val="007D6D3B"/>
    <w:rsid w:val="007D6FB2"/>
    <w:rsid w:val="007E1E5D"/>
    <w:rsid w:val="007E5A1F"/>
    <w:rsid w:val="007E5CB6"/>
    <w:rsid w:val="007E627F"/>
    <w:rsid w:val="007E6EC2"/>
    <w:rsid w:val="007E73BB"/>
    <w:rsid w:val="007F01D4"/>
    <w:rsid w:val="007F0726"/>
    <w:rsid w:val="007F3691"/>
    <w:rsid w:val="007F5688"/>
    <w:rsid w:val="007F5865"/>
    <w:rsid w:val="007F5FB8"/>
    <w:rsid w:val="007F7246"/>
    <w:rsid w:val="007F7628"/>
    <w:rsid w:val="008029C2"/>
    <w:rsid w:val="00802A2E"/>
    <w:rsid w:val="00803243"/>
    <w:rsid w:val="008034CF"/>
    <w:rsid w:val="0080607A"/>
    <w:rsid w:val="0080766C"/>
    <w:rsid w:val="008109DD"/>
    <w:rsid w:val="00810E90"/>
    <w:rsid w:val="00811F3B"/>
    <w:rsid w:val="00812076"/>
    <w:rsid w:val="0081253D"/>
    <w:rsid w:val="00814CCA"/>
    <w:rsid w:val="00814FC9"/>
    <w:rsid w:val="00816CA3"/>
    <w:rsid w:val="00816F05"/>
    <w:rsid w:val="008171D0"/>
    <w:rsid w:val="00820F44"/>
    <w:rsid w:val="00821042"/>
    <w:rsid w:val="00822142"/>
    <w:rsid w:val="008228F1"/>
    <w:rsid w:val="00823443"/>
    <w:rsid w:val="00823DAF"/>
    <w:rsid w:val="00824255"/>
    <w:rsid w:val="00827427"/>
    <w:rsid w:val="00830817"/>
    <w:rsid w:val="00832311"/>
    <w:rsid w:val="00832741"/>
    <w:rsid w:val="008328A8"/>
    <w:rsid w:val="00832AF9"/>
    <w:rsid w:val="00834B1C"/>
    <w:rsid w:val="00835B0A"/>
    <w:rsid w:val="0083719F"/>
    <w:rsid w:val="00837AE6"/>
    <w:rsid w:val="00840AD6"/>
    <w:rsid w:val="00840BF5"/>
    <w:rsid w:val="0084181A"/>
    <w:rsid w:val="008419F6"/>
    <w:rsid w:val="00841E50"/>
    <w:rsid w:val="008432B2"/>
    <w:rsid w:val="00844485"/>
    <w:rsid w:val="00844DB6"/>
    <w:rsid w:val="00845042"/>
    <w:rsid w:val="00845369"/>
    <w:rsid w:val="008453BA"/>
    <w:rsid w:val="00847A41"/>
    <w:rsid w:val="00847E5C"/>
    <w:rsid w:val="00850905"/>
    <w:rsid w:val="008523E9"/>
    <w:rsid w:val="0085243C"/>
    <w:rsid w:val="00852662"/>
    <w:rsid w:val="008527ED"/>
    <w:rsid w:val="0085318D"/>
    <w:rsid w:val="00853DD2"/>
    <w:rsid w:val="00855B9D"/>
    <w:rsid w:val="00857BC9"/>
    <w:rsid w:val="00860008"/>
    <w:rsid w:val="008604D1"/>
    <w:rsid w:val="00860CAF"/>
    <w:rsid w:val="008640C0"/>
    <w:rsid w:val="00866983"/>
    <w:rsid w:val="00870154"/>
    <w:rsid w:val="008707F7"/>
    <w:rsid w:val="0087129B"/>
    <w:rsid w:val="00871B25"/>
    <w:rsid w:val="00872C15"/>
    <w:rsid w:val="00872C9F"/>
    <w:rsid w:val="00873F75"/>
    <w:rsid w:val="008743E2"/>
    <w:rsid w:val="008748D3"/>
    <w:rsid w:val="00876CCC"/>
    <w:rsid w:val="00876CE3"/>
    <w:rsid w:val="00877915"/>
    <w:rsid w:val="0088211A"/>
    <w:rsid w:val="00883F74"/>
    <w:rsid w:val="008840A3"/>
    <w:rsid w:val="008843D9"/>
    <w:rsid w:val="0088451D"/>
    <w:rsid w:val="0088454E"/>
    <w:rsid w:val="00884BDC"/>
    <w:rsid w:val="0088586A"/>
    <w:rsid w:val="00885D6E"/>
    <w:rsid w:val="00891D0E"/>
    <w:rsid w:val="0089333F"/>
    <w:rsid w:val="008939CC"/>
    <w:rsid w:val="00893CE3"/>
    <w:rsid w:val="00893E77"/>
    <w:rsid w:val="00894B88"/>
    <w:rsid w:val="00896E8F"/>
    <w:rsid w:val="00897204"/>
    <w:rsid w:val="0089793E"/>
    <w:rsid w:val="008A04B0"/>
    <w:rsid w:val="008A2284"/>
    <w:rsid w:val="008A41EA"/>
    <w:rsid w:val="008A44AD"/>
    <w:rsid w:val="008A4F47"/>
    <w:rsid w:val="008A596F"/>
    <w:rsid w:val="008A6EB0"/>
    <w:rsid w:val="008A6EE1"/>
    <w:rsid w:val="008A71E3"/>
    <w:rsid w:val="008B0CCF"/>
    <w:rsid w:val="008B1073"/>
    <w:rsid w:val="008B186E"/>
    <w:rsid w:val="008B2E28"/>
    <w:rsid w:val="008B3329"/>
    <w:rsid w:val="008B3E3F"/>
    <w:rsid w:val="008B3EB2"/>
    <w:rsid w:val="008B560E"/>
    <w:rsid w:val="008B59B5"/>
    <w:rsid w:val="008B7788"/>
    <w:rsid w:val="008C09D9"/>
    <w:rsid w:val="008C2156"/>
    <w:rsid w:val="008C36EC"/>
    <w:rsid w:val="008C3F44"/>
    <w:rsid w:val="008C66FF"/>
    <w:rsid w:val="008C7EBB"/>
    <w:rsid w:val="008D0B5F"/>
    <w:rsid w:val="008D1512"/>
    <w:rsid w:val="008D1624"/>
    <w:rsid w:val="008D26A6"/>
    <w:rsid w:val="008D2A42"/>
    <w:rsid w:val="008D3116"/>
    <w:rsid w:val="008D3C44"/>
    <w:rsid w:val="008D5E6C"/>
    <w:rsid w:val="008D670E"/>
    <w:rsid w:val="008D6B69"/>
    <w:rsid w:val="008D73EA"/>
    <w:rsid w:val="008E2843"/>
    <w:rsid w:val="008E2C76"/>
    <w:rsid w:val="008E41EC"/>
    <w:rsid w:val="008E544A"/>
    <w:rsid w:val="008E6069"/>
    <w:rsid w:val="008E6E57"/>
    <w:rsid w:val="008E7893"/>
    <w:rsid w:val="008E79BB"/>
    <w:rsid w:val="008F073D"/>
    <w:rsid w:val="008F087D"/>
    <w:rsid w:val="008F1AA1"/>
    <w:rsid w:val="008F1AD7"/>
    <w:rsid w:val="008F2396"/>
    <w:rsid w:val="008F2F44"/>
    <w:rsid w:val="008F2F8A"/>
    <w:rsid w:val="008F47F7"/>
    <w:rsid w:val="008F4A38"/>
    <w:rsid w:val="008F509E"/>
    <w:rsid w:val="008F50CB"/>
    <w:rsid w:val="008F6A13"/>
    <w:rsid w:val="008F7112"/>
    <w:rsid w:val="008F7845"/>
    <w:rsid w:val="009004A7"/>
    <w:rsid w:val="00901D11"/>
    <w:rsid w:val="00902058"/>
    <w:rsid w:val="0090242F"/>
    <w:rsid w:val="00902A59"/>
    <w:rsid w:val="00903112"/>
    <w:rsid w:val="00903AAC"/>
    <w:rsid w:val="0090409E"/>
    <w:rsid w:val="009040A6"/>
    <w:rsid w:val="009053D5"/>
    <w:rsid w:val="0090570D"/>
    <w:rsid w:val="0090677A"/>
    <w:rsid w:val="00911842"/>
    <w:rsid w:val="00911A13"/>
    <w:rsid w:val="00912098"/>
    <w:rsid w:val="009124FB"/>
    <w:rsid w:val="00913981"/>
    <w:rsid w:val="009153ED"/>
    <w:rsid w:val="009165A3"/>
    <w:rsid w:val="009176C0"/>
    <w:rsid w:val="00920416"/>
    <w:rsid w:val="0092080D"/>
    <w:rsid w:val="00920B6C"/>
    <w:rsid w:val="0092363A"/>
    <w:rsid w:val="00925B7B"/>
    <w:rsid w:val="00925D8C"/>
    <w:rsid w:val="00926160"/>
    <w:rsid w:val="00930EA5"/>
    <w:rsid w:val="009325E0"/>
    <w:rsid w:val="00932F09"/>
    <w:rsid w:val="009340A4"/>
    <w:rsid w:val="009352C1"/>
    <w:rsid w:val="00935577"/>
    <w:rsid w:val="009356F4"/>
    <w:rsid w:val="00935C32"/>
    <w:rsid w:val="00937254"/>
    <w:rsid w:val="009372EB"/>
    <w:rsid w:val="0093780F"/>
    <w:rsid w:val="00941155"/>
    <w:rsid w:val="00941655"/>
    <w:rsid w:val="00941AD4"/>
    <w:rsid w:val="00941D7A"/>
    <w:rsid w:val="00941E54"/>
    <w:rsid w:val="00942382"/>
    <w:rsid w:val="00942E04"/>
    <w:rsid w:val="00944D05"/>
    <w:rsid w:val="00944FC5"/>
    <w:rsid w:val="009462DB"/>
    <w:rsid w:val="0094668A"/>
    <w:rsid w:val="00950293"/>
    <w:rsid w:val="0095110F"/>
    <w:rsid w:val="00951196"/>
    <w:rsid w:val="009527F4"/>
    <w:rsid w:val="009529E2"/>
    <w:rsid w:val="00956193"/>
    <w:rsid w:val="00957008"/>
    <w:rsid w:val="0096100B"/>
    <w:rsid w:val="0096107A"/>
    <w:rsid w:val="009620B1"/>
    <w:rsid w:val="009631BD"/>
    <w:rsid w:val="00964BA0"/>
    <w:rsid w:val="00964D9C"/>
    <w:rsid w:val="00965460"/>
    <w:rsid w:val="00967403"/>
    <w:rsid w:val="00967B58"/>
    <w:rsid w:val="00970877"/>
    <w:rsid w:val="00971ABE"/>
    <w:rsid w:val="00977885"/>
    <w:rsid w:val="00977A69"/>
    <w:rsid w:val="00980AEA"/>
    <w:rsid w:val="009817BB"/>
    <w:rsid w:val="009818D3"/>
    <w:rsid w:val="00984186"/>
    <w:rsid w:val="00986A1F"/>
    <w:rsid w:val="0098713A"/>
    <w:rsid w:val="00987622"/>
    <w:rsid w:val="0098769A"/>
    <w:rsid w:val="009934D0"/>
    <w:rsid w:val="00997BB8"/>
    <w:rsid w:val="00997ECD"/>
    <w:rsid w:val="009A0743"/>
    <w:rsid w:val="009A0FF5"/>
    <w:rsid w:val="009A1391"/>
    <w:rsid w:val="009A3345"/>
    <w:rsid w:val="009A3BD6"/>
    <w:rsid w:val="009A4359"/>
    <w:rsid w:val="009A48C6"/>
    <w:rsid w:val="009A4F3B"/>
    <w:rsid w:val="009A79C9"/>
    <w:rsid w:val="009B0037"/>
    <w:rsid w:val="009B07F2"/>
    <w:rsid w:val="009B081C"/>
    <w:rsid w:val="009B088E"/>
    <w:rsid w:val="009B26B0"/>
    <w:rsid w:val="009B29A3"/>
    <w:rsid w:val="009B2A52"/>
    <w:rsid w:val="009B2F73"/>
    <w:rsid w:val="009B3EC9"/>
    <w:rsid w:val="009B5A73"/>
    <w:rsid w:val="009B6230"/>
    <w:rsid w:val="009B711C"/>
    <w:rsid w:val="009B7F7E"/>
    <w:rsid w:val="009C4C10"/>
    <w:rsid w:val="009C52BB"/>
    <w:rsid w:val="009C598E"/>
    <w:rsid w:val="009C5AFE"/>
    <w:rsid w:val="009C5E0E"/>
    <w:rsid w:val="009C5F7D"/>
    <w:rsid w:val="009C69C9"/>
    <w:rsid w:val="009C72F8"/>
    <w:rsid w:val="009C7825"/>
    <w:rsid w:val="009D03A0"/>
    <w:rsid w:val="009D1088"/>
    <w:rsid w:val="009D1E19"/>
    <w:rsid w:val="009D25F5"/>
    <w:rsid w:val="009D5A67"/>
    <w:rsid w:val="009D6C9F"/>
    <w:rsid w:val="009D7E41"/>
    <w:rsid w:val="009E0102"/>
    <w:rsid w:val="009E04E4"/>
    <w:rsid w:val="009E14C1"/>
    <w:rsid w:val="009E1994"/>
    <w:rsid w:val="009E461C"/>
    <w:rsid w:val="009E5BB8"/>
    <w:rsid w:val="009E75CE"/>
    <w:rsid w:val="009E7897"/>
    <w:rsid w:val="009F1ACD"/>
    <w:rsid w:val="009F1C36"/>
    <w:rsid w:val="009F2FFD"/>
    <w:rsid w:val="009F308E"/>
    <w:rsid w:val="009F5BFA"/>
    <w:rsid w:val="009F6BA1"/>
    <w:rsid w:val="009F7D52"/>
    <w:rsid w:val="00A0040D"/>
    <w:rsid w:val="00A00C0D"/>
    <w:rsid w:val="00A012F6"/>
    <w:rsid w:val="00A02D17"/>
    <w:rsid w:val="00A034F8"/>
    <w:rsid w:val="00A04393"/>
    <w:rsid w:val="00A05020"/>
    <w:rsid w:val="00A054BD"/>
    <w:rsid w:val="00A06316"/>
    <w:rsid w:val="00A10240"/>
    <w:rsid w:val="00A12388"/>
    <w:rsid w:val="00A12902"/>
    <w:rsid w:val="00A12FD9"/>
    <w:rsid w:val="00A16EB4"/>
    <w:rsid w:val="00A17126"/>
    <w:rsid w:val="00A20DB9"/>
    <w:rsid w:val="00A223B3"/>
    <w:rsid w:val="00A233A9"/>
    <w:rsid w:val="00A24F38"/>
    <w:rsid w:val="00A26E8E"/>
    <w:rsid w:val="00A278E2"/>
    <w:rsid w:val="00A3051A"/>
    <w:rsid w:val="00A30DCC"/>
    <w:rsid w:val="00A3183A"/>
    <w:rsid w:val="00A31D11"/>
    <w:rsid w:val="00A32622"/>
    <w:rsid w:val="00A32D85"/>
    <w:rsid w:val="00A32E5C"/>
    <w:rsid w:val="00A32FC1"/>
    <w:rsid w:val="00A34249"/>
    <w:rsid w:val="00A34D53"/>
    <w:rsid w:val="00A34E53"/>
    <w:rsid w:val="00A357E4"/>
    <w:rsid w:val="00A35FF4"/>
    <w:rsid w:val="00A36AFF"/>
    <w:rsid w:val="00A40DCC"/>
    <w:rsid w:val="00A41973"/>
    <w:rsid w:val="00A420D7"/>
    <w:rsid w:val="00A44BDC"/>
    <w:rsid w:val="00A466BB"/>
    <w:rsid w:val="00A47539"/>
    <w:rsid w:val="00A47EB0"/>
    <w:rsid w:val="00A50119"/>
    <w:rsid w:val="00A5102A"/>
    <w:rsid w:val="00A51CF2"/>
    <w:rsid w:val="00A52C77"/>
    <w:rsid w:val="00A54B6F"/>
    <w:rsid w:val="00A55586"/>
    <w:rsid w:val="00A55C72"/>
    <w:rsid w:val="00A56EA3"/>
    <w:rsid w:val="00A5748A"/>
    <w:rsid w:val="00A61F9E"/>
    <w:rsid w:val="00A645D5"/>
    <w:rsid w:val="00A6502B"/>
    <w:rsid w:val="00A65695"/>
    <w:rsid w:val="00A65D9E"/>
    <w:rsid w:val="00A66887"/>
    <w:rsid w:val="00A668E9"/>
    <w:rsid w:val="00A67134"/>
    <w:rsid w:val="00A70353"/>
    <w:rsid w:val="00A705A2"/>
    <w:rsid w:val="00A70EF0"/>
    <w:rsid w:val="00A72D71"/>
    <w:rsid w:val="00A73D45"/>
    <w:rsid w:val="00A76011"/>
    <w:rsid w:val="00A76419"/>
    <w:rsid w:val="00A766CD"/>
    <w:rsid w:val="00A800D0"/>
    <w:rsid w:val="00A80D3E"/>
    <w:rsid w:val="00A81D19"/>
    <w:rsid w:val="00A82D09"/>
    <w:rsid w:val="00A8352F"/>
    <w:rsid w:val="00A8379D"/>
    <w:rsid w:val="00A83D7F"/>
    <w:rsid w:val="00A84488"/>
    <w:rsid w:val="00A84F1D"/>
    <w:rsid w:val="00A851CE"/>
    <w:rsid w:val="00A865BE"/>
    <w:rsid w:val="00A86F3C"/>
    <w:rsid w:val="00A86F8B"/>
    <w:rsid w:val="00A911D6"/>
    <w:rsid w:val="00A938D8"/>
    <w:rsid w:val="00A93B70"/>
    <w:rsid w:val="00A94063"/>
    <w:rsid w:val="00A94569"/>
    <w:rsid w:val="00A95C50"/>
    <w:rsid w:val="00A966BF"/>
    <w:rsid w:val="00AA1D54"/>
    <w:rsid w:val="00AA1F05"/>
    <w:rsid w:val="00AA3D4D"/>
    <w:rsid w:val="00AA4590"/>
    <w:rsid w:val="00AA50C6"/>
    <w:rsid w:val="00AA55BE"/>
    <w:rsid w:val="00AA6ED2"/>
    <w:rsid w:val="00AA7EDA"/>
    <w:rsid w:val="00AB18D1"/>
    <w:rsid w:val="00AB2073"/>
    <w:rsid w:val="00AB2AE1"/>
    <w:rsid w:val="00AB3AC4"/>
    <w:rsid w:val="00AB4565"/>
    <w:rsid w:val="00AB469C"/>
    <w:rsid w:val="00AB589C"/>
    <w:rsid w:val="00AB634B"/>
    <w:rsid w:val="00AB6884"/>
    <w:rsid w:val="00AB7180"/>
    <w:rsid w:val="00AB7AC8"/>
    <w:rsid w:val="00AC07CE"/>
    <w:rsid w:val="00AC1004"/>
    <w:rsid w:val="00AC11C7"/>
    <w:rsid w:val="00AC12D2"/>
    <w:rsid w:val="00AC18AD"/>
    <w:rsid w:val="00AC2246"/>
    <w:rsid w:val="00AC251F"/>
    <w:rsid w:val="00AC460F"/>
    <w:rsid w:val="00AC4F85"/>
    <w:rsid w:val="00AC5014"/>
    <w:rsid w:val="00AC60B1"/>
    <w:rsid w:val="00AC6365"/>
    <w:rsid w:val="00AD1DBB"/>
    <w:rsid w:val="00AD222F"/>
    <w:rsid w:val="00AD5A91"/>
    <w:rsid w:val="00AD642D"/>
    <w:rsid w:val="00AD6763"/>
    <w:rsid w:val="00AD75DB"/>
    <w:rsid w:val="00AD7676"/>
    <w:rsid w:val="00AD76F1"/>
    <w:rsid w:val="00AD79EE"/>
    <w:rsid w:val="00AD7A95"/>
    <w:rsid w:val="00AE2894"/>
    <w:rsid w:val="00AE2A1A"/>
    <w:rsid w:val="00AE2FD7"/>
    <w:rsid w:val="00AE3787"/>
    <w:rsid w:val="00AE3B8A"/>
    <w:rsid w:val="00AE3CB6"/>
    <w:rsid w:val="00AE4102"/>
    <w:rsid w:val="00AE4838"/>
    <w:rsid w:val="00AE4859"/>
    <w:rsid w:val="00AE4FD0"/>
    <w:rsid w:val="00AE6231"/>
    <w:rsid w:val="00AE6E8F"/>
    <w:rsid w:val="00AE7806"/>
    <w:rsid w:val="00AF0230"/>
    <w:rsid w:val="00AF230C"/>
    <w:rsid w:val="00AF34B3"/>
    <w:rsid w:val="00AF43A7"/>
    <w:rsid w:val="00AF73E7"/>
    <w:rsid w:val="00B00F47"/>
    <w:rsid w:val="00B01184"/>
    <w:rsid w:val="00B02F3C"/>
    <w:rsid w:val="00B04F5E"/>
    <w:rsid w:val="00B056DE"/>
    <w:rsid w:val="00B104A6"/>
    <w:rsid w:val="00B104DD"/>
    <w:rsid w:val="00B122D1"/>
    <w:rsid w:val="00B123A9"/>
    <w:rsid w:val="00B12733"/>
    <w:rsid w:val="00B129BA"/>
    <w:rsid w:val="00B1327B"/>
    <w:rsid w:val="00B13A19"/>
    <w:rsid w:val="00B14539"/>
    <w:rsid w:val="00B17181"/>
    <w:rsid w:val="00B17B69"/>
    <w:rsid w:val="00B21308"/>
    <w:rsid w:val="00B217C7"/>
    <w:rsid w:val="00B27DB7"/>
    <w:rsid w:val="00B31338"/>
    <w:rsid w:val="00B32A76"/>
    <w:rsid w:val="00B3312B"/>
    <w:rsid w:val="00B345E2"/>
    <w:rsid w:val="00B35450"/>
    <w:rsid w:val="00B3646B"/>
    <w:rsid w:val="00B36D66"/>
    <w:rsid w:val="00B36E85"/>
    <w:rsid w:val="00B37842"/>
    <w:rsid w:val="00B37DD8"/>
    <w:rsid w:val="00B37EF5"/>
    <w:rsid w:val="00B3E4D7"/>
    <w:rsid w:val="00B401F1"/>
    <w:rsid w:val="00B417C8"/>
    <w:rsid w:val="00B42095"/>
    <w:rsid w:val="00B4244A"/>
    <w:rsid w:val="00B42FB8"/>
    <w:rsid w:val="00B43815"/>
    <w:rsid w:val="00B4478D"/>
    <w:rsid w:val="00B461AF"/>
    <w:rsid w:val="00B5058D"/>
    <w:rsid w:val="00B52904"/>
    <w:rsid w:val="00B52EFE"/>
    <w:rsid w:val="00B53242"/>
    <w:rsid w:val="00B5405B"/>
    <w:rsid w:val="00B540C1"/>
    <w:rsid w:val="00B543AE"/>
    <w:rsid w:val="00B549D8"/>
    <w:rsid w:val="00B56E1E"/>
    <w:rsid w:val="00B57D8B"/>
    <w:rsid w:val="00B60E88"/>
    <w:rsid w:val="00B637D9"/>
    <w:rsid w:val="00B64854"/>
    <w:rsid w:val="00B65BC2"/>
    <w:rsid w:val="00B660E0"/>
    <w:rsid w:val="00B67016"/>
    <w:rsid w:val="00B67B61"/>
    <w:rsid w:val="00B7055A"/>
    <w:rsid w:val="00B707F3"/>
    <w:rsid w:val="00B70E96"/>
    <w:rsid w:val="00B70FA0"/>
    <w:rsid w:val="00B741D2"/>
    <w:rsid w:val="00B8211D"/>
    <w:rsid w:val="00B824D5"/>
    <w:rsid w:val="00B8342F"/>
    <w:rsid w:val="00B83D09"/>
    <w:rsid w:val="00B84D2A"/>
    <w:rsid w:val="00B86D78"/>
    <w:rsid w:val="00B86E8C"/>
    <w:rsid w:val="00B87B4F"/>
    <w:rsid w:val="00B90B8F"/>
    <w:rsid w:val="00B920F2"/>
    <w:rsid w:val="00B92141"/>
    <w:rsid w:val="00B925D1"/>
    <w:rsid w:val="00B930B0"/>
    <w:rsid w:val="00B93DF5"/>
    <w:rsid w:val="00B948A2"/>
    <w:rsid w:val="00B94A7A"/>
    <w:rsid w:val="00B96D4A"/>
    <w:rsid w:val="00B97264"/>
    <w:rsid w:val="00B97526"/>
    <w:rsid w:val="00B979E2"/>
    <w:rsid w:val="00B97ED4"/>
    <w:rsid w:val="00BA0B6F"/>
    <w:rsid w:val="00BA1D64"/>
    <w:rsid w:val="00BA2ED5"/>
    <w:rsid w:val="00BB0921"/>
    <w:rsid w:val="00BB1575"/>
    <w:rsid w:val="00BB400A"/>
    <w:rsid w:val="00BB5ACC"/>
    <w:rsid w:val="00BB796E"/>
    <w:rsid w:val="00BB7FD8"/>
    <w:rsid w:val="00BC1231"/>
    <w:rsid w:val="00BC1370"/>
    <w:rsid w:val="00BC1A23"/>
    <w:rsid w:val="00BC1ADB"/>
    <w:rsid w:val="00BC4905"/>
    <w:rsid w:val="00BC4F71"/>
    <w:rsid w:val="00BC5097"/>
    <w:rsid w:val="00BC54CD"/>
    <w:rsid w:val="00BC6689"/>
    <w:rsid w:val="00BC6A7C"/>
    <w:rsid w:val="00BC7DB9"/>
    <w:rsid w:val="00BC7FDC"/>
    <w:rsid w:val="00BD0D27"/>
    <w:rsid w:val="00BD10AC"/>
    <w:rsid w:val="00BD123B"/>
    <w:rsid w:val="00BD1DA7"/>
    <w:rsid w:val="00BD1F77"/>
    <w:rsid w:val="00BD38D7"/>
    <w:rsid w:val="00BD4CFD"/>
    <w:rsid w:val="00BD556B"/>
    <w:rsid w:val="00BD6147"/>
    <w:rsid w:val="00BE0854"/>
    <w:rsid w:val="00BE3EEA"/>
    <w:rsid w:val="00BE48E8"/>
    <w:rsid w:val="00BE75DD"/>
    <w:rsid w:val="00BF1F84"/>
    <w:rsid w:val="00BF2202"/>
    <w:rsid w:val="00BF2EDD"/>
    <w:rsid w:val="00BF4007"/>
    <w:rsid w:val="00BF4EAB"/>
    <w:rsid w:val="00BF7AB0"/>
    <w:rsid w:val="00C006BE"/>
    <w:rsid w:val="00C00B0D"/>
    <w:rsid w:val="00C00CD6"/>
    <w:rsid w:val="00C02117"/>
    <w:rsid w:val="00C02664"/>
    <w:rsid w:val="00C0312F"/>
    <w:rsid w:val="00C03FE7"/>
    <w:rsid w:val="00C0592C"/>
    <w:rsid w:val="00C12001"/>
    <w:rsid w:val="00C12D4A"/>
    <w:rsid w:val="00C1364B"/>
    <w:rsid w:val="00C13B81"/>
    <w:rsid w:val="00C14820"/>
    <w:rsid w:val="00C15A24"/>
    <w:rsid w:val="00C15B66"/>
    <w:rsid w:val="00C17363"/>
    <w:rsid w:val="00C201C5"/>
    <w:rsid w:val="00C221EB"/>
    <w:rsid w:val="00C23692"/>
    <w:rsid w:val="00C23B41"/>
    <w:rsid w:val="00C23CC4"/>
    <w:rsid w:val="00C251B3"/>
    <w:rsid w:val="00C26675"/>
    <w:rsid w:val="00C275D7"/>
    <w:rsid w:val="00C32357"/>
    <w:rsid w:val="00C323AC"/>
    <w:rsid w:val="00C325DD"/>
    <w:rsid w:val="00C32BFF"/>
    <w:rsid w:val="00C32C5F"/>
    <w:rsid w:val="00C32F2F"/>
    <w:rsid w:val="00C32F6A"/>
    <w:rsid w:val="00C33048"/>
    <w:rsid w:val="00C40D5B"/>
    <w:rsid w:val="00C410A4"/>
    <w:rsid w:val="00C41209"/>
    <w:rsid w:val="00C416F8"/>
    <w:rsid w:val="00C41A0E"/>
    <w:rsid w:val="00C425AB"/>
    <w:rsid w:val="00C44FC7"/>
    <w:rsid w:val="00C4570A"/>
    <w:rsid w:val="00C460FF"/>
    <w:rsid w:val="00C46BE3"/>
    <w:rsid w:val="00C475F9"/>
    <w:rsid w:val="00C51553"/>
    <w:rsid w:val="00C51592"/>
    <w:rsid w:val="00C5203C"/>
    <w:rsid w:val="00C521BA"/>
    <w:rsid w:val="00C52452"/>
    <w:rsid w:val="00C53820"/>
    <w:rsid w:val="00C53AFB"/>
    <w:rsid w:val="00C554D9"/>
    <w:rsid w:val="00C55E92"/>
    <w:rsid w:val="00C56BF6"/>
    <w:rsid w:val="00C60023"/>
    <w:rsid w:val="00C60581"/>
    <w:rsid w:val="00C60725"/>
    <w:rsid w:val="00C60FF5"/>
    <w:rsid w:val="00C61664"/>
    <w:rsid w:val="00C61E91"/>
    <w:rsid w:val="00C628C3"/>
    <w:rsid w:val="00C63860"/>
    <w:rsid w:val="00C6621C"/>
    <w:rsid w:val="00C663BA"/>
    <w:rsid w:val="00C67436"/>
    <w:rsid w:val="00C7035A"/>
    <w:rsid w:val="00C70452"/>
    <w:rsid w:val="00C708CB"/>
    <w:rsid w:val="00C70FEB"/>
    <w:rsid w:val="00C74E51"/>
    <w:rsid w:val="00C7595D"/>
    <w:rsid w:val="00C807A5"/>
    <w:rsid w:val="00C817F6"/>
    <w:rsid w:val="00C81886"/>
    <w:rsid w:val="00C81FC3"/>
    <w:rsid w:val="00C82151"/>
    <w:rsid w:val="00C8279F"/>
    <w:rsid w:val="00C829EE"/>
    <w:rsid w:val="00C833E9"/>
    <w:rsid w:val="00C841FD"/>
    <w:rsid w:val="00C87DCA"/>
    <w:rsid w:val="00C9041E"/>
    <w:rsid w:val="00C91706"/>
    <w:rsid w:val="00C922AE"/>
    <w:rsid w:val="00C92932"/>
    <w:rsid w:val="00C94626"/>
    <w:rsid w:val="00C95810"/>
    <w:rsid w:val="00C96395"/>
    <w:rsid w:val="00C973C1"/>
    <w:rsid w:val="00C97527"/>
    <w:rsid w:val="00CA13DB"/>
    <w:rsid w:val="00CA155E"/>
    <w:rsid w:val="00CA1D63"/>
    <w:rsid w:val="00CA1F22"/>
    <w:rsid w:val="00CA2652"/>
    <w:rsid w:val="00CA27B4"/>
    <w:rsid w:val="00CA282C"/>
    <w:rsid w:val="00CA4420"/>
    <w:rsid w:val="00CA5C8C"/>
    <w:rsid w:val="00CA5E14"/>
    <w:rsid w:val="00CA70FD"/>
    <w:rsid w:val="00CB0ECC"/>
    <w:rsid w:val="00CB28B0"/>
    <w:rsid w:val="00CB3BDA"/>
    <w:rsid w:val="00CB5CFF"/>
    <w:rsid w:val="00CB695A"/>
    <w:rsid w:val="00CB6A96"/>
    <w:rsid w:val="00CB6BD9"/>
    <w:rsid w:val="00CB7261"/>
    <w:rsid w:val="00CB776A"/>
    <w:rsid w:val="00CB788A"/>
    <w:rsid w:val="00CC0274"/>
    <w:rsid w:val="00CC2BCE"/>
    <w:rsid w:val="00CC4C70"/>
    <w:rsid w:val="00CC4F1B"/>
    <w:rsid w:val="00CC58ED"/>
    <w:rsid w:val="00CC5D90"/>
    <w:rsid w:val="00CC7EE0"/>
    <w:rsid w:val="00CD1457"/>
    <w:rsid w:val="00CD2709"/>
    <w:rsid w:val="00CD6AFD"/>
    <w:rsid w:val="00CD6DDC"/>
    <w:rsid w:val="00CD76AF"/>
    <w:rsid w:val="00CE0FA8"/>
    <w:rsid w:val="00CE1F1D"/>
    <w:rsid w:val="00CE37CD"/>
    <w:rsid w:val="00CE3C56"/>
    <w:rsid w:val="00CE478F"/>
    <w:rsid w:val="00CE4987"/>
    <w:rsid w:val="00CE49EF"/>
    <w:rsid w:val="00CE4FF4"/>
    <w:rsid w:val="00CE7AC1"/>
    <w:rsid w:val="00CE7FE7"/>
    <w:rsid w:val="00CF1D26"/>
    <w:rsid w:val="00CF309F"/>
    <w:rsid w:val="00CF3B1D"/>
    <w:rsid w:val="00CF3D38"/>
    <w:rsid w:val="00CF4E9B"/>
    <w:rsid w:val="00CF5064"/>
    <w:rsid w:val="00CF72A8"/>
    <w:rsid w:val="00D00344"/>
    <w:rsid w:val="00D012F1"/>
    <w:rsid w:val="00D02047"/>
    <w:rsid w:val="00D03F95"/>
    <w:rsid w:val="00D0487D"/>
    <w:rsid w:val="00D054F7"/>
    <w:rsid w:val="00D0650D"/>
    <w:rsid w:val="00D068F7"/>
    <w:rsid w:val="00D0690F"/>
    <w:rsid w:val="00D06E79"/>
    <w:rsid w:val="00D071C5"/>
    <w:rsid w:val="00D1092B"/>
    <w:rsid w:val="00D10D8D"/>
    <w:rsid w:val="00D1131D"/>
    <w:rsid w:val="00D11D75"/>
    <w:rsid w:val="00D1223C"/>
    <w:rsid w:val="00D13437"/>
    <w:rsid w:val="00D135A0"/>
    <w:rsid w:val="00D13B19"/>
    <w:rsid w:val="00D13B79"/>
    <w:rsid w:val="00D140DB"/>
    <w:rsid w:val="00D14541"/>
    <w:rsid w:val="00D156FF"/>
    <w:rsid w:val="00D20309"/>
    <w:rsid w:val="00D218AE"/>
    <w:rsid w:val="00D238AB"/>
    <w:rsid w:val="00D251C2"/>
    <w:rsid w:val="00D25A35"/>
    <w:rsid w:val="00D25ADB"/>
    <w:rsid w:val="00D268BD"/>
    <w:rsid w:val="00D26B50"/>
    <w:rsid w:val="00D270A0"/>
    <w:rsid w:val="00D30813"/>
    <w:rsid w:val="00D3183A"/>
    <w:rsid w:val="00D332CD"/>
    <w:rsid w:val="00D34324"/>
    <w:rsid w:val="00D402F4"/>
    <w:rsid w:val="00D40610"/>
    <w:rsid w:val="00D425A4"/>
    <w:rsid w:val="00D438DB"/>
    <w:rsid w:val="00D43D6F"/>
    <w:rsid w:val="00D43F7C"/>
    <w:rsid w:val="00D44E77"/>
    <w:rsid w:val="00D45324"/>
    <w:rsid w:val="00D45BE6"/>
    <w:rsid w:val="00D4603C"/>
    <w:rsid w:val="00D464F4"/>
    <w:rsid w:val="00D46713"/>
    <w:rsid w:val="00D469E6"/>
    <w:rsid w:val="00D46A68"/>
    <w:rsid w:val="00D47DF4"/>
    <w:rsid w:val="00D50934"/>
    <w:rsid w:val="00D50E96"/>
    <w:rsid w:val="00D51C6C"/>
    <w:rsid w:val="00D5479D"/>
    <w:rsid w:val="00D558A0"/>
    <w:rsid w:val="00D55F58"/>
    <w:rsid w:val="00D56927"/>
    <w:rsid w:val="00D57110"/>
    <w:rsid w:val="00D575A6"/>
    <w:rsid w:val="00D57FF2"/>
    <w:rsid w:val="00D607ED"/>
    <w:rsid w:val="00D613CD"/>
    <w:rsid w:val="00D6178F"/>
    <w:rsid w:val="00D6204E"/>
    <w:rsid w:val="00D626FE"/>
    <w:rsid w:val="00D65B94"/>
    <w:rsid w:val="00D66123"/>
    <w:rsid w:val="00D66487"/>
    <w:rsid w:val="00D66F80"/>
    <w:rsid w:val="00D711D2"/>
    <w:rsid w:val="00D7164A"/>
    <w:rsid w:val="00D729B5"/>
    <w:rsid w:val="00D743EB"/>
    <w:rsid w:val="00D74AD2"/>
    <w:rsid w:val="00D76678"/>
    <w:rsid w:val="00D76C06"/>
    <w:rsid w:val="00D80A1F"/>
    <w:rsid w:val="00D8369A"/>
    <w:rsid w:val="00D84F44"/>
    <w:rsid w:val="00D85662"/>
    <w:rsid w:val="00D87C8A"/>
    <w:rsid w:val="00D91719"/>
    <w:rsid w:val="00D92508"/>
    <w:rsid w:val="00D92CD8"/>
    <w:rsid w:val="00D93EB3"/>
    <w:rsid w:val="00D94430"/>
    <w:rsid w:val="00D94903"/>
    <w:rsid w:val="00D95873"/>
    <w:rsid w:val="00D95B69"/>
    <w:rsid w:val="00D962E2"/>
    <w:rsid w:val="00D9660A"/>
    <w:rsid w:val="00DA0316"/>
    <w:rsid w:val="00DA210B"/>
    <w:rsid w:val="00DA3AB7"/>
    <w:rsid w:val="00DA435A"/>
    <w:rsid w:val="00DA4B20"/>
    <w:rsid w:val="00DA5190"/>
    <w:rsid w:val="00DA58E5"/>
    <w:rsid w:val="00DA7274"/>
    <w:rsid w:val="00DB0113"/>
    <w:rsid w:val="00DB1337"/>
    <w:rsid w:val="00DB20D0"/>
    <w:rsid w:val="00DB23F4"/>
    <w:rsid w:val="00DB27CC"/>
    <w:rsid w:val="00DB2D61"/>
    <w:rsid w:val="00DB35FB"/>
    <w:rsid w:val="00DB3886"/>
    <w:rsid w:val="00DB56AE"/>
    <w:rsid w:val="00DB6A03"/>
    <w:rsid w:val="00DB7710"/>
    <w:rsid w:val="00DB7BE8"/>
    <w:rsid w:val="00DC205F"/>
    <w:rsid w:val="00DC238A"/>
    <w:rsid w:val="00DC2628"/>
    <w:rsid w:val="00DC543E"/>
    <w:rsid w:val="00DC674A"/>
    <w:rsid w:val="00DC6E6F"/>
    <w:rsid w:val="00DD0B29"/>
    <w:rsid w:val="00DD1841"/>
    <w:rsid w:val="00DD1BCD"/>
    <w:rsid w:val="00DD212C"/>
    <w:rsid w:val="00DD2316"/>
    <w:rsid w:val="00DD2710"/>
    <w:rsid w:val="00DD3B03"/>
    <w:rsid w:val="00DD3C1A"/>
    <w:rsid w:val="00DD4247"/>
    <w:rsid w:val="00DD4B1E"/>
    <w:rsid w:val="00DD5800"/>
    <w:rsid w:val="00DD6A0C"/>
    <w:rsid w:val="00DD6C01"/>
    <w:rsid w:val="00DD7990"/>
    <w:rsid w:val="00DE0430"/>
    <w:rsid w:val="00DE1590"/>
    <w:rsid w:val="00DE1718"/>
    <w:rsid w:val="00DE3107"/>
    <w:rsid w:val="00DE361A"/>
    <w:rsid w:val="00DE368E"/>
    <w:rsid w:val="00DE3E1E"/>
    <w:rsid w:val="00DE542B"/>
    <w:rsid w:val="00DE571B"/>
    <w:rsid w:val="00DE6C24"/>
    <w:rsid w:val="00DF0C56"/>
    <w:rsid w:val="00DF16B1"/>
    <w:rsid w:val="00DF2319"/>
    <w:rsid w:val="00DF39D8"/>
    <w:rsid w:val="00DF4FDB"/>
    <w:rsid w:val="00DF610B"/>
    <w:rsid w:val="00DF6C23"/>
    <w:rsid w:val="00E01B9B"/>
    <w:rsid w:val="00E01D40"/>
    <w:rsid w:val="00E02129"/>
    <w:rsid w:val="00E0229D"/>
    <w:rsid w:val="00E034AE"/>
    <w:rsid w:val="00E04206"/>
    <w:rsid w:val="00E0499F"/>
    <w:rsid w:val="00E04AC6"/>
    <w:rsid w:val="00E06532"/>
    <w:rsid w:val="00E11414"/>
    <w:rsid w:val="00E13E3C"/>
    <w:rsid w:val="00E155DB"/>
    <w:rsid w:val="00E1569D"/>
    <w:rsid w:val="00E159CB"/>
    <w:rsid w:val="00E16DA6"/>
    <w:rsid w:val="00E20F19"/>
    <w:rsid w:val="00E21226"/>
    <w:rsid w:val="00E21F3A"/>
    <w:rsid w:val="00E21FE1"/>
    <w:rsid w:val="00E22101"/>
    <w:rsid w:val="00E22A00"/>
    <w:rsid w:val="00E2452E"/>
    <w:rsid w:val="00E245DA"/>
    <w:rsid w:val="00E26404"/>
    <w:rsid w:val="00E27842"/>
    <w:rsid w:val="00E27D4B"/>
    <w:rsid w:val="00E27D61"/>
    <w:rsid w:val="00E3030F"/>
    <w:rsid w:val="00E30A3A"/>
    <w:rsid w:val="00E310B5"/>
    <w:rsid w:val="00E32F5D"/>
    <w:rsid w:val="00E33FB5"/>
    <w:rsid w:val="00E34437"/>
    <w:rsid w:val="00E3645C"/>
    <w:rsid w:val="00E36476"/>
    <w:rsid w:val="00E36C28"/>
    <w:rsid w:val="00E37B97"/>
    <w:rsid w:val="00E4095F"/>
    <w:rsid w:val="00E40C4D"/>
    <w:rsid w:val="00E41C77"/>
    <w:rsid w:val="00E4245D"/>
    <w:rsid w:val="00E424BF"/>
    <w:rsid w:val="00E425D6"/>
    <w:rsid w:val="00E426A7"/>
    <w:rsid w:val="00E4293C"/>
    <w:rsid w:val="00E438F6"/>
    <w:rsid w:val="00E440EE"/>
    <w:rsid w:val="00E44919"/>
    <w:rsid w:val="00E449E9"/>
    <w:rsid w:val="00E461CD"/>
    <w:rsid w:val="00E46964"/>
    <w:rsid w:val="00E476F1"/>
    <w:rsid w:val="00E507E7"/>
    <w:rsid w:val="00E50E1D"/>
    <w:rsid w:val="00E5168F"/>
    <w:rsid w:val="00E51A5D"/>
    <w:rsid w:val="00E51ED3"/>
    <w:rsid w:val="00E532AF"/>
    <w:rsid w:val="00E547FC"/>
    <w:rsid w:val="00E55103"/>
    <w:rsid w:val="00E5541B"/>
    <w:rsid w:val="00E55474"/>
    <w:rsid w:val="00E56538"/>
    <w:rsid w:val="00E571D4"/>
    <w:rsid w:val="00E57919"/>
    <w:rsid w:val="00E57E22"/>
    <w:rsid w:val="00E60D55"/>
    <w:rsid w:val="00E626EE"/>
    <w:rsid w:val="00E62C63"/>
    <w:rsid w:val="00E63EC9"/>
    <w:rsid w:val="00E64E05"/>
    <w:rsid w:val="00E65290"/>
    <w:rsid w:val="00E65B1D"/>
    <w:rsid w:val="00E662B6"/>
    <w:rsid w:val="00E66E6E"/>
    <w:rsid w:val="00E7599C"/>
    <w:rsid w:val="00E75E8A"/>
    <w:rsid w:val="00E76197"/>
    <w:rsid w:val="00E779D1"/>
    <w:rsid w:val="00E77B39"/>
    <w:rsid w:val="00E817C5"/>
    <w:rsid w:val="00E836F3"/>
    <w:rsid w:val="00E85BC7"/>
    <w:rsid w:val="00E85D62"/>
    <w:rsid w:val="00E85EEB"/>
    <w:rsid w:val="00E86243"/>
    <w:rsid w:val="00E86AA0"/>
    <w:rsid w:val="00E86B85"/>
    <w:rsid w:val="00E87209"/>
    <w:rsid w:val="00E916C6"/>
    <w:rsid w:val="00E92AAC"/>
    <w:rsid w:val="00E92C14"/>
    <w:rsid w:val="00E93ED5"/>
    <w:rsid w:val="00E95977"/>
    <w:rsid w:val="00E95E6C"/>
    <w:rsid w:val="00EA0009"/>
    <w:rsid w:val="00EA0022"/>
    <w:rsid w:val="00EA014B"/>
    <w:rsid w:val="00EA070B"/>
    <w:rsid w:val="00EA097A"/>
    <w:rsid w:val="00EA0A39"/>
    <w:rsid w:val="00EA0E21"/>
    <w:rsid w:val="00EA16F8"/>
    <w:rsid w:val="00EA2A17"/>
    <w:rsid w:val="00EA2AAF"/>
    <w:rsid w:val="00EA391C"/>
    <w:rsid w:val="00EA3E50"/>
    <w:rsid w:val="00EA503C"/>
    <w:rsid w:val="00EA5166"/>
    <w:rsid w:val="00EA649F"/>
    <w:rsid w:val="00EB19E1"/>
    <w:rsid w:val="00EB1CC9"/>
    <w:rsid w:val="00EB28B1"/>
    <w:rsid w:val="00EB36E2"/>
    <w:rsid w:val="00EB3B98"/>
    <w:rsid w:val="00EB55A7"/>
    <w:rsid w:val="00EB5A4B"/>
    <w:rsid w:val="00EB5BD6"/>
    <w:rsid w:val="00EC3F8E"/>
    <w:rsid w:val="00EC42A0"/>
    <w:rsid w:val="00EC5497"/>
    <w:rsid w:val="00EC59D9"/>
    <w:rsid w:val="00EC6B25"/>
    <w:rsid w:val="00ED066B"/>
    <w:rsid w:val="00ED0F9A"/>
    <w:rsid w:val="00ED11FF"/>
    <w:rsid w:val="00ED2784"/>
    <w:rsid w:val="00ED2D2E"/>
    <w:rsid w:val="00ED3152"/>
    <w:rsid w:val="00ED402E"/>
    <w:rsid w:val="00ED4A3A"/>
    <w:rsid w:val="00ED4B90"/>
    <w:rsid w:val="00ED574F"/>
    <w:rsid w:val="00ED5CF0"/>
    <w:rsid w:val="00ED6260"/>
    <w:rsid w:val="00ED674B"/>
    <w:rsid w:val="00EE0717"/>
    <w:rsid w:val="00EE2847"/>
    <w:rsid w:val="00EE4B80"/>
    <w:rsid w:val="00EE661E"/>
    <w:rsid w:val="00EF0A76"/>
    <w:rsid w:val="00EF1B6E"/>
    <w:rsid w:val="00EF28E3"/>
    <w:rsid w:val="00EF4A01"/>
    <w:rsid w:val="00EF6699"/>
    <w:rsid w:val="00EF6F69"/>
    <w:rsid w:val="00F00CCD"/>
    <w:rsid w:val="00F02547"/>
    <w:rsid w:val="00F039E1"/>
    <w:rsid w:val="00F07E8B"/>
    <w:rsid w:val="00F11313"/>
    <w:rsid w:val="00F11A95"/>
    <w:rsid w:val="00F11EAE"/>
    <w:rsid w:val="00F12BE8"/>
    <w:rsid w:val="00F137F4"/>
    <w:rsid w:val="00F13BE3"/>
    <w:rsid w:val="00F140E7"/>
    <w:rsid w:val="00F14BF3"/>
    <w:rsid w:val="00F16F54"/>
    <w:rsid w:val="00F213E4"/>
    <w:rsid w:val="00F2222F"/>
    <w:rsid w:val="00F23137"/>
    <w:rsid w:val="00F2346E"/>
    <w:rsid w:val="00F23645"/>
    <w:rsid w:val="00F2366E"/>
    <w:rsid w:val="00F24009"/>
    <w:rsid w:val="00F2412D"/>
    <w:rsid w:val="00F2419F"/>
    <w:rsid w:val="00F24451"/>
    <w:rsid w:val="00F27BCA"/>
    <w:rsid w:val="00F30ACD"/>
    <w:rsid w:val="00F3133C"/>
    <w:rsid w:val="00F31C35"/>
    <w:rsid w:val="00F35702"/>
    <w:rsid w:val="00F358CE"/>
    <w:rsid w:val="00F36AB3"/>
    <w:rsid w:val="00F434EA"/>
    <w:rsid w:val="00F4459E"/>
    <w:rsid w:val="00F44B2C"/>
    <w:rsid w:val="00F4551D"/>
    <w:rsid w:val="00F45C1A"/>
    <w:rsid w:val="00F479DF"/>
    <w:rsid w:val="00F523FF"/>
    <w:rsid w:val="00F5372B"/>
    <w:rsid w:val="00F547F6"/>
    <w:rsid w:val="00F54943"/>
    <w:rsid w:val="00F54EE6"/>
    <w:rsid w:val="00F55A49"/>
    <w:rsid w:val="00F55E9B"/>
    <w:rsid w:val="00F56415"/>
    <w:rsid w:val="00F56946"/>
    <w:rsid w:val="00F5732B"/>
    <w:rsid w:val="00F63C8F"/>
    <w:rsid w:val="00F655DF"/>
    <w:rsid w:val="00F6599F"/>
    <w:rsid w:val="00F67D19"/>
    <w:rsid w:val="00F71C09"/>
    <w:rsid w:val="00F727CE"/>
    <w:rsid w:val="00F73909"/>
    <w:rsid w:val="00F73E27"/>
    <w:rsid w:val="00F73F35"/>
    <w:rsid w:val="00F74078"/>
    <w:rsid w:val="00F74390"/>
    <w:rsid w:val="00F7713A"/>
    <w:rsid w:val="00F80B6F"/>
    <w:rsid w:val="00F8360B"/>
    <w:rsid w:val="00F83830"/>
    <w:rsid w:val="00F8434F"/>
    <w:rsid w:val="00F855E9"/>
    <w:rsid w:val="00F908E1"/>
    <w:rsid w:val="00F90EC7"/>
    <w:rsid w:val="00F9133D"/>
    <w:rsid w:val="00F9190D"/>
    <w:rsid w:val="00F92B74"/>
    <w:rsid w:val="00F9593F"/>
    <w:rsid w:val="00F95AEE"/>
    <w:rsid w:val="00F97A1C"/>
    <w:rsid w:val="00FA16EB"/>
    <w:rsid w:val="00FA17CC"/>
    <w:rsid w:val="00FA1CA5"/>
    <w:rsid w:val="00FA2207"/>
    <w:rsid w:val="00FA3012"/>
    <w:rsid w:val="00FA4823"/>
    <w:rsid w:val="00FA482D"/>
    <w:rsid w:val="00FA484C"/>
    <w:rsid w:val="00FA493A"/>
    <w:rsid w:val="00FA4CE2"/>
    <w:rsid w:val="00FA5A2E"/>
    <w:rsid w:val="00FA5AC7"/>
    <w:rsid w:val="00FA5B47"/>
    <w:rsid w:val="00FA7C93"/>
    <w:rsid w:val="00FA7C9F"/>
    <w:rsid w:val="00FB1B7F"/>
    <w:rsid w:val="00FB1E50"/>
    <w:rsid w:val="00FB263D"/>
    <w:rsid w:val="00FB2907"/>
    <w:rsid w:val="00FB3123"/>
    <w:rsid w:val="00FB3466"/>
    <w:rsid w:val="00FB443F"/>
    <w:rsid w:val="00FB455F"/>
    <w:rsid w:val="00FB4B0E"/>
    <w:rsid w:val="00FB4B6F"/>
    <w:rsid w:val="00FB5C7D"/>
    <w:rsid w:val="00FC0393"/>
    <w:rsid w:val="00FC1366"/>
    <w:rsid w:val="00FC2440"/>
    <w:rsid w:val="00FC284C"/>
    <w:rsid w:val="00FC2F6C"/>
    <w:rsid w:val="00FC389F"/>
    <w:rsid w:val="00FC4581"/>
    <w:rsid w:val="00FC6BA4"/>
    <w:rsid w:val="00FD0FA7"/>
    <w:rsid w:val="00FD102B"/>
    <w:rsid w:val="00FD1484"/>
    <w:rsid w:val="00FD1554"/>
    <w:rsid w:val="00FD1A1C"/>
    <w:rsid w:val="00FD1D8D"/>
    <w:rsid w:val="00FD248A"/>
    <w:rsid w:val="00FD2494"/>
    <w:rsid w:val="00FD3645"/>
    <w:rsid w:val="00FD36D8"/>
    <w:rsid w:val="00FD55F1"/>
    <w:rsid w:val="00FD668B"/>
    <w:rsid w:val="00FD6B93"/>
    <w:rsid w:val="00FD74BA"/>
    <w:rsid w:val="00FE3A92"/>
    <w:rsid w:val="00FE498D"/>
    <w:rsid w:val="00FE5083"/>
    <w:rsid w:val="00FF041A"/>
    <w:rsid w:val="00FF10BD"/>
    <w:rsid w:val="00FF12CD"/>
    <w:rsid w:val="00FF2235"/>
    <w:rsid w:val="00FF47B1"/>
    <w:rsid w:val="00FF4E80"/>
    <w:rsid w:val="00FF6EA5"/>
    <w:rsid w:val="0144EBF7"/>
    <w:rsid w:val="0160D543"/>
    <w:rsid w:val="0162B9B5"/>
    <w:rsid w:val="018C20C9"/>
    <w:rsid w:val="01E5D16E"/>
    <w:rsid w:val="021BEA38"/>
    <w:rsid w:val="02336576"/>
    <w:rsid w:val="024E560A"/>
    <w:rsid w:val="027C3E63"/>
    <w:rsid w:val="0292E5BF"/>
    <w:rsid w:val="029D8BD1"/>
    <w:rsid w:val="02EBA069"/>
    <w:rsid w:val="0303CE16"/>
    <w:rsid w:val="0374D89B"/>
    <w:rsid w:val="040DA0FD"/>
    <w:rsid w:val="0429C6CB"/>
    <w:rsid w:val="046C3703"/>
    <w:rsid w:val="048FBB14"/>
    <w:rsid w:val="04E9F79E"/>
    <w:rsid w:val="050E0C76"/>
    <w:rsid w:val="0540EA50"/>
    <w:rsid w:val="05C9A708"/>
    <w:rsid w:val="0606926D"/>
    <w:rsid w:val="060A0CA7"/>
    <w:rsid w:val="0616FC54"/>
    <w:rsid w:val="061F02F5"/>
    <w:rsid w:val="0656B17C"/>
    <w:rsid w:val="0670AF7B"/>
    <w:rsid w:val="06E7CD2F"/>
    <w:rsid w:val="06F10075"/>
    <w:rsid w:val="074978F1"/>
    <w:rsid w:val="07710AF1"/>
    <w:rsid w:val="07A01955"/>
    <w:rsid w:val="08254C6E"/>
    <w:rsid w:val="082BD32E"/>
    <w:rsid w:val="0850007C"/>
    <w:rsid w:val="08A057A1"/>
    <w:rsid w:val="08AFAF5E"/>
    <w:rsid w:val="08C2EC38"/>
    <w:rsid w:val="08DDAC68"/>
    <w:rsid w:val="08E521BF"/>
    <w:rsid w:val="08FBA457"/>
    <w:rsid w:val="095F7C46"/>
    <w:rsid w:val="09CAA729"/>
    <w:rsid w:val="09F7DE3D"/>
    <w:rsid w:val="0A02390F"/>
    <w:rsid w:val="0A27B096"/>
    <w:rsid w:val="0A2C52AA"/>
    <w:rsid w:val="0A47362F"/>
    <w:rsid w:val="0A58330A"/>
    <w:rsid w:val="0A8A5932"/>
    <w:rsid w:val="0ABAA7B9"/>
    <w:rsid w:val="0AF6FDAA"/>
    <w:rsid w:val="0B3E9C0B"/>
    <w:rsid w:val="0B6C5707"/>
    <w:rsid w:val="0BA3467D"/>
    <w:rsid w:val="0BA5534E"/>
    <w:rsid w:val="0BB57BDB"/>
    <w:rsid w:val="0BB8DBB9"/>
    <w:rsid w:val="0BC031C7"/>
    <w:rsid w:val="0BDAA2FD"/>
    <w:rsid w:val="0C576DBE"/>
    <w:rsid w:val="0C5B0526"/>
    <w:rsid w:val="0C90EB52"/>
    <w:rsid w:val="0CA7EF1B"/>
    <w:rsid w:val="0CDB194B"/>
    <w:rsid w:val="0D265906"/>
    <w:rsid w:val="0D3B1F16"/>
    <w:rsid w:val="0D4600BF"/>
    <w:rsid w:val="0D7154C1"/>
    <w:rsid w:val="0DA1BC86"/>
    <w:rsid w:val="0DBC00CA"/>
    <w:rsid w:val="0DCC9825"/>
    <w:rsid w:val="0E075A81"/>
    <w:rsid w:val="0E22A5B1"/>
    <w:rsid w:val="0E23B56D"/>
    <w:rsid w:val="0EABA208"/>
    <w:rsid w:val="0EBEE7D6"/>
    <w:rsid w:val="0ED893F7"/>
    <w:rsid w:val="0EE68062"/>
    <w:rsid w:val="0F2C1F3F"/>
    <w:rsid w:val="0F599CEF"/>
    <w:rsid w:val="0F8507B9"/>
    <w:rsid w:val="0F86F0C6"/>
    <w:rsid w:val="1002FC6B"/>
    <w:rsid w:val="100D786B"/>
    <w:rsid w:val="1043B06C"/>
    <w:rsid w:val="107334CB"/>
    <w:rsid w:val="108DCF28"/>
    <w:rsid w:val="10EBE86F"/>
    <w:rsid w:val="1117201C"/>
    <w:rsid w:val="1155BD84"/>
    <w:rsid w:val="11629EBF"/>
    <w:rsid w:val="118AC39A"/>
    <w:rsid w:val="11B530D2"/>
    <w:rsid w:val="11D71CC5"/>
    <w:rsid w:val="11F5D852"/>
    <w:rsid w:val="1254F9D2"/>
    <w:rsid w:val="1258B049"/>
    <w:rsid w:val="126F2331"/>
    <w:rsid w:val="12723851"/>
    <w:rsid w:val="12837EBB"/>
    <w:rsid w:val="128528FA"/>
    <w:rsid w:val="1286288F"/>
    <w:rsid w:val="12A642A5"/>
    <w:rsid w:val="12C28299"/>
    <w:rsid w:val="12D564F6"/>
    <w:rsid w:val="1317169F"/>
    <w:rsid w:val="1330E3E6"/>
    <w:rsid w:val="1348E403"/>
    <w:rsid w:val="139883A2"/>
    <w:rsid w:val="13C8CDDF"/>
    <w:rsid w:val="13E89EA7"/>
    <w:rsid w:val="1416E049"/>
    <w:rsid w:val="1450F0F8"/>
    <w:rsid w:val="1488F7DB"/>
    <w:rsid w:val="14B204BA"/>
    <w:rsid w:val="14F66875"/>
    <w:rsid w:val="14F98B86"/>
    <w:rsid w:val="14FAE02D"/>
    <w:rsid w:val="150A90B1"/>
    <w:rsid w:val="152FDC75"/>
    <w:rsid w:val="1552785D"/>
    <w:rsid w:val="1555784D"/>
    <w:rsid w:val="156A83D8"/>
    <w:rsid w:val="15A4A5DA"/>
    <w:rsid w:val="15B97707"/>
    <w:rsid w:val="15FCFD5B"/>
    <w:rsid w:val="1603333D"/>
    <w:rsid w:val="166EEA2A"/>
    <w:rsid w:val="167FE73C"/>
    <w:rsid w:val="168A7E21"/>
    <w:rsid w:val="16B01065"/>
    <w:rsid w:val="16C75E8D"/>
    <w:rsid w:val="16CB145A"/>
    <w:rsid w:val="17340B8E"/>
    <w:rsid w:val="1734A0B4"/>
    <w:rsid w:val="174104DA"/>
    <w:rsid w:val="17488226"/>
    <w:rsid w:val="175CB7D5"/>
    <w:rsid w:val="17A9302D"/>
    <w:rsid w:val="17C9A944"/>
    <w:rsid w:val="17F92803"/>
    <w:rsid w:val="180E4C15"/>
    <w:rsid w:val="188019B2"/>
    <w:rsid w:val="189217B8"/>
    <w:rsid w:val="18F4DD24"/>
    <w:rsid w:val="18F6AC1C"/>
    <w:rsid w:val="193C3F22"/>
    <w:rsid w:val="194C83B9"/>
    <w:rsid w:val="1965058A"/>
    <w:rsid w:val="1965BCFF"/>
    <w:rsid w:val="199E8C53"/>
    <w:rsid w:val="19C0A92E"/>
    <w:rsid w:val="19E54F89"/>
    <w:rsid w:val="1AC2A5CC"/>
    <w:rsid w:val="1AC65C38"/>
    <w:rsid w:val="1AEA1F3B"/>
    <w:rsid w:val="1B1AFA67"/>
    <w:rsid w:val="1B1B478C"/>
    <w:rsid w:val="1B2A2894"/>
    <w:rsid w:val="1B34CD0E"/>
    <w:rsid w:val="1B5CAC60"/>
    <w:rsid w:val="1B612328"/>
    <w:rsid w:val="1B777C48"/>
    <w:rsid w:val="1B83AFE0"/>
    <w:rsid w:val="1B9E37B7"/>
    <w:rsid w:val="1C0192FC"/>
    <w:rsid w:val="1C1BFF79"/>
    <w:rsid w:val="1C6A74F2"/>
    <w:rsid w:val="1C8B2533"/>
    <w:rsid w:val="1CADE123"/>
    <w:rsid w:val="1CC6C33E"/>
    <w:rsid w:val="1CD46DE5"/>
    <w:rsid w:val="1CDBD1EB"/>
    <w:rsid w:val="1CEC060B"/>
    <w:rsid w:val="1D01E1AB"/>
    <w:rsid w:val="1D1F0C46"/>
    <w:rsid w:val="1D3EDDD2"/>
    <w:rsid w:val="1D5BDD3C"/>
    <w:rsid w:val="1D5F5D79"/>
    <w:rsid w:val="1D86E167"/>
    <w:rsid w:val="1DA5CE20"/>
    <w:rsid w:val="1DC31F64"/>
    <w:rsid w:val="1DF06D99"/>
    <w:rsid w:val="1E1BCBB0"/>
    <w:rsid w:val="1EEBB8CD"/>
    <w:rsid w:val="1EEDAF72"/>
    <w:rsid w:val="1F5C3F4C"/>
    <w:rsid w:val="1F664176"/>
    <w:rsid w:val="1FAC22A9"/>
    <w:rsid w:val="1FBC7931"/>
    <w:rsid w:val="1FD4FE27"/>
    <w:rsid w:val="1FD8439C"/>
    <w:rsid w:val="1FF01075"/>
    <w:rsid w:val="20011A86"/>
    <w:rsid w:val="200A5B19"/>
    <w:rsid w:val="201730E4"/>
    <w:rsid w:val="201EB937"/>
    <w:rsid w:val="204C4FC9"/>
    <w:rsid w:val="2064384D"/>
    <w:rsid w:val="206FD5AC"/>
    <w:rsid w:val="20960175"/>
    <w:rsid w:val="20A98E04"/>
    <w:rsid w:val="20D93B0D"/>
    <w:rsid w:val="2124E72D"/>
    <w:rsid w:val="2169093B"/>
    <w:rsid w:val="219A28CE"/>
    <w:rsid w:val="21AF9285"/>
    <w:rsid w:val="21FD23A2"/>
    <w:rsid w:val="21FFF0C1"/>
    <w:rsid w:val="2206A682"/>
    <w:rsid w:val="22071E2B"/>
    <w:rsid w:val="220E605A"/>
    <w:rsid w:val="224C459C"/>
    <w:rsid w:val="2252E075"/>
    <w:rsid w:val="227B2E66"/>
    <w:rsid w:val="2329C547"/>
    <w:rsid w:val="234F218C"/>
    <w:rsid w:val="23966D26"/>
    <w:rsid w:val="23ACF4E5"/>
    <w:rsid w:val="23E33334"/>
    <w:rsid w:val="23EF6C0B"/>
    <w:rsid w:val="2421117E"/>
    <w:rsid w:val="242ACE6C"/>
    <w:rsid w:val="245136CD"/>
    <w:rsid w:val="24863F7C"/>
    <w:rsid w:val="2499A39F"/>
    <w:rsid w:val="24A31BD1"/>
    <w:rsid w:val="24B382C2"/>
    <w:rsid w:val="24E18893"/>
    <w:rsid w:val="2524F4EB"/>
    <w:rsid w:val="252C5C0C"/>
    <w:rsid w:val="255B72B5"/>
    <w:rsid w:val="255CB748"/>
    <w:rsid w:val="2591B4B0"/>
    <w:rsid w:val="25B23504"/>
    <w:rsid w:val="264B2D01"/>
    <w:rsid w:val="26643CD9"/>
    <w:rsid w:val="2668616E"/>
    <w:rsid w:val="26869B10"/>
    <w:rsid w:val="26B95267"/>
    <w:rsid w:val="26D7B802"/>
    <w:rsid w:val="26D9A661"/>
    <w:rsid w:val="26E850C9"/>
    <w:rsid w:val="275D4AAA"/>
    <w:rsid w:val="279BFC36"/>
    <w:rsid w:val="288AEA58"/>
    <w:rsid w:val="289054D8"/>
    <w:rsid w:val="28A70617"/>
    <w:rsid w:val="28C33712"/>
    <w:rsid w:val="28E11BD5"/>
    <w:rsid w:val="292F56CA"/>
    <w:rsid w:val="2954A7EA"/>
    <w:rsid w:val="29A0B2BF"/>
    <w:rsid w:val="29AF5348"/>
    <w:rsid w:val="29BC8403"/>
    <w:rsid w:val="29CABBEF"/>
    <w:rsid w:val="29F235F0"/>
    <w:rsid w:val="2A0E3604"/>
    <w:rsid w:val="2A22B317"/>
    <w:rsid w:val="2A432AC2"/>
    <w:rsid w:val="2A4C63C5"/>
    <w:rsid w:val="2A8B3879"/>
    <w:rsid w:val="2AC1EE06"/>
    <w:rsid w:val="2B2B9268"/>
    <w:rsid w:val="2B3B4063"/>
    <w:rsid w:val="2B48C5C9"/>
    <w:rsid w:val="2BAB9849"/>
    <w:rsid w:val="2BC655F0"/>
    <w:rsid w:val="2BDC45D7"/>
    <w:rsid w:val="2C32D5C9"/>
    <w:rsid w:val="2C45C6FC"/>
    <w:rsid w:val="2C538F99"/>
    <w:rsid w:val="2C56D6D4"/>
    <w:rsid w:val="2C6F38A9"/>
    <w:rsid w:val="2CA57D1D"/>
    <w:rsid w:val="2CA92AF0"/>
    <w:rsid w:val="2CBC90D6"/>
    <w:rsid w:val="2CCFBBB1"/>
    <w:rsid w:val="2CDDB67F"/>
    <w:rsid w:val="2CFB786A"/>
    <w:rsid w:val="2D27C6B1"/>
    <w:rsid w:val="2DC4F956"/>
    <w:rsid w:val="2E0A5FE0"/>
    <w:rsid w:val="2E38C340"/>
    <w:rsid w:val="2E40E843"/>
    <w:rsid w:val="2E8C236E"/>
    <w:rsid w:val="2EC061C5"/>
    <w:rsid w:val="2ED5CF03"/>
    <w:rsid w:val="2EDC2E35"/>
    <w:rsid w:val="2F2D37E1"/>
    <w:rsid w:val="2F2F86C0"/>
    <w:rsid w:val="2F33B249"/>
    <w:rsid w:val="2F4D2C1D"/>
    <w:rsid w:val="2FDC8D57"/>
    <w:rsid w:val="2FDECDF6"/>
    <w:rsid w:val="303765AC"/>
    <w:rsid w:val="303BFC21"/>
    <w:rsid w:val="304D0522"/>
    <w:rsid w:val="30614E9E"/>
    <w:rsid w:val="3086C80E"/>
    <w:rsid w:val="30FCE82A"/>
    <w:rsid w:val="310ED209"/>
    <w:rsid w:val="311A2387"/>
    <w:rsid w:val="313B74DD"/>
    <w:rsid w:val="314AE508"/>
    <w:rsid w:val="31599E1D"/>
    <w:rsid w:val="31CE02B7"/>
    <w:rsid w:val="3202DC1E"/>
    <w:rsid w:val="323B7821"/>
    <w:rsid w:val="32AB847A"/>
    <w:rsid w:val="32B3C326"/>
    <w:rsid w:val="32E8A1D3"/>
    <w:rsid w:val="32FBA07D"/>
    <w:rsid w:val="3309EF6B"/>
    <w:rsid w:val="335CE216"/>
    <w:rsid w:val="3380AA1F"/>
    <w:rsid w:val="339E1064"/>
    <w:rsid w:val="34701C5F"/>
    <w:rsid w:val="3499E418"/>
    <w:rsid w:val="34C1852C"/>
    <w:rsid w:val="357C741F"/>
    <w:rsid w:val="357F0381"/>
    <w:rsid w:val="35840B7B"/>
    <w:rsid w:val="35AABE50"/>
    <w:rsid w:val="35CA91DC"/>
    <w:rsid w:val="35E34B80"/>
    <w:rsid w:val="35E56A1A"/>
    <w:rsid w:val="35EB94F6"/>
    <w:rsid w:val="35F27157"/>
    <w:rsid w:val="361380A1"/>
    <w:rsid w:val="3621BB1E"/>
    <w:rsid w:val="3663E9D1"/>
    <w:rsid w:val="36E5BC70"/>
    <w:rsid w:val="37395E80"/>
    <w:rsid w:val="373AC872"/>
    <w:rsid w:val="375E7268"/>
    <w:rsid w:val="376462C9"/>
    <w:rsid w:val="37D6DFA1"/>
    <w:rsid w:val="37EEDD87"/>
    <w:rsid w:val="384B473E"/>
    <w:rsid w:val="388C3050"/>
    <w:rsid w:val="38BAFDA3"/>
    <w:rsid w:val="38C2EA5A"/>
    <w:rsid w:val="38D44522"/>
    <w:rsid w:val="38E20F7D"/>
    <w:rsid w:val="39B62B44"/>
    <w:rsid w:val="3A41630A"/>
    <w:rsid w:val="3A4343A7"/>
    <w:rsid w:val="3A4D4313"/>
    <w:rsid w:val="3A90CF0F"/>
    <w:rsid w:val="3B300003"/>
    <w:rsid w:val="3B3B44F5"/>
    <w:rsid w:val="3B40439E"/>
    <w:rsid w:val="3B5ADB6E"/>
    <w:rsid w:val="3BC6B206"/>
    <w:rsid w:val="3BE09213"/>
    <w:rsid w:val="3C8506DD"/>
    <w:rsid w:val="3C92C7ED"/>
    <w:rsid w:val="3C98F328"/>
    <w:rsid w:val="3CB5ECA1"/>
    <w:rsid w:val="3CBC60D8"/>
    <w:rsid w:val="3CDC4AED"/>
    <w:rsid w:val="3CEE637E"/>
    <w:rsid w:val="3D171B31"/>
    <w:rsid w:val="3D33BC76"/>
    <w:rsid w:val="3DAA0B62"/>
    <w:rsid w:val="3E8B2725"/>
    <w:rsid w:val="3E965E5E"/>
    <w:rsid w:val="3EB4780F"/>
    <w:rsid w:val="3EB8B5CC"/>
    <w:rsid w:val="3EC44012"/>
    <w:rsid w:val="3EEE5A4A"/>
    <w:rsid w:val="3F4DC949"/>
    <w:rsid w:val="3F6BA0D8"/>
    <w:rsid w:val="3FA9178B"/>
    <w:rsid w:val="403A68FF"/>
    <w:rsid w:val="404A3DF8"/>
    <w:rsid w:val="405A9F0B"/>
    <w:rsid w:val="4088EDA5"/>
    <w:rsid w:val="40F6F498"/>
    <w:rsid w:val="4157E7A2"/>
    <w:rsid w:val="4188A38A"/>
    <w:rsid w:val="419DAC58"/>
    <w:rsid w:val="419DEB59"/>
    <w:rsid w:val="41C05947"/>
    <w:rsid w:val="41E1D506"/>
    <w:rsid w:val="423D641B"/>
    <w:rsid w:val="42621F7C"/>
    <w:rsid w:val="42663736"/>
    <w:rsid w:val="429FB14C"/>
    <w:rsid w:val="42A0D922"/>
    <w:rsid w:val="42DC93D3"/>
    <w:rsid w:val="43102137"/>
    <w:rsid w:val="43115027"/>
    <w:rsid w:val="432F8C5D"/>
    <w:rsid w:val="436A1DD3"/>
    <w:rsid w:val="436DC4B6"/>
    <w:rsid w:val="4385B986"/>
    <w:rsid w:val="43890614"/>
    <w:rsid w:val="438CEBF8"/>
    <w:rsid w:val="439AF6A1"/>
    <w:rsid w:val="440DD103"/>
    <w:rsid w:val="4434D863"/>
    <w:rsid w:val="4440E976"/>
    <w:rsid w:val="446EBAB1"/>
    <w:rsid w:val="4499FE86"/>
    <w:rsid w:val="44AA601F"/>
    <w:rsid w:val="44B337F6"/>
    <w:rsid w:val="44E6FE7C"/>
    <w:rsid w:val="454FFEDA"/>
    <w:rsid w:val="456C2CF8"/>
    <w:rsid w:val="459DD990"/>
    <w:rsid w:val="45E39930"/>
    <w:rsid w:val="460AC818"/>
    <w:rsid w:val="4647ABCE"/>
    <w:rsid w:val="464B883D"/>
    <w:rsid w:val="465FEF75"/>
    <w:rsid w:val="4678B72D"/>
    <w:rsid w:val="46933DA3"/>
    <w:rsid w:val="46BF0A3F"/>
    <w:rsid w:val="4735FE1F"/>
    <w:rsid w:val="474DE99B"/>
    <w:rsid w:val="4776B2BD"/>
    <w:rsid w:val="47C1EED3"/>
    <w:rsid w:val="47CD6590"/>
    <w:rsid w:val="47EE4C04"/>
    <w:rsid w:val="48A7B1EA"/>
    <w:rsid w:val="48B2A78E"/>
    <w:rsid w:val="48B95882"/>
    <w:rsid w:val="48BFB787"/>
    <w:rsid w:val="495C572D"/>
    <w:rsid w:val="4990C4D0"/>
    <w:rsid w:val="49E2751D"/>
    <w:rsid w:val="49F184E5"/>
    <w:rsid w:val="4A126081"/>
    <w:rsid w:val="4A189332"/>
    <w:rsid w:val="4A4BA1A7"/>
    <w:rsid w:val="4A76D408"/>
    <w:rsid w:val="4A76FB8D"/>
    <w:rsid w:val="4A84B3CB"/>
    <w:rsid w:val="4A88A697"/>
    <w:rsid w:val="4A9441E6"/>
    <w:rsid w:val="4ACE94C2"/>
    <w:rsid w:val="4AD047E0"/>
    <w:rsid w:val="4AD32C3F"/>
    <w:rsid w:val="4AFEB6A5"/>
    <w:rsid w:val="4B16081D"/>
    <w:rsid w:val="4B4141CA"/>
    <w:rsid w:val="4B929B1C"/>
    <w:rsid w:val="4BB3B07E"/>
    <w:rsid w:val="4BCC57E8"/>
    <w:rsid w:val="4C5034D3"/>
    <w:rsid w:val="4C55AADB"/>
    <w:rsid w:val="4CD9702B"/>
    <w:rsid w:val="4CDB7EAE"/>
    <w:rsid w:val="4CDF6FF7"/>
    <w:rsid w:val="4D5051D6"/>
    <w:rsid w:val="4D8AFA1F"/>
    <w:rsid w:val="4DCBC6C5"/>
    <w:rsid w:val="4DCCE95E"/>
    <w:rsid w:val="4E40401F"/>
    <w:rsid w:val="4E85FA80"/>
    <w:rsid w:val="4EF804DC"/>
    <w:rsid w:val="4F23A1D8"/>
    <w:rsid w:val="4F3E0DB6"/>
    <w:rsid w:val="4F6685A2"/>
    <w:rsid w:val="4F81D872"/>
    <w:rsid w:val="4F9C0079"/>
    <w:rsid w:val="4FB7DDF9"/>
    <w:rsid w:val="4FDF6861"/>
    <w:rsid w:val="50022832"/>
    <w:rsid w:val="502E076B"/>
    <w:rsid w:val="502F8583"/>
    <w:rsid w:val="509FFFC7"/>
    <w:rsid w:val="5150071D"/>
    <w:rsid w:val="51805AA5"/>
    <w:rsid w:val="519FF515"/>
    <w:rsid w:val="522C5AF0"/>
    <w:rsid w:val="526679D0"/>
    <w:rsid w:val="5299FA3E"/>
    <w:rsid w:val="52B4A566"/>
    <w:rsid w:val="52FB7D26"/>
    <w:rsid w:val="5314D759"/>
    <w:rsid w:val="53A777EE"/>
    <w:rsid w:val="5400E12F"/>
    <w:rsid w:val="540B8EA9"/>
    <w:rsid w:val="541E2724"/>
    <w:rsid w:val="54603A6D"/>
    <w:rsid w:val="5491A3F8"/>
    <w:rsid w:val="549CE318"/>
    <w:rsid w:val="54B55514"/>
    <w:rsid w:val="54C0EFE4"/>
    <w:rsid w:val="5509048F"/>
    <w:rsid w:val="5531FB6A"/>
    <w:rsid w:val="5538E2E4"/>
    <w:rsid w:val="558AD4A9"/>
    <w:rsid w:val="55A20B0E"/>
    <w:rsid w:val="55DDFA4F"/>
    <w:rsid w:val="566C0245"/>
    <w:rsid w:val="56CA735A"/>
    <w:rsid w:val="56F347E4"/>
    <w:rsid w:val="57068011"/>
    <w:rsid w:val="57389CFF"/>
    <w:rsid w:val="57627F83"/>
    <w:rsid w:val="5762BE26"/>
    <w:rsid w:val="57717FD7"/>
    <w:rsid w:val="578A0D32"/>
    <w:rsid w:val="579EF712"/>
    <w:rsid w:val="57A311D9"/>
    <w:rsid w:val="57B8FF28"/>
    <w:rsid w:val="57CE965E"/>
    <w:rsid w:val="57EA9B5D"/>
    <w:rsid w:val="57F93B52"/>
    <w:rsid w:val="580C4981"/>
    <w:rsid w:val="584B0218"/>
    <w:rsid w:val="58A31507"/>
    <w:rsid w:val="58D4A6AC"/>
    <w:rsid w:val="5913EAD4"/>
    <w:rsid w:val="593AFE67"/>
    <w:rsid w:val="5948D0C4"/>
    <w:rsid w:val="5962F540"/>
    <w:rsid w:val="59740CF6"/>
    <w:rsid w:val="59A791E0"/>
    <w:rsid w:val="59F0373F"/>
    <w:rsid w:val="5A2D71E1"/>
    <w:rsid w:val="5A3661BE"/>
    <w:rsid w:val="5A399AD4"/>
    <w:rsid w:val="5A404BE2"/>
    <w:rsid w:val="5A6E65F7"/>
    <w:rsid w:val="5ABFF2D4"/>
    <w:rsid w:val="5AC94030"/>
    <w:rsid w:val="5B050D82"/>
    <w:rsid w:val="5B06AB51"/>
    <w:rsid w:val="5B073FB5"/>
    <w:rsid w:val="5B3C33B1"/>
    <w:rsid w:val="5B8C80DA"/>
    <w:rsid w:val="5B92D5B1"/>
    <w:rsid w:val="5BA54395"/>
    <w:rsid w:val="5BD6E126"/>
    <w:rsid w:val="5C22AD44"/>
    <w:rsid w:val="5C402449"/>
    <w:rsid w:val="5C510098"/>
    <w:rsid w:val="5C5E976D"/>
    <w:rsid w:val="5C98754B"/>
    <w:rsid w:val="5CE2D08F"/>
    <w:rsid w:val="5D14E15A"/>
    <w:rsid w:val="5D323D3A"/>
    <w:rsid w:val="5D8184F3"/>
    <w:rsid w:val="5DDC3CAB"/>
    <w:rsid w:val="5E8DD1B1"/>
    <w:rsid w:val="5E909E90"/>
    <w:rsid w:val="5EA31EED"/>
    <w:rsid w:val="5F0344E3"/>
    <w:rsid w:val="5F33730B"/>
    <w:rsid w:val="5F6CDFCC"/>
    <w:rsid w:val="5F8AE7A5"/>
    <w:rsid w:val="5FFB1DEF"/>
    <w:rsid w:val="5FFEF062"/>
    <w:rsid w:val="60BD3B44"/>
    <w:rsid w:val="60FD12F0"/>
    <w:rsid w:val="6107B94E"/>
    <w:rsid w:val="61301A1F"/>
    <w:rsid w:val="614B3712"/>
    <w:rsid w:val="6150D1A6"/>
    <w:rsid w:val="617CD8E8"/>
    <w:rsid w:val="617E5492"/>
    <w:rsid w:val="6184A2EE"/>
    <w:rsid w:val="6189BEDC"/>
    <w:rsid w:val="62208A59"/>
    <w:rsid w:val="62AADDEC"/>
    <w:rsid w:val="62FD6F02"/>
    <w:rsid w:val="630B82AB"/>
    <w:rsid w:val="63159267"/>
    <w:rsid w:val="632AC94D"/>
    <w:rsid w:val="6334E722"/>
    <w:rsid w:val="63379D73"/>
    <w:rsid w:val="63413463"/>
    <w:rsid w:val="6345B1FF"/>
    <w:rsid w:val="63573830"/>
    <w:rsid w:val="6360994E"/>
    <w:rsid w:val="636A626C"/>
    <w:rsid w:val="6393AA21"/>
    <w:rsid w:val="63E67EF6"/>
    <w:rsid w:val="64264951"/>
    <w:rsid w:val="643C16BD"/>
    <w:rsid w:val="644A3D39"/>
    <w:rsid w:val="645E4648"/>
    <w:rsid w:val="646759E4"/>
    <w:rsid w:val="64678045"/>
    <w:rsid w:val="646C041C"/>
    <w:rsid w:val="648E7044"/>
    <w:rsid w:val="64AFEADC"/>
    <w:rsid w:val="653BED5E"/>
    <w:rsid w:val="653CEF72"/>
    <w:rsid w:val="654A5F0F"/>
    <w:rsid w:val="65695320"/>
    <w:rsid w:val="65E7DB70"/>
    <w:rsid w:val="65F319D1"/>
    <w:rsid w:val="660AB5C5"/>
    <w:rsid w:val="661E4348"/>
    <w:rsid w:val="668B3A49"/>
    <w:rsid w:val="6696739A"/>
    <w:rsid w:val="66BD1DFB"/>
    <w:rsid w:val="66C0558F"/>
    <w:rsid w:val="6713C0B1"/>
    <w:rsid w:val="675DA536"/>
    <w:rsid w:val="67C9DD43"/>
    <w:rsid w:val="68109CA4"/>
    <w:rsid w:val="683C03CB"/>
    <w:rsid w:val="6861EEA2"/>
    <w:rsid w:val="6871B26C"/>
    <w:rsid w:val="68ABF42A"/>
    <w:rsid w:val="68C0EDA7"/>
    <w:rsid w:val="68CA1A35"/>
    <w:rsid w:val="68D59334"/>
    <w:rsid w:val="68EACA1A"/>
    <w:rsid w:val="690A78BA"/>
    <w:rsid w:val="69185992"/>
    <w:rsid w:val="692AE4A2"/>
    <w:rsid w:val="69488979"/>
    <w:rsid w:val="694EDD26"/>
    <w:rsid w:val="6978DCD0"/>
    <w:rsid w:val="698E7692"/>
    <w:rsid w:val="6997E52F"/>
    <w:rsid w:val="69DBAED1"/>
    <w:rsid w:val="6A24ABD2"/>
    <w:rsid w:val="6A6FCB1B"/>
    <w:rsid w:val="6A7A75E6"/>
    <w:rsid w:val="6A8185C3"/>
    <w:rsid w:val="6A8B1C50"/>
    <w:rsid w:val="6AD48A20"/>
    <w:rsid w:val="6AFC14A2"/>
    <w:rsid w:val="6B2C2002"/>
    <w:rsid w:val="6B3C0A2E"/>
    <w:rsid w:val="6B55B597"/>
    <w:rsid w:val="6B69E4BD"/>
    <w:rsid w:val="6BD362EA"/>
    <w:rsid w:val="6C0086E3"/>
    <w:rsid w:val="6C065034"/>
    <w:rsid w:val="6C082F65"/>
    <w:rsid w:val="6C15149D"/>
    <w:rsid w:val="6C2CC03B"/>
    <w:rsid w:val="6C3018A2"/>
    <w:rsid w:val="6C435F27"/>
    <w:rsid w:val="6C4904D2"/>
    <w:rsid w:val="6C68EA69"/>
    <w:rsid w:val="6C87BC76"/>
    <w:rsid w:val="6CBD4436"/>
    <w:rsid w:val="6D1E4848"/>
    <w:rsid w:val="6D70ED3E"/>
    <w:rsid w:val="6D7D5BD8"/>
    <w:rsid w:val="6DB004CF"/>
    <w:rsid w:val="6DBCE56B"/>
    <w:rsid w:val="6DE85373"/>
    <w:rsid w:val="6E8D7E92"/>
    <w:rsid w:val="6E960295"/>
    <w:rsid w:val="6ED28AB1"/>
    <w:rsid w:val="6F78D9EC"/>
    <w:rsid w:val="6FF1AADC"/>
    <w:rsid w:val="7037A3BC"/>
    <w:rsid w:val="706C90F2"/>
    <w:rsid w:val="70730B3F"/>
    <w:rsid w:val="70AA25E7"/>
    <w:rsid w:val="70BD9E1A"/>
    <w:rsid w:val="710A37E5"/>
    <w:rsid w:val="718EC5EA"/>
    <w:rsid w:val="7192117C"/>
    <w:rsid w:val="71A02525"/>
    <w:rsid w:val="71A621AE"/>
    <w:rsid w:val="71BDD9EC"/>
    <w:rsid w:val="71E78BCD"/>
    <w:rsid w:val="7222B37D"/>
    <w:rsid w:val="722B45B8"/>
    <w:rsid w:val="724B2236"/>
    <w:rsid w:val="726A32D9"/>
    <w:rsid w:val="728DBB86"/>
    <w:rsid w:val="72936126"/>
    <w:rsid w:val="7298ACD8"/>
    <w:rsid w:val="729D7453"/>
    <w:rsid w:val="72A4659E"/>
    <w:rsid w:val="72B3AE13"/>
    <w:rsid w:val="72F30F80"/>
    <w:rsid w:val="7321D946"/>
    <w:rsid w:val="732F2BDB"/>
    <w:rsid w:val="735BCE45"/>
    <w:rsid w:val="736961AA"/>
    <w:rsid w:val="73730A05"/>
    <w:rsid w:val="73963E69"/>
    <w:rsid w:val="73E82C1F"/>
    <w:rsid w:val="7449DE07"/>
    <w:rsid w:val="744E0525"/>
    <w:rsid w:val="7493E720"/>
    <w:rsid w:val="74BB61CB"/>
    <w:rsid w:val="75064617"/>
    <w:rsid w:val="75156039"/>
    <w:rsid w:val="7523C94B"/>
    <w:rsid w:val="7527345D"/>
    <w:rsid w:val="753E8128"/>
    <w:rsid w:val="75CBE7CC"/>
    <w:rsid w:val="7651E52E"/>
    <w:rsid w:val="76684A09"/>
    <w:rsid w:val="766C5C43"/>
    <w:rsid w:val="768595B3"/>
    <w:rsid w:val="76BA84D8"/>
    <w:rsid w:val="76DBAEB6"/>
    <w:rsid w:val="771C472B"/>
    <w:rsid w:val="77306E4B"/>
    <w:rsid w:val="778C74CA"/>
    <w:rsid w:val="77BE7C2C"/>
    <w:rsid w:val="782D096F"/>
    <w:rsid w:val="78738C1B"/>
    <w:rsid w:val="78ACECE2"/>
    <w:rsid w:val="78BDA0D3"/>
    <w:rsid w:val="79014EDE"/>
    <w:rsid w:val="791D3FEA"/>
    <w:rsid w:val="79D4AFF8"/>
    <w:rsid w:val="79D7537B"/>
    <w:rsid w:val="7A7F9FEA"/>
    <w:rsid w:val="7A88024D"/>
    <w:rsid w:val="7AD8F504"/>
    <w:rsid w:val="7B05644E"/>
    <w:rsid w:val="7B9D98C2"/>
    <w:rsid w:val="7BB8E514"/>
    <w:rsid w:val="7BB9144D"/>
    <w:rsid w:val="7BC67353"/>
    <w:rsid w:val="7BC913DC"/>
    <w:rsid w:val="7BD8C1D7"/>
    <w:rsid w:val="7BEAC862"/>
    <w:rsid w:val="7C3AB396"/>
    <w:rsid w:val="7C44BC1F"/>
    <w:rsid w:val="7C7BB239"/>
    <w:rsid w:val="7C94EC03"/>
    <w:rsid w:val="7D361BD1"/>
    <w:rsid w:val="7D84C3FA"/>
    <w:rsid w:val="7D968672"/>
    <w:rsid w:val="7D9E7359"/>
    <w:rsid w:val="7DA920D3"/>
    <w:rsid w:val="7DA9910D"/>
    <w:rsid w:val="7DB621F2"/>
    <w:rsid w:val="7DFDCBD1"/>
    <w:rsid w:val="7E0E13E5"/>
    <w:rsid w:val="7E1D6AE7"/>
    <w:rsid w:val="7E21C47F"/>
    <w:rsid w:val="7E2B2845"/>
    <w:rsid w:val="7E63FE36"/>
    <w:rsid w:val="7E7F6E05"/>
    <w:rsid w:val="7E95F979"/>
    <w:rsid w:val="7EEBB744"/>
    <w:rsid w:val="7F156B16"/>
    <w:rsid w:val="7F30CE30"/>
    <w:rsid w:val="7F885F24"/>
    <w:rsid w:val="7F9019D9"/>
    <w:rsid w:val="7FA99762"/>
    <w:rsid w:val="7FB5E4EE"/>
    <w:rsid w:val="7FC7FFB9"/>
    <w:rsid w:val="7FCB874A"/>
    <w:rsid w:val="7FCFA026"/>
    <w:rsid w:val="7FD51743"/>
    <w:rsid w:val="7FDAEB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B247E"/>
  <w15:chartTrackingRefBased/>
  <w15:docId w15:val="{1376ECA3-66B8-4B20-833F-67E81616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056"/>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070091"/>
    <w:pPr>
      <w:spacing w:line="276" w:lineRule="auto"/>
      <w:outlineLvl w:val="0"/>
    </w:pPr>
    <w:rPr>
      <w:rFonts w:asciiTheme="minorHAnsi" w:hAnsiTheme="minorHAnsi" w:cstheme="minorHAnsi"/>
      <w:b/>
      <w:bCs/>
      <w:sz w:val="36"/>
      <w:szCs w:val="36"/>
    </w:rPr>
  </w:style>
  <w:style w:type="paragraph" w:styleId="Heading2">
    <w:name w:val="heading 2"/>
    <w:basedOn w:val="Normal"/>
    <w:next w:val="Normal"/>
    <w:link w:val="Heading2Char"/>
    <w:uiPriority w:val="9"/>
    <w:semiHidden/>
    <w:unhideWhenUsed/>
    <w:qFormat/>
    <w:rsid w:val="0073482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6D106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85CF3"/>
    <w:pPr>
      <w:ind w:left="720"/>
      <w:contextualSpacing/>
    </w:pPr>
  </w:style>
  <w:style w:type="character" w:customStyle="1" w:styleId="address-line1">
    <w:name w:val="address-line1"/>
    <w:basedOn w:val="DefaultParagraphFont"/>
    <w:rsid w:val="001565C2"/>
  </w:style>
  <w:style w:type="character" w:customStyle="1" w:styleId="address-line2">
    <w:name w:val="address-line2"/>
    <w:basedOn w:val="DefaultParagraphFont"/>
    <w:rsid w:val="001565C2"/>
  </w:style>
  <w:style w:type="character" w:customStyle="1" w:styleId="locality">
    <w:name w:val="locality"/>
    <w:basedOn w:val="DefaultParagraphFont"/>
    <w:rsid w:val="001565C2"/>
  </w:style>
  <w:style w:type="character" w:customStyle="1" w:styleId="postal-code">
    <w:name w:val="postal-code"/>
    <w:basedOn w:val="DefaultParagraphFont"/>
    <w:rsid w:val="001565C2"/>
  </w:style>
  <w:style w:type="character" w:customStyle="1" w:styleId="country">
    <w:name w:val="country"/>
    <w:basedOn w:val="DefaultParagraphFont"/>
    <w:rsid w:val="001565C2"/>
  </w:style>
  <w:style w:type="character" w:styleId="Hyperlink">
    <w:name w:val="Hyperlink"/>
    <w:basedOn w:val="DefaultParagraphFont"/>
    <w:uiPriority w:val="99"/>
    <w:unhideWhenUsed/>
    <w:rsid w:val="007339CB"/>
    <w:rPr>
      <w:color w:val="0563C1" w:themeColor="hyperlink"/>
      <w:u w:val="single"/>
    </w:rPr>
  </w:style>
  <w:style w:type="character" w:styleId="UnresolvedMention">
    <w:name w:val="Unresolved Mention"/>
    <w:basedOn w:val="DefaultParagraphFont"/>
    <w:uiPriority w:val="99"/>
    <w:semiHidden/>
    <w:unhideWhenUsed/>
    <w:rsid w:val="007339CB"/>
    <w:rPr>
      <w:color w:val="605E5C"/>
      <w:shd w:val="clear" w:color="auto" w:fill="E1DFDD"/>
    </w:rPr>
  </w:style>
  <w:style w:type="character" w:styleId="CommentReference">
    <w:name w:val="annotation reference"/>
    <w:basedOn w:val="DefaultParagraphFont"/>
    <w:uiPriority w:val="99"/>
    <w:semiHidden/>
    <w:unhideWhenUsed/>
    <w:rsid w:val="00FD36D8"/>
    <w:rPr>
      <w:sz w:val="16"/>
      <w:szCs w:val="16"/>
    </w:rPr>
  </w:style>
  <w:style w:type="paragraph" w:styleId="CommentText">
    <w:name w:val="annotation text"/>
    <w:basedOn w:val="Normal"/>
    <w:link w:val="CommentTextChar"/>
    <w:uiPriority w:val="99"/>
    <w:unhideWhenUsed/>
    <w:rsid w:val="00FD36D8"/>
  </w:style>
  <w:style w:type="character" w:customStyle="1" w:styleId="CommentTextChar">
    <w:name w:val="Comment Text Char"/>
    <w:basedOn w:val="DefaultParagraphFont"/>
    <w:link w:val="CommentText"/>
    <w:uiPriority w:val="99"/>
    <w:rsid w:val="00FD36D8"/>
    <w:rPr>
      <w:rFonts w:ascii="Calibri"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FD36D8"/>
    <w:rPr>
      <w:b/>
      <w:bCs/>
    </w:rPr>
  </w:style>
  <w:style w:type="character" w:customStyle="1" w:styleId="CommentSubjectChar">
    <w:name w:val="Comment Subject Char"/>
    <w:basedOn w:val="CommentTextChar"/>
    <w:link w:val="CommentSubject"/>
    <w:uiPriority w:val="99"/>
    <w:semiHidden/>
    <w:rsid w:val="00FD36D8"/>
    <w:rPr>
      <w:rFonts w:ascii="Calibri" w:hAnsi="Calibri" w:cs="Calibri"/>
      <w:b/>
      <w:bCs/>
      <w:sz w:val="20"/>
      <w:szCs w:val="20"/>
      <w:lang w:eastAsia="en-GB"/>
    </w:rPr>
  </w:style>
  <w:style w:type="table" w:styleId="TableGrid">
    <w:name w:val="Table Grid"/>
    <w:basedOn w:val="TableNormal"/>
    <w:uiPriority w:val="39"/>
    <w:rsid w:val="00473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70091"/>
    <w:rPr>
      <w:rFonts w:cstheme="minorHAnsi"/>
      <w:b/>
      <w:bCs/>
      <w:sz w:val="36"/>
      <w:szCs w:val="36"/>
      <w:lang w:eastAsia="en-GB"/>
    </w:rPr>
  </w:style>
  <w:style w:type="paragraph" w:styleId="Title">
    <w:name w:val="Title"/>
    <w:basedOn w:val="Normal"/>
    <w:next w:val="Normal"/>
    <w:link w:val="TitleChar"/>
    <w:uiPriority w:val="10"/>
    <w:qFormat/>
    <w:rsid w:val="00F36AB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6AB3"/>
    <w:rPr>
      <w:rFonts w:asciiTheme="majorHAnsi" w:eastAsiaTheme="majorEastAsia" w:hAnsiTheme="majorHAnsi" w:cstheme="majorBidi"/>
      <w:spacing w:val="-10"/>
      <w:kern w:val="28"/>
      <w:sz w:val="56"/>
      <w:szCs w:val="56"/>
    </w:rPr>
  </w:style>
  <w:style w:type="character" w:styleId="FollowedHyperlink">
    <w:name w:val="FollowedHyperlink"/>
    <w:basedOn w:val="DefaultParagraphFont"/>
    <w:uiPriority w:val="99"/>
    <w:semiHidden/>
    <w:unhideWhenUsed/>
    <w:rsid w:val="00043CF6"/>
    <w:rPr>
      <w:color w:val="954F72" w:themeColor="followedHyperlink"/>
      <w:u w:val="single"/>
    </w:rPr>
  </w:style>
  <w:style w:type="paragraph" w:styleId="NormalWeb">
    <w:name w:val="Normal (Web)"/>
    <w:basedOn w:val="Normal"/>
    <w:uiPriority w:val="99"/>
    <w:unhideWhenUsed/>
    <w:rsid w:val="00C554D9"/>
    <w:pPr>
      <w:spacing w:before="100" w:beforeAutospacing="1" w:after="100" w:afterAutospacing="1"/>
    </w:pPr>
    <w:rPr>
      <w:sz w:val="24"/>
      <w:szCs w:val="24"/>
    </w:rPr>
  </w:style>
  <w:style w:type="character" w:customStyle="1" w:styleId="Heading2Char">
    <w:name w:val="Heading 2 Char"/>
    <w:basedOn w:val="DefaultParagraphFont"/>
    <w:link w:val="Heading2"/>
    <w:uiPriority w:val="9"/>
    <w:semiHidden/>
    <w:rsid w:val="0073482E"/>
    <w:rPr>
      <w:rFonts w:asciiTheme="majorHAnsi" w:eastAsiaTheme="majorEastAsia" w:hAnsiTheme="majorHAnsi" w:cstheme="majorBidi"/>
      <w:color w:val="2F5496" w:themeColor="accent1" w:themeShade="BF"/>
      <w:sz w:val="26"/>
      <w:szCs w:val="26"/>
      <w:lang w:eastAsia="en-GB"/>
    </w:rPr>
  </w:style>
  <w:style w:type="character" w:styleId="Emphasis">
    <w:name w:val="Emphasis"/>
    <w:basedOn w:val="DefaultParagraphFont"/>
    <w:uiPriority w:val="20"/>
    <w:qFormat/>
    <w:rsid w:val="0073482E"/>
    <w:rPr>
      <w:i/>
      <w:iCs/>
    </w:rPr>
  </w:style>
  <w:style w:type="character" w:styleId="Strong">
    <w:name w:val="Strong"/>
    <w:basedOn w:val="DefaultParagraphFont"/>
    <w:uiPriority w:val="22"/>
    <w:qFormat/>
    <w:rsid w:val="008034CF"/>
    <w:rPr>
      <w:b/>
      <w:bCs/>
    </w:rPr>
  </w:style>
  <w:style w:type="paragraph" w:customStyle="1" w:styleId="EndNoteBibliography">
    <w:name w:val="EndNote Bibliography"/>
    <w:basedOn w:val="Normal"/>
    <w:link w:val="EndNoteBibliographyChar"/>
    <w:rsid w:val="00E26404"/>
    <w:pPr>
      <w:spacing w:line="360" w:lineRule="auto"/>
    </w:pPr>
  </w:style>
  <w:style w:type="character" w:customStyle="1" w:styleId="EndNoteBibliographyChar">
    <w:name w:val="EndNote Bibliography Char"/>
    <w:basedOn w:val="DefaultParagraphFont"/>
    <w:link w:val="EndNoteBibliography"/>
    <w:rsid w:val="00E26404"/>
    <w:rPr>
      <w:rFonts w:ascii="Calibri" w:hAnsi="Calibri" w:cs="Calibri"/>
      <w:lang w:val="en-US"/>
    </w:rPr>
  </w:style>
  <w:style w:type="table" w:customStyle="1" w:styleId="TableGrid1">
    <w:name w:val="Table Grid1"/>
    <w:basedOn w:val="TableNormal"/>
    <w:next w:val="TableGrid"/>
    <w:uiPriority w:val="39"/>
    <w:rsid w:val="00B54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6D1065"/>
    <w:rPr>
      <w:rFonts w:asciiTheme="majorHAnsi" w:eastAsiaTheme="majorEastAsia" w:hAnsiTheme="majorHAnsi" w:cstheme="majorBidi"/>
      <w:color w:val="1F3763" w:themeColor="accent1" w:themeShade="7F"/>
      <w:sz w:val="24"/>
      <w:szCs w:val="24"/>
      <w:lang w:eastAsia="en-GB"/>
    </w:rPr>
  </w:style>
  <w:style w:type="paragraph" w:styleId="Header">
    <w:name w:val="header"/>
    <w:basedOn w:val="Normal"/>
    <w:link w:val="HeaderChar"/>
    <w:uiPriority w:val="99"/>
    <w:unhideWhenUsed/>
    <w:rsid w:val="00F2346E"/>
    <w:pPr>
      <w:tabs>
        <w:tab w:val="center" w:pos="4513"/>
        <w:tab w:val="right" w:pos="9026"/>
      </w:tabs>
    </w:pPr>
    <w:rPr>
      <w:rFonts w:asciiTheme="minorHAnsi" w:hAnsiTheme="minorHAnsi" w:cstheme="minorBidi"/>
    </w:rPr>
  </w:style>
  <w:style w:type="character" w:customStyle="1" w:styleId="HeaderChar">
    <w:name w:val="Header Char"/>
    <w:basedOn w:val="DefaultParagraphFont"/>
    <w:link w:val="Header"/>
    <w:uiPriority w:val="99"/>
    <w:rsid w:val="00F2346E"/>
  </w:style>
  <w:style w:type="paragraph" w:styleId="Footer">
    <w:name w:val="footer"/>
    <w:basedOn w:val="Normal"/>
    <w:link w:val="FooterChar"/>
    <w:uiPriority w:val="99"/>
    <w:unhideWhenUsed/>
    <w:rsid w:val="00F2346E"/>
    <w:pPr>
      <w:tabs>
        <w:tab w:val="center" w:pos="4513"/>
        <w:tab w:val="right" w:pos="9026"/>
      </w:tabs>
    </w:pPr>
    <w:rPr>
      <w:rFonts w:asciiTheme="minorHAnsi" w:hAnsiTheme="minorHAnsi" w:cstheme="minorBidi"/>
    </w:rPr>
  </w:style>
  <w:style w:type="character" w:customStyle="1" w:styleId="FooterChar">
    <w:name w:val="Footer Char"/>
    <w:basedOn w:val="DefaultParagraphFont"/>
    <w:link w:val="Footer"/>
    <w:uiPriority w:val="99"/>
    <w:rsid w:val="00F2346E"/>
  </w:style>
  <w:style w:type="character" w:customStyle="1" w:styleId="jrnl">
    <w:name w:val="jrnl"/>
    <w:basedOn w:val="DefaultParagraphFont"/>
    <w:rsid w:val="00F2346E"/>
  </w:style>
  <w:style w:type="paragraph" w:styleId="TOCHeading">
    <w:name w:val="TOC Heading"/>
    <w:basedOn w:val="Heading1"/>
    <w:next w:val="Normal"/>
    <w:uiPriority w:val="39"/>
    <w:unhideWhenUsed/>
    <w:qFormat/>
    <w:rsid w:val="00070091"/>
    <w:pPr>
      <w:outlineLvl w:val="9"/>
    </w:pPr>
  </w:style>
  <w:style w:type="paragraph" w:styleId="TOC1">
    <w:name w:val="toc 1"/>
    <w:basedOn w:val="Normal"/>
    <w:next w:val="Normal"/>
    <w:autoRedefine/>
    <w:uiPriority w:val="39"/>
    <w:unhideWhenUsed/>
    <w:rsid w:val="00070091"/>
    <w:pPr>
      <w:spacing w:after="100"/>
    </w:pPr>
  </w:style>
  <w:style w:type="table" w:customStyle="1" w:styleId="TableGrid2">
    <w:name w:val="Table Grid2"/>
    <w:basedOn w:val="TableNormal"/>
    <w:next w:val="TableGrid"/>
    <w:uiPriority w:val="39"/>
    <w:rsid w:val="008C09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87DCA"/>
    <w:rPr>
      <w:color w:val="605E5C"/>
      <w:shd w:val="clear" w:color="auto" w:fill="E1DFDD"/>
    </w:rPr>
  </w:style>
  <w:style w:type="table" w:customStyle="1" w:styleId="TableGrid3">
    <w:name w:val="Table Grid3"/>
    <w:basedOn w:val="TableNormal"/>
    <w:next w:val="TableGrid"/>
    <w:uiPriority w:val="39"/>
    <w:rsid w:val="00C87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87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C87DCA"/>
  </w:style>
  <w:style w:type="paragraph" w:customStyle="1" w:styleId="paragraph">
    <w:name w:val="paragraph"/>
    <w:basedOn w:val="Normal"/>
    <w:rsid w:val="00C87DCA"/>
    <w:pPr>
      <w:spacing w:before="100" w:beforeAutospacing="1" w:after="100" w:afterAutospacing="1"/>
    </w:pPr>
    <w:rPr>
      <w:sz w:val="24"/>
      <w:szCs w:val="24"/>
    </w:rPr>
  </w:style>
  <w:style w:type="character" w:customStyle="1" w:styleId="normaltextrun">
    <w:name w:val="normaltextrun"/>
    <w:basedOn w:val="DefaultParagraphFont"/>
    <w:rsid w:val="00C87DCA"/>
  </w:style>
  <w:style w:type="character" w:customStyle="1" w:styleId="eop">
    <w:name w:val="eop"/>
    <w:basedOn w:val="DefaultParagraphFont"/>
    <w:rsid w:val="00C87DCA"/>
  </w:style>
  <w:style w:type="paragraph" w:styleId="BalloonText">
    <w:name w:val="Balloon Text"/>
    <w:basedOn w:val="Normal"/>
    <w:link w:val="BalloonTextChar"/>
    <w:uiPriority w:val="99"/>
    <w:rsid w:val="006F6056"/>
    <w:rPr>
      <w:sz w:val="18"/>
      <w:szCs w:val="18"/>
    </w:rPr>
  </w:style>
  <w:style w:type="character" w:customStyle="1" w:styleId="BalloonTextChar">
    <w:name w:val="Balloon Text Char"/>
    <w:basedOn w:val="DefaultParagraphFont"/>
    <w:link w:val="BalloonText"/>
    <w:uiPriority w:val="99"/>
    <w:rsid w:val="006F6056"/>
    <w:rPr>
      <w:rFonts w:ascii="Times New Roman" w:eastAsia="Times New Roman" w:hAnsi="Times New Roman" w:cs="Times New Roman"/>
      <w:sz w:val="18"/>
      <w:szCs w:val="18"/>
      <w:lang w:val="en-US"/>
    </w:rPr>
  </w:style>
  <w:style w:type="paragraph" w:customStyle="1" w:styleId="EndNoteBibliographyTitle">
    <w:name w:val="EndNote Bibliography Title"/>
    <w:basedOn w:val="Normal"/>
    <w:link w:val="EndNoteBibliographyTitleChar"/>
    <w:rsid w:val="00A766CD"/>
    <w:pPr>
      <w:jc w:val="center"/>
    </w:pPr>
    <w:rPr>
      <w:noProof/>
    </w:rPr>
  </w:style>
  <w:style w:type="character" w:customStyle="1" w:styleId="EndNoteBibliographyTitleChar">
    <w:name w:val="EndNote Bibliography Title Char"/>
    <w:basedOn w:val="DefaultParagraphFont"/>
    <w:link w:val="EndNoteBibliographyTitle"/>
    <w:rsid w:val="00A766CD"/>
    <w:rPr>
      <w:rFonts w:ascii="Calibri" w:hAnsi="Calibri" w:cs="Calibri"/>
      <w:noProof/>
      <w:lang w:eastAsia="en-GB"/>
    </w:rPr>
  </w:style>
  <w:style w:type="table" w:customStyle="1" w:styleId="PlainTable21">
    <w:name w:val="Plain Table 21"/>
    <w:basedOn w:val="TableNormal"/>
    <w:next w:val="PlainTable2"/>
    <w:uiPriority w:val="42"/>
    <w:rsid w:val="00840AD6"/>
    <w:pPr>
      <w:spacing w:after="0" w:line="240" w:lineRule="auto"/>
    </w:pPr>
    <w:rPr>
      <w:rFonts w:eastAsia="DengXian"/>
      <w:lang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840AD6"/>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2">
    <w:name w:val="Plain Table 22"/>
    <w:basedOn w:val="TableNormal"/>
    <w:next w:val="PlainTable2"/>
    <w:uiPriority w:val="42"/>
    <w:rsid w:val="00764C85"/>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470AE4"/>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470AE4"/>
    <w:rPr>
      <w:rFonts w:ascii="Calibri" w:hAnsi="Calibri" w:cs="Calibri"/>
      <w:lang w:eastAsia="en-GB"/>
    </w:rPr>
  </w:style>
  <w:style w:type="paragraph" w:styleId="FootnoteText">
    <w:name w:val="footnote text"/>
    <w:basedOn w:val="Normal"/>
    <w:link w:val="FootnoteTextChar"/>
    <w:uiPriority w:val="99"/>
    <w:semiHidden/>
    <w:unhideWhenUsed/>
    <w:rsid w:val="00470AE4"/>
  </w:style>
  <w:style w:type="character" w:customStyle="1" w:styleId="FootnoteTextChar">
    <w:name w:val="Footnote Text Char"/>
    <w:basedOn w:val="DefaultParagraphFont"/>
    <w:link w:val="FootnoteText"/>
    <w:uiPriority w:val="99"/>
    <w:semiHidden/>
    <w:rsid w:val="00470AE4"/>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470AE4"/>
    <w:rPr>
      <w:vertAlign w:val="superscript"/>
    </w:rPr>
  </w:style>
  <w:style w:type="character" w:customStyle="1" w:styleId="nlmedition">
    <w:name w:val="nlm_edition"/>
    <w:basedOn w:val="DefaultParagraphFont"/>
    <w:rsid w:val="00470AE4"/>
  </w:style>
  <w:style w:type="character" w:customStyle="1" w:styleId="nlmpublisher-loc">
    <w:name w:val="nlm_publisher-loc"/>
    <w:basedOn w:val="DefaultParagraphFont"/>
    <w:rsid w:val="00470AE4"/>
  </w:style>
  <w:style w:type="character" w:customStyle="1" w:styleId="nlmpublisher-name">
    <w:name w:val="nlm_publisher-name"/>
    <w:basedOn w:val="DefaultParagraphFont"/>
    <w:rsid w:val="00470AE4"/>
  </w:style>
  <w:style w:type="character" w:customStyle="1" w:styleId="nlmyear">
    <w:name w:val="nlm_year"/>
    <w:basedOn w:val="DefaultParagraphFont"/>
    <w:rsid w:val="00470AE4"/>
  </w:style>
  <w:style w:type="character" w:customStyle="1" w:styleId="bkciteavail">
    <w:name w:val="bk_cite_avail"/>
    <w:basedOn w:val="DefaultParagraphFont"/>
    <w:rsid w:val="00470AE4"/>
  </w:style>
  <w:style w:type="paragraph" w:styleId="Revision">
    <w:name w:val="Revision"/>
    <w:hidden/>
    <w:uiPriority w:val="99"/>
    <w:semiHidden/>
    <w:rsid w:val="00470AE4"/>
    <w:pPr>
      <w:spacing w:after="0" w:line="240" w:lineRule="auto"/>
    </w:pPr>
  </w:style>
  <w:style w:type="table" w:styleId="PlainTable1">
    <w:name w:val="Plain Table 1"/>
    <w:basedOn w:val="TableNormal"/>
    <w:uiPriority w:val="41"/>
    <w:rsid w:val="00470AE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470AE4"/>
  </w:style>
  <w:style w:type="paragraph" w:styleId="TOC3">
    <w:name w:val="toc 3"/>
    <w:basedOn w:val="Normal"/>
    <w:next w:val="Normal"/>
    <w:autoRedefine/>
    <w:uiPriority w:val="39"/>
    <w:unhideWhenUsed/>
    <w:rsid w:val="009C52BB"/>
    <w:pPr>
      <w:spacing w:after="100"/>
      <w:ind w:left="440"/>
    </w:pPr>
  </w:style>
  <w:style w:type="paragraph" w:styleId="Caption">
    <w:name w:val="caption"/>
    <w:basedOn w:val="Normal"/>
    <w:next w:val="Normal"/>
    <w:uiPriority w:val="35"/>
    <w:unhideWhenUsed/>
    <w:qFormat/>
    <w:rsid w:val="008B560E"/>
    <w:pPr>
      <w:spacing w:after="200"/>
    </w:pPr>
    <w:rPr>
      <w:i/>
      <w:iCs/>
      <w:color w:val="44546A" w:themeColor="text2"/>
      <w:sz w:val="18"/>
      <w:szCs w:val="18"/>
    </w:rPr>
  </w:style>
  <w:style w:type="paragraph" w:styleId="TableofFigures">
    <w:name w:val="table of figures"/>
    <w:basedOn w:val="Normal"/>
    <w:next w:val="Normal"/>
    <w:uiPriority w:val="99"/>
    <w:unhideWhenUsed/>
    <w:rsid w:val="00DC2628"/>
  </w:style>
  <w:style w:type="paragraph" w:customStyle="1" w:styleId="11MaintitlePrelimsPrelimsstyles">
    <w:name w:val="1.1 Main title (Prelims) (Prelims styles)"/>
    <w:basedOn w:val="Normal"/>
    <w:next w:val="BasicParagraph"/>
    <w:uiPriority w:val="99"/>
    <w:rsid w:val="006F6056"/>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6F6056"/>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6F6056"/>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6F6056"/>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6F6056"/>
    <w:rPr>
      <w:rFonts w:cs="Humanist777BT-RomanB"/>
    </w:rPr>
  </w:style>
  <w:style w:type="paragraph" w:customStyle="1" w:styleId="161TitlepagecompetinginterestsPrelimsstyles">
    <w:name w:val="1.61 Title page competing interests (Prelims styles)"/>
    <w:basedOn w:val="16TitlepagetextPrelimsPrelimsstyles"/>
    <w:uiPriority w:val="99"/>
    <w:rsid w:val="006F6056"/>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6F6056"/>
    <w:pPr>
      <w:spacing w:after="60"/>
      <w:ind w:left="0" w:firstLine="0"/>
    </w:pPr>
  </w:style>
  <w:style w:type="paragraph" w:customStyle="1" w:styleId="18TitlepagedoiPrelimsPrelimsstyles">
    <w:name w:val="1.8 Title page doi (Prelims) (Prelims styles)"/>
    <w:basedOn w:val="17TitlepagepubdatePrelimsPrelimsstyles"/>
    <w:uiPriority w:val="99"/>
    <w:rsid w:val="006F6056"/>
    <w:pPr>
      <w:spacing w:after="0" w:line="240" w:lineRule="atLeast"/>
    </w:pPr>
    <w:rPr>
      <w:sz w:val="20"/>
      <w:szCs w:val="20"/>
    </w:rPr>
  </w:style>
  <w:style w:type="paragraph" w:customStyle="1" w:styleId="151AbstracttitlePrelimsPrelimsstyles">
    <w:name w:val="1.51 Abstract title (Prelims) (Prelims styles)"/>
    <w:basedOn w:val="Normal"/>
    <w:uiPriority w:val="99"/>
    <w:rsid w:val="006F6056"/>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6F6056"/>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6F6056"/>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6F6056"/>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6F6056"/>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6F6056"/>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6F6056"/>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6F6056"/>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6F6056"/>
    <w:pPr>
      <w:spacing w:after="130"/>
      <w:ind w:left="960" w:hanging="960"/>
    </w:pPr>
  </w:style>
  <w:style w:type="paragraph" w:customStyle="1" w:styleId="192AbbreviationslistnotesPrelimsstyles">
    <w:name w:val="1.92 Abbreviations list notes (Prelims styles)"/>
    <w:basedOn w:val="602TextfoTextstylesTextstyles"/>
    <w:uiPriority w:val="99"/>
    <w:rsid w:val="006F6056"/>
    <w:pPr>
      <w:pageBreakBefore/>
      <w:spacing w:before="260" w:after="0"/>
    </w:pPr>
  </w:style>
  <w:style w:type="paragraph" w:customStyle="1" w:styleId="21ContributortextPrelimsPrelimsstyles">
    <w:name w:val="2.1 Contributor text (Prelims) (Prelims styles)"/>
    <w:basedOn w:val="16TitlepagetextPrelimsPrelimsstyles"/>
    <w:uiPriority w:val="99"/>
    <w:rsid w:val="006F6056"/>
    <w:pPr>
      <w:spacing w:after="280"/>
      <w:ind w:left="240" w:hanging="240"/>
    </w:pPr>
  </w:style>
  <w:style w:type="paragraph" w:customStyle="1" w:styleId="51AAheadHeadingstyles">
    <w:name w:val="5.1 AA head (Heading styles)"/>
    <w:basedOn w:val="52AheadHeadingsHeadingstyles"/>
    <w:next w:val="52AheadHeadingsHeadingstyles"/>
    <w:uiPriority w:val="99"/>
    <w:rsid w:val="006F6056"/>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6F6056"/>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6F6056"/>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6F6056"/>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6F6056"/>
    <w:pPr>
      <w:outlineLvl w:val="4"/>
    </w:pPr>
    <w:rPr>
      <w:rFonts w:cs="Humanist777BT-ItalicB"/>
      <w:i/>
      <w:iCs/>
    </w:rPr>
  </w:style>
  <w:style w:type="paragraph" w:customStyle="1" w:styleId="56EheadHeadingsHeadingstyles">
    <w:name w:val="5.6 E head (Headings) (Heading styles)"/>
    <w:basedOn w:val="602TextfoTextstylesTextstyles"/>
    <w:uiPriority w:val="99"/>
    <w:rsid w:val="006F6056"/>
  </w:style>
  <w:style w:type="paragraph" w:customStyle="1" w:styleId="57FheadHeadingsHeadingstyles">
    <w:name w:val="5.7 F head (Headings) (Heading styles)"/>
    <w:basedOn w:val="56EheadHeadingsHeadingstyles"/>
    <w:uiPriority w:val="99"/>
    <w:rsid w:val="006F6056"/>
    <w:rPr>
      <w:i/>
      <w:iCs/>
    </w:rPr>
  </w:style>
  <w:style w:type="paragraph" w:customStyle="1" w:styleId="601TextdropcapTextstylesTextstyles">
    <w:name w:val="6.01 Text (drop cap) (Text styles) (Text styles)"/>
    <w:basedOn w:val="602TextfoTextstylesTextstyles"/>
    <w:next w:val="602TextfoTextstylesTextstyles"/>
    <w:uiPriority w:val="99"/>
    <w:rsid w:val="006F6056"/>
  </w:style>
  <w:style w:type="paragraph" w:customStyle="1" w:styleId="611BulletlistTextstyles">
    <w:name w:val="6.11 Bullet list (Text styles)"/>
    <w:basedOn w:val="602TextfoTextstylesTextstyles"/>
    <w:next w:val="602TextfoTextstylesTextstyles"/>
    <w:uiPriority w:val="99"/>
    <w:rsid w:val="006F6056"/>
    <w:pPr>
      <w:spacing w:after="0"/>
      <w:ind w:left="357"/>
    </w:pPr>
  </w:style>
  <w:style w:type="paragraph" w:customStyle="1" w:styleId="612Textbulletlist2ndparaTextstyles">
    <w:name w:val="6.12 Text (bullet list 2nd para) (Text styles)"/>
    <w:basedOn w:val="611BulletlistTextstyles"/>
    <w:uiPriority w:val="99"/>
    <w:rsid w:val="006F6056"/>
  </w:style>
  <w:style w:type="paragraph" w:customStyle="1" w:styleId="614TextbulletlistlastTextstylesTextstyles">
    <w:name w:val="6.14 Text (bullet list last) (Text styles) (Text styles)"/>
    <w:basedOn w:val="611BulletlistTextstyles"/>
    <w:uiPriority w:val="99"/>
    <w:rsid w:val="006F6056"/>
    <w:pPr>
      <w:spacing w:after="260"/>
    </w:pPr>
  </w:style>
  <w:style w:type="paragraph" w:customStyle="1" w:styleId="613TextsubbulletlistTextstylesTextstyles">
    <w:name w:val="6.13 Text (sub bullet list) (Text styles) (Text styles)"/>
    <w:basedOn w:val="602TextfoTextstylesTextstyles"/>
    <w:uiPriority w:val="99"/>
    <w:rsid w:val="006F6056"/>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6F6056"/>
    <w:pPr>
      <w:spacing w:after="260"/>
    </w:pPr>
  </w:style>
  <w:style w:type="paragraph" w:customStyle="1" w:styleId="615TextsubsubbulletlistTextstylesTextstyles">
    <w:name w:val="6.15 Text (sub sub bullet list) (Text styles) (Text styles)"/>
    <w:basedOn w:val="613TextsubbulletlistTextstylesTextstyles"/>
    <w:uiPriority w:val="99"/>
    <w:rsid w:val="006F6056"/>
    <w:pPr>
      <w:ind w:left="1080"/>
    </w:pPr>
  </w:style>
  <w:style w:type="paragraph" w:customStyle="1" w:styleId="617TextsubsubbulletlistlastTextstylesTextstyles">
    <w:name w:val="6.17 Text (sub sub bullet list last) (Text styles) (Text styles)"/>
    <w:basedOn w:val="613TextsubbulletlistTextstylesTextstyles"/>
    <w:uiPriority w:val="99"/>
    <w:rsid w:val="006F6056"/>
    <w:pPr>
      <w:spacing w:after="260"/>
      <w:ind w:left="1080"/>
    </w:pPr>
  </w:style>
  <w:style w:type="paragraph" w:customStyle="1" w:styleId="621TextnumberedlistTextstylesTextstyles">
    <w:name w:val="6.21 Text (numbered list) (Text styles) (Text styles)"/>
    <w:basedOn w:val="602TextfoTextstylesTextstyles"/>
    <w:uiPriority w:val="99"/>
    <w:rsid w:val="006F6056"/>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6F6056"/>
    <w:pPr>
      <w:ind w:left="360"/>
    </w:pPr>
  </w:style>
  <w:style w:type="paragraph" w:customStyle="1" w:styleId="6211TextnumberedlistlastTextstylesTextstyles">
    <w:name w:val="6.211 Text (numbered list last) (Text styles) (Text styles)"/>
    <w:basedOn w:val="621TextnumberedlistTextstylesTextstyles"/>
    <w:uiPriority w:val="99"/>
    <w:rsid w:val="006F6056"/>
    <w:pPr>
      <w:spacing w:after="260"/>
    </w:pPr>
  </w:style>
  <w:style w:type="paragraph" w:customStyle="1" w:styleId="623TextsubnumberedlistTextstylesTextstyles">
    <w:name w:val="6.23 Text (sub numbered list) (Text styles) (Text styles)"/>
    <w:basedOn w:val="621TextnumberedlistTextstylesTextstyles"/>
    <w:uiPriority w:val="99"/>
    <w:rsid w:val="006F6056"/>
    <w:pPr>
      <w:ind w:left="360"/>
    </w:pPr>
  </w:style>
  <w:style w:type="paragraph" w:customStyle="1" w:styleId="626TextalphalistTextstyles">
    <w:name w:val="6.26 Text (alpha list) (Text styles)"/>
    <w:basedOn w:val="621TextnumberedlistTextstylesTextstyles"/>
    <w:uiPriority w:val="99"/>
    <w:rsid w:val="006F6056"/>
    <w:pPr>
      <w:tabs>
        <w:tab w:val="clear" w:pos="0"/>
        <w:tab w:val="left" w:pos="360"/>
      </w:tabs>
    </w:pPr>
  </w:style>
  <w:style w:type="paragraph" w:customStyle="1" w:styleId="627TextsubalphalistTextstyles">
    <w:name w:val="6.27 Text (sub alpha list) (Text styles)"/>
    <w:basedOn w:val="626TextalphalistTextstyles"/>
    <w:uiPriority w:val="99"/>
    <w:rsid w:val="006F6056"/>
    <w:pPr>
      <w:ind w:left="360"/>
    </w:pPr>
  </w:style>
  <w:style w:type="paragraph" w:customStyle="1" w:styleId="628TextalphalistlastTextstyles">
    <w:name w:val="6.28 Text (alpha list last) (Text styles)"/>
    <w:basedOn w:val="626TextalphalistTextstyles"/>
    <w:next w:val="602TextfoTextstylesTextstyles"/>
    <w:uiPriority w:val="99"/>
    <w:rsid w:val="006F6056"/>
    <w:pPr>
      <w:spacing w:after="240"/>
    </w:pPr>
  </w:style>
  <w:style w:type="paragraph" w:customStyle="1" w:styleId="644TextquoteTextstylesTextstyles">
    <w:name w:val="6.44 Text (quote) (Text styles) (Text styles)"/>
    <w:basedOn w:val="602TextfoTextstylesTextstyles"/>
    <w:uiPriority w:val="99"/>
    <w:rsid w:val="006F6056"/>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6F6056"/>
  </w:style>
  <w:style w:type="paragraph" w:customStyle="1" w:styleId="632TextequationTextstylesTextstyles">
    <w:name w:val="6.32 Text (equation) (Text styles) (Text styles)"/>
    <w:basedOn w:val="602TextfoTextstylesTextstyles"/>
    <w:uiPriority w:val="99"/>
    <w:rsid w:val="006F6056"/>
    <w:pPr>
      <w:tabs>
        <w:tab w:val="right" w:pos="9120"/>
      </w:tabs>
      <w:ind w:left="240"/>
    </w:pPr>
  </w:style>
  <w:style w:type="paragraph" w:customStyle="1" w:styleId="645TextquotewithsourceTextstyles">
    <w:name w:val="6.45 Text (quote with source) (Text styles)"/>
    <w:basedOn w:val="644TextquoteTextstylesTextstyles"/>
    <w:uiPriority w:val="99"/>
    <w:rsid w:val="006F6056"/>
    <w:pPr>
      <w:spacing w:after="0"/>
    </w:pPr>
  </w:style>
  <w:style w:type="paragraph" w:customStyle="1" w:styleId="646TextquotesourceTextstylesTextstyles">
    <w:name w:val="6.46 Text (quote source) (Text styles) (Text styles)"/>
    <w:basedOn w:val="644TextquoteTextstylesTextstyles"/>
    <w:uiPriority w:val="99"/>
    <w:rsid w:val="006F6056"/>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6F6056"/>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6F6056"/>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6F6056"/>
    <w:pPr>
      <w:spacing w:after="130"/>
      <w:ind w:left="600" w:hanging="120"/>
    </w:pPr>
  </w:style>
  <w:style w:type="paragraph" w:customStyle="1" w:styleId="690EndnoteTextstylesTextstyles">
    <w:name w:val="6.90 Endnote (Text styles) (Text styles)"/>
    <w:basedOn w:val="602TextfoTextstylesTextstyles"/>
    <w:uiPriority w:val="99"/>
    <w:rsid w:val="006F6056"/>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6F6056"/>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6F6056"/>
    <w:rPr>
      <w:bCs/>
    </w:rPr>
  </w:style>
  <w:style w:type="paragraph" w:customStyle="1" w:styleId="72TabletextTablesTableFigureBoxstyles">
    <w:name w:val="7.2 Table text (Tables) (Table/Figure/Box styles)"/>
    <w:basedOn w:val="Normal"/>
    <w:uiPriority w:val="99"/>
    <w:rsid w:val="006F6056"/>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6F6056"/>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6F6056"/>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6F6056"/>
  </w:style>
  <w:style w:type="paragraph" w:customStyle="1" w:styleId="710TableheadTablesTableFigureBoxstyles">
    <w:name w:val="7.10 Table head (Tables) (Table/Figure/Box styles)"/>
    <w:basedOn w:val="72TabletextTablesTableFigureBoxstyles"/>
    <w:next w:val="72TabletextTablesTableFigureBoxstyles"/>
    <w:uiPriority w:val="99"/>
    <w:rsid w:val="006F6056"/>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6F6056"/>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6F6056"/>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6F6056"/>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6F6056"/>
    <w:rPr>
      <w:rFonts w:cs="Humanist777BT-ItalicB"/>
      <w:bCs w:val="0"/>
      <w:i/>
    </w:rPr>
  </w:style>
  <w:style w:type="paragraph" w:customStyle="1" w:styleId="92BoxtextBoxesTableFigureBoxstyles">
    <w:name w:val="9.2 Box text (Boxes) (Table/Figure/Box styles)"/>
    <w:basedOn w:val="72TabletextTablesTableFigureBoxstyles"/>
    <w:uiPriority w:val="99"/>
    <w:rsid w:val="006F6056"/>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6F6056"/>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6F6056"/>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6F6056"/>
    <w:pPr>
      <w:spacing w:after="120"/>
    </w:pPr>
  </w:style>
  <w:style w:type="paragraph" w:customStyle="1" w:styleId="922BoxbulletlistBoxesTableFigureBoxstyles">
    <w:name w:val="9.22 Box bullet list (Boxes) (Table/Figure/Box styles)"/>
    <w:basedOn w:val="921BoxnumberedlistBoxesTableFigureBoxstyles"/>
    <w:uiPriority w:val="99"/>
    <w:rsid w:val="006F6056"/>
    <w:pPr>
      <w:ind w:hanging="240"/>
    </w:pPr>
  </w:style>
  <w:style w:type="paragraph" w:customStyle="1" w:styleId="925BoxbulletlistlastBoxesTableFigureBoxstyles">
    <w:name w:val="9.25 Box bullet list last (Boxes) (Table/Figure/Box styles)"/>
    <w:basedOn w:val="921BoxnumberedlistBoxesTableFigureBoxstyles"/>
    <w:uiPriority w:val="99"/>
    <w:rsid w:val="006F6056"/>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6F6056"/>
  </w:style>
  <w:style w:type="paragraph" w:customStyle="1" w:styleId="926BoxalphalistlastBoxesTableFigureBoxstyles">
    <w:name w:val="9.26 Box alpha list last (Boxes) (Table/Figure/Box styles)"/>
    <w:basedOn w:val="921BoxnumberedlistBoxesTableFigureBoxstyles"/>
    <w:uiPriority w:val="99"/>
    <w:rsid w:val="006F6056"/>
    <w:pPr>
      <w:spacing w:after="120"/>
    </w:pPr>
  </w:style>
  <w:style w:type="paragraph" w:customStyle="1" w:styleId="927BoxquoteBoxesTableFigureBoxstyles">
    <w:name w:val="9.27 Box quote (Boxes) (Table/Figure/Box styles)"/>
    <w:basedOn w:val="92BoxtextBoxesTableFigureBoxstyles"/>
    <w:uiPriority w:val="99"/>
    <w:rsid w:val="006F6056"/>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6F6056"/>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6F6056"/>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6F6056"/>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6F6056"/>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6F6056"/>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6F6056"/>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6F6056"/>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6F6056"/>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6F6056"/>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6F6056"/>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6F6056"/>
    <w:pPr>
      <w:ind w:left="240"/>
    </w:pPr>
  </w:style>
  <w:style w:type="paragraph" w:customStyle="1" w:styleId="75TablenotesTablesTableFigureBoxstyles">
    <w:name w:val="7.5 Table (notes) (Tables) (Table/Figure/Box styles)"/>
    <w:basedOn w:val="74TablenotesheadingTablesTableFigureBoxstyles"/>
    <w:uiPriority w:val="99"/>
    <w:rsid w:val="006F6056"/>
    <w:pPr>
      <w:spacing w:before="0"/>
      <w:ind w:left="198" w:hanging="198"/>
    </w:pPr>
    <w:rPr>
      <w:rFonts w:ascii="Lato" w:hAnsi="Lato" w:cs="Humanist777BT-LightB"/>
      <w:b w:val="0"/>
    </w:rPr>
  </w:style>
  <w:style w:type="paragraph" w:customStyle="1" w:styleId="BasicParagraph">
    <w:name w:val="[Basic Paragraph]"/>
    <w:basedOn w:val="Normal"/>
    <w:uiPriority w:val="99"/>
    <w:rsid w:val="006F6056"/>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6F6056"/>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6F6056"/>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6F6056"/>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6F6056"/>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6F6056"/>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6F6056"/>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6F6056"/>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6F6056"/>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6F6056"/>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6F6056"/>
    <w:pPr>
      <w:spacing w:after="260"/>
      <w:ind w:left="360"/>
    </w:pPr>
  </w:style>
  <w:style w:type="paragraph" w:customStyle="1" w:styleId="634TextsubalphalistlastTextstyles">
    <w:name w:val="6.34 Text (sub alpha list last) (Text styles)"/>
    <w:basedOn w:val="626TextalphalistTextstyles"/>
    <w:uiPriority w:val="99"/>
    <w:rsid w:val="006F6056"/>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6F6056"/>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6F6056"/>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6F6056"/>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6F6056"/>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6F6056"/>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6F6056"/>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6F6056"/>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6F6056"/>
  </w:style>
  <w:style w:type="paragraph" w:customStyle="1" w:styleId="636TextsubsubnumberedlistlastTextstylesTextstyles">
    <w:name w:val="6.36 Text (sub sub numbered list last) (Text styles) (Text styles)"/>
    <w:basedOn w:val="613TextsubbulletlistTextstylesTextstyles"/>
    <w:uiPriority w:val="99"/>
    <w:rsid w:val="006F6056"/>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6F6056"/>
    <w:pPr>
      <w:ind w:left="402"/>
    </w:pPr>
  </w:style>
  <w:style w:type="paragraph" w:customStyle="1" w:styleId="6121Textbulletlist2ndparalastTextstyles">
    <w:name w:val="6.121 Text (bullet list 2nd para last) (Text styles)"/>
    <w:basedOn w:val="612Textbulletlist2ndparaTextstyles"/>
    <w:uiPriority w:val="99"/>
    <w:rsid w:val="006F6056"/>
    <w:pPr>
      <w:spacing w:after="260"/>
    </w:pPr>
  </w:style>
  <w:style w:type="paragraph" w:customStyle="1" w:styleId="6131TextsubbulletlistsolidTextstylesTextstyles">
    <w:name w:val="6.131 Text (sub bullet list solid) (Text styles) (Text styles)"/>
    <w:basedOn w:val="613TextsubbulletlistTextstylesTextstyles"/>
    <w:uiPriority w:val="99"/>
    <w:rsid w:val="006F6056"/>
  </w:style>
  <w:style w:type="paragraph" w:customStyle="1" w:styleId="6161TextsubbulletlistsolidlastTextstyles">
    <w:name w:val="6.161 Text (sub bullet list solid last) (Text styles)"/>
    <w:basedOn w:val="616TextsubbulletlistlastTextstylesTextstyles"/>
    <w:uiPriority w:val="99"/>
    <w:rsid w:val="006F6056"/>
  </w:style>
  <w:style w:type="paragraph" w:customStyle="1" w:styleId="713TablesubheadCTablesTableFigureBoxstyles">
    <w:name w:val="7.13 Table subhead C (Tables) (Table/Figure/Box styles)"/>
    <w:basedOn w:val="712TablesubheadBTablesTableFigureBoxstyles"/>
    <w:uiPriority w:val="99"/>
    <w:rsid w:val="006F6056"/>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6F6056"/>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6F6056"/>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6F6056"/>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6F6056"/>
    <w:pPr>
      <w:spacing w:after="0"/>
    </w:pPr>
  </w:style>
  <w:style w:type="paragraph" w:customStyle="1" w:styleId="9271BoxquotewithsourceTableFigureBoxstyles">
    <w:name w:val="9.271 Box quote with source (Table/Figure/Box styles)"/>
    <w:basedOn w:val="927BoxquoteBoxesTableFigureBoxstyles"/>
    <w:uiPriority w:val="99"/>
    <w:rsid w:val="006F6056"/>
    <w:pPr>
      <w:spacing w:after="0"/>
    </w:pPr>
  </w:style>
  <w:style w:type="paragraph" w:customStyle="1" w:styleId="6116Quoteasabulletlistitem-sourceTextstyles">
    <w:name w:val="6.116 Quote as a bullet list item - source (Text styles)"/>
    <w:basedOn w:val="Normal"/>
    <w:uiPriority w:val="99"/>
    <w:rsid w:val="006F6056"/>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6F6056"/>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6F6056"/>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6F6056"/>
    <w:pPr>
      <w:spacing w:after="260"/>
    </w:pPr>
  </w:style>
  <w:style w:type="paragraph" w:customStyle="1" w:styleId="Normal0">
    <w:name w:val="[Normal]"/>
    <w:rsid w:val="006F6056"/>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6F6056"/>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6F6056"/>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6F6056"/>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6F6056"/>
    <w:pPr>
      <w:ind w:left="720"/>
    </w:pPr>
  </w:style>
  <w:style w:type="paragraph" w:customStyle="1" w:styleId="58GHeadHeadingsHeadingstyles">
    <w:name w:val="5.8 G Head (Headings) (Heading styles)"/>
    <w:basedOn w:val="57FheadHeadingsHeadingstyles"/>
    <w:uiPriority w:val="99"/>
    <w:rsid w:val="006F6056"/>
    <w:rPr>
      <w:i w:val="0"/>
      <w:iCs w:val="0"/>
    </w:rPr>
  </w:style>
  <w:style w:type="paragraph" w:customStyle="1" w:styleId="6212QuoteasanumberedlistitemTextstyles">
    <w:name w:val="6.212 Quote as a numbered list item (Text styles)"/>
    <w:basedOn w:val="621TextnumberedlistTextstylesTextstyles"/>
    <w:uiPriority w:val="99"/>
    <w:rsid w:val="006F6056"/>
    <w:rPr>
      <w:i/>
    </w:rPr>
  </w:style>
  <w:style w:type="paragraph" w:customStyle="1" w:styleId="625TextsimplelistTextstyles">
    <w:name w:val="6.25 Text (simple list) (Text styles)"/>
    <w:basedOn w:val="626TextalphalistTextstyles"/>
    <w:uiPriority w:val="99"/>
    <w:rsid w:val="006F6056"/>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6F6056"/>
    <w:pPr>
      <w:ind w:left="360" w:hanging="120"/>
    </w:pPr>
    <w:rPr>
      <w:lang w:eastAsia="en-GB"/>
    </w:rPr>
  </w:style>
  <w:style w:type="paragraph" w:customStyle="1" w:styleId="647TextquotedbulletlistTextstyles">
    <w:name w:val="6.47 Text (quoted bullet list) (Text styles)"/>
    <w:basedOn w:val="644TextquoteTextstylesTextstyles"/>
    <w:uiPriority w:val="99"/>
    <w:rsid w:val="006F6056"/>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6F6056"/>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6F6056"/>
    <w:pPr>
      <w:spacing w:after="260"/>
    </w:pPr>
  </w:style>
  <w:style w:type="paragraph" w:customStyle="1" w:styleId="648TextquotedbulletlistlastTextstyles">
    <w:name w:val="6.48 Text (quoted bullet list last) (Text styles)"/>
    <w:basedOn w:val="647TextquotedbulletlistTextstyles"/>
    <w:uiPriority w:val="99"/>
    <w:rsid w:val="006F6056"/>
    <w:pPr>
      <w:spacing w:after="260"/>
    </w:pPr>
  </w:style>
  <w:style w:type="paragraph" w:customStyle="1" w:styleId="642TextquotednumberedlistTextstyles">
    <w:name w:val="6.42 Text (quoted numbered list) (Text styles)"/>
    <w:basedOn w:val="647TextquotedbulletlistTextstyles"/>
    <w:uiPriority w:val="99"/>
    <w:rsid w:val="006F6056"/>
  </w:style>
  <w:style w:type="paragraph" w:customStyle="1" w:styleId="643TextquotednumberedlistlastTextstyles">
    <w:name w:val="6.43 Text (quoted numbered list last) (Text styles)"/>
    <w:basedOn w:val="642TextquotednumberedlistTextstyles"/>
    <w:uiPriority w:val="99"/>
    <w:rsid w:val="006F6056"/>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6F6056"/>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6F6056"/>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6F6056"/>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6F6056"/>
  </w:style>
  <w:style w:type="paragraph" w:customStyle="1" w:styleId="7531TablenotessubalphalistTablesTableFigureBoxstyles">
    <w:name w:val="7.531 Table notes sub alpha list (Tables) (Table/Figure/Box styles)"/>
    <w:basedOn w:val="752TablenotesnumberedlistTablesTableFigureBoxstyles"/>
    <w:uiPriority w:val="99"/>
    <w:rsid w:val="006F6056"/>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6F6056"/>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6F6056"/>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6F6056"/>
  </w:style>
  <w:style w:type="paragraph" w:customStyle="1" w:styleId="9521BoxnotessubnumberedlistBoxesTableFigureBoxstyles">
    <w:name w:val="9.521 Box notes sub numbered list (Boxes) (Table/Figure/Box styles)"/>
    <w:basedOn w:val="951BoxnotesbulletlistBoxesTableFigureBoxstyles"/>
    <w:uiPriority w:val="99"/>
    <w:rsid w:val="006F6056"/>
    <w:pPr>
      <w:ind w:left="606"/>
    </w:pPr>
  </w:style>
  <w:style w:type="paragraph" w:customStyle="1" w:styleId="953BoxnotesalphalistBoxesTableFigureBoxstyles">
    <w:name w:val="9.53 Box notes alpha list (Boxes) (Table/Figure/Box styles)"/>
    <w:basedOn w:val="952BoxnotesnumberedlistBoxesTableFigureBoxstyles"/>
    <w:uiPriority w:val="99"/>
    <w:rsid w:val="006F6056"/>
  </w:style>
  <w:style w:type="paragraph" w:customStyle="1" w:styleId="9531BoxnotessubalphalistBoxesTableFigureBoxstyles">
    <w:name w:val="9.531 Box notes sub alpha list (Boxes) (Table/Figure/Box styles)"/>
    <w:basedOn w:val="952BoxnotesnumberedlistBoxesTableFigureBoxstyles"/>
    <w:uiPriority w:val="99"/>
    <w:rsid w:val="006F6056"/>
    <w:pPr>
      <w:ind w:left="606"/>
    </w:pPr>
  </w:style>
  <w:style w:type="paragraph" w:customStyle="1" w:styleId="6132TextsubbulletlistnumberedTextstyles">
    <w:name w:val="6.132 Text (sub bullet list numbered) (Text styles)"/>
    <w:basedOn w:val="613TextsubbulletlistTextstylesTextstyles"/>
    <w:uiPriority w:val="99"/>
    <w:rsid w:val="006F6056"/>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6F6056"/>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6F6056"/>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6F6056"/>
    <w:pPr>
      <w:spacing w:after="120"/>
    </w:pPr>
  </w:style>
  <w:style w:type="paragraph" w:customStyle="1" w:styleId="ToCchaptertitleToCstyles">
    <w:name w:val="ToC chapter title (ToC styles)"/>
    <w:basedOn w:val="Normal"/>
    <w:uiPriority w:val="99"/>
    <w:rsid w:val="006F6056"/>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6F6056"/>
    <w:rPr>
      <w:rFonts w:ascii="Lato Black" w:hAnsi="Lato Black" w:cs="Lato Black"/>
    </w:rPr>
  </w:style>
  <w:style w:type="paragraph" w:customStyle="1" w:styleId="ToCAAheadToCstyles">
    <w:name w:val="ToC AA head (ToC styles)"/>
    <w:basedOn w:val="ToCchaptertitleToCstyles"/>
    <w:uiPriority w:val="99"/>
    <w:rsid w:val="006F6056"/>
    <w:pPr>
      <w:spacing w:before="0"/>
    </w:pPr>
    <w:rPr>
      <w:rFonts w:ascii="Lato Medium" w:hAnsi="Lato Medium" w:cs="Lato Medium"/>
    </w:rPr>
  </w:style>
  <w:style w:type="paragraph" w:customStyle="1" w:styleId="ToCAheadToCstyles">
    <w:name w:val="ToC A head (ToC styles)"/>
    <w:basedOn w:val="ToCchaptertitleToCstyles"/>
    <w:uiPriority w:val="99"/>
    <w:rsid w:val="006F6056"/>
    <w:pPr>
      <w:spacing w:before="0"/>
    </w:pPr>
  </w:style>
  <w:style w:type="paragraph" w:customStyle="1" w:styleId="ToCappendixToCstyles">
    <w:name w:val="ToC appendix (ToC styles)"/>
    <w:basedOn w:val="ToCchaptertitleToCstyles"/>
    <w:uiPriority w:val="99"/>
    <w:rsid w:val="006F6056"/>
  </w:style>
  <w:style w:type="paragraph" w:customStyle="1" w:styleId="6214QuoteasanumberedlistitemsourceTextstyles">
    <w:name w:val="6.214 Quote as a numbered list item – source (Text styles)"/>
    <w:basedOn w:val="6121Textbulletlist2ndparalastTextstyles"/>
    <w:uiPriority w:val="99"/>
    <w:rsid w:val="006F6056"/>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6F6056"/>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6F6056"/>
    <w:pPr>
      <w:spacing w:after="120"/>
    </w:pPr>
  </w:style>
  <w:style w:type="paragraph" w:customStyle="1" w:styleId="9274BoxquotesubbulletlistTableFigureBoxstyles">
    <w:name w:val="9.274 Box quote sub bullet list (Table/Figure/Box styles)"/>
    <w:basedOn w:val="9272BoxquotebulletlistTableFigureBoxstyles"/>
    <w:uiPriority w:val="99"/>
    <w:rsid w:val="006F6056"/>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6F6056"/>
    <w:pPr>
      <w:spacing w:after="120"/>
    </w:pPr>
  </w:style>
  <w:style w:type="paragraph" w:customStyle="1" w:styleId="9276BoxquotenumberedlistTableFigureBoxstyles">
    <w:name w:val="9.276 Box quote numbered list (Table/Figure/Box styles)"/>
    <w:basedOn w:val="9272BoxquotebulletlistTableFigureBoxstyles"/>
    <w:uiPriority w:val="99"/>
    <w:rsid w:val="006F6056"/>
  </w:style>
  <w:style w:type="paragraph" w:customStyle="1" w:styleId="9277BoxquotenumberedlistlastTableFigureBoxstyles">
    <w:name w:val="9.277 Box quote numbered list last  (Table/Figure/Box styles)"/>
    <w:basedOn w:val="9276BoxquotenumberedlistTableFigureBoxstyles"/>
    <w:uiPriority w:val="99"/>
    <w:rsid w:val="006F6056"/>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6F6056"/>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6F6056"/>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605">
      <w:bodyDiv w:val="1"/>
      <w:marLeft w:val="0"/>
      <w:marRight w:val="0"/>
      <w:marTop w:val="0"/>
      <w:marBottom w:val="0"/>
      <w:divBdr>
        <w:top w:val="none" w:sz="0" w:space="0" w:color="auto"/>
        <w:left w:val="none" w:sz="0" w:space="0" w:color="auto"/>
        <w:bottom w:val="none" w:sz="0" w:space="0" w:color="auto"/>
        <w:right w:val="none" w:sz="0" w:space="0" w:color="auto"/>
      </w:divBdr>
    </w:div>
    <w:div w:id="13390177">
      <w:bodyDiv w:val="1"/>
      <w:marLeft w:val="0"/>
      <w:marRight w:val="0"/>
      <w:marTop w:val="0"/>
      <w:marBottom w:val="0"/>
      <w:divBdr>
        <w:top w:val="none" w:sz="0" w:space="0" w:color="auto"/>
        <w:left w:val="none" w:sz="0" w:space="0" w:color="auto"/>
        <w:bottom w:val="none" w:sz="0" w:space="0" w:color="auto"/>
        <w:right w:val="none" w:sz="0" w:space="0" w:color="auto"/>
      </w:divBdr>
    </w:div>
    <w:div w:id="79110084">
      <w:bodyDiv w:val="1"/>
      <w:marLeft w:val="0"/>
      <w:marRight w:val="0"/>
      <w:marTop w:val="0"/>
      <w:marBottom w:val="0"/>
      <w:divBdr>
        <w:top w:val="none" w:sz="0" w:space="0" w:color="auto"/>
        <w:left w:val="none" w:sz="0" w:space="0" w:color="auto"/>
        <w:bottom w:val="none" w:sz="0" w:space="0" w:color="auto"/>
        <w:right w:val="none" w:sz="0" w:space="0" w:color="auto"/>
      </w:divBdr>
    </w:div>
    <w:div w:id="89357891">
      <w:bodyDiv w:val="1"/>
      <w:marLeft w:val="0"/>
      <w:marRight w:val="0"/>
      <w:marTop w:val="0"/>
      <w:marBottom w:val="0"/>
      <w:divBdr>
        <w:top w:val="none" w:sz="0" w:space="0" w:color="auto"/>
        <w:left w:val="none" w:sz="0" w:space="0" w:color="auto"/>
        <w:bottom w:val="none" w:sz="0" w:space="0" w:color="auto"/>
        <w:right w:val="none" w:sz="0" w:space="0" w:color="auto"/>
      </w:divBdr>
    </w:div>
    <w:div w:id="100301821">
      <w:bodyDiv w:val="1"/>
      <w:marLeft w:val="0"/>
      <w:marRight w:val="0"/>
      <w:marTop w:val="0"/>
      <w:marBottom w:val="0"/>
      <w:divBdr>
        <w:top w:val="none" w:sz="0" w:space="0" w:color="auto"/>
        <w:left w:val="none" w:sz="0" w:space="0" w:color="auto"/>
        <w:bottom w:val="none" w:sz="0" w:space="0" w:color="auto"/>
        <w:right w:val="none" w:sz="0" w:space="0" w:color="auto"/>
      </w:divBdr>
    </w:div>
    <w:div w:id="117377635">
      <w:bodyDiv w:val="1"/>
      <w:marLeft w:val="0"/>
      <w:marRight w:val="0"/>
      <w:marTop w:val="0"/>
      <w:marBottom w:val="0"/>
      <w:divBdr>
        <w:top w:val="none" w:sz="0" w:space="0" w:color="auto"/>
        <w:left w:val="none" w:sz="0" w:space="0" w:color="auto"/>
        <w:bottom w:val="none" w:sz="0" w:space="0" w:color="auto"/>
        <w:right w:val="none" w:sz="0" w:space="0" w:color="auto"/>
      </w:divBdr>
    </w:div>
    <w:div w:id="119809213">
      <w:bodyDiv w:val="1"/>
      <w:marLeft w:val="0"/>
      <w:marRight w:val="0"/>
      <w:marTop w:val="0"/>
      <w:marBottom w:val="0"/>
      <w:divBdr>
        <w:top w:val="none" w:sz="0" w:space="0" w:color="auto"/>
        <w:left w:val="none" w:sz="0" w:space="0" w:color="auto"/>
        <w:bottom w:val="none" w:sz="0" w:space="0" w:color="auto"/>
        <w:right w:val="none" w:sz="0" w:space="0" w:color="auto"/>
      </w:divBdr>
    </w:div>
    <w:div w:id="122768637">
      <w:bodyDiv w:val="1"/>
      <w:marLeft w:val="0"/>
      <w:marRight w:val="0"/>
      <w:marTop w:val="0"/>
      <w:marBottom w:val="0"/>
      <w:divBdr>
        <w:top w:val="none" w:sz="0" w:space="0" w:color="auto"/>
        <w:left w:val="none" w:sz="0" w:space="0" w:color="auto"/>
        <w:bottom w:val="none" w:sz="0" w:space="0" w:color="auto"/>
        <w:right w:val="none" w:sz="0" w:space="0" w:color="auto"/>
      </w:divBdr>
    </w:div>
    <w:div w:id="124468753">
      <w:bodyDiv w:val="1"/>
      <w:marLeft w:val="0"/>
      <w:marRight w:val="0"/>
      <w:marTop w:val="0"/>
      <w:marBottom w:val="0"/>
      <w:divBdr>
        <w:top w:val="none" w:sz="0" w:space="0" w:color="auto"/>
        <w:left w:val="none" w:sz="0" w:space="0" w:color="auto"/>
        <w:bottom w:val="none" w:sz="0" w:space="0" w:color="auto"/>
        <w:right w:val="none" w:sz="0" w:space="0" w:color="auto"/>
      </w:divBdr>
    </w:div>
    <w:div w:id="129397685">
      <w:bodyDiv w:val="1"/>
      <w:marLeft w:val="0"/>
      <w:marRight w:val="0"/>
      <w:marTop w:val="0"/>
      <w:marBottom w:val="0"/>
      <w:divBdr>
        <w:top w:val="none" w:sz="0" w:space="0" w:color="auto"/>
        <w:left w:val="none" w:sz="0" w:space="0" w:color="auto"/>
        <w:bottom w:val="none" w:sz="0" w:space="0" w:color="auto"/>
        <w:right w:val="none" w:sz="0" w:space="0" w:color="auto"/>
      </w:divBdr>
    </w:div>
    <w:div w:id="157500153">
      <w:bodyDiv w:val="1"/>
      <w:marLeft w:val="0"/>
      <w:marRight w:val="0"/>
      <w:marTop w:val="0"/>
      <w:marBottom w:val="0"/>
      <w:divBdr>
        <w:top w:val="none" w:sz="0" w:space="0" w:color="auto"/>
        <w:left w:val="none" w:sz="0" w:space="0" w:color="auto"/>
        <w:bottom w:val="none" w:sz="0" w:space="0" w:color="auto"/>
        <w:right w:val="none" w:sz="0" w:space="0" w:color="auto"/>
      </w:divBdr>
    </w:div>
    <w:div w:id="159274392">
      <w:bodyDiv w:val="1"/>
      <w:marLeft w:val="0"/>
      <w:marRight w:val="0"/>
      <w:marTop w:val="0"/>
      <w:marBottom w:val="0"/>
      <w:divBdr>
        <w:top w:val="none" w:sz="0" w:space="0" w:color="auto"/>
        <w:left w:val="none" w:sz="0" w:space="0" w:color="auto"/>
        <w:bottom w:val="none" w:sz="0" w:space="0" w:color="auto"/>
        <w:right w:val="none" w:sz="0" w:space="0" w:color="auto"/>
      </w:divBdr>
    </w:div>
    <w:div w:id="161092857">
      <w:bodyDiv w:val="1"/>
      <w:marLeft w:val="0"/>
      <w:marRight w:val="0"/>
      <w:marTop w:val="0"/>
      <w:marBottom w:val="0"/>
      <w:divBdr>
        <w:top w:val="none" w:sz="0" w:space="0" w:color="auto"/>
        <w:left w:val="none" w:sz="0" w:space="0" w:color="auto"/>
        <w:bottom w:val="none" w:sz="0" w:space="0" w:color="auto"/>
        <w:right w:val="none" w:sz="0" w:space="0" w:color="auto"/>
      </w:divBdr>
    </w:div>
    <w:div w:id="164519200">
      <w:bodyDiv w:val="1"/>
      <w:marLeft w:val="0"/>
      <w:marRight w:val="0"/>
      <w:marTop w:val="0"/>
      <w:marBottom w:val="0"/>
      <w:divBdr>
        <w:top w:val="none" w:sz="0" w:space="0" w:color="auto"/>
        <w:left w:val="none" w:sz="0" w:space="0" w:color="auto"/>
        <w:bottom w:val="none" w:sz="0" w:space="0" w:color="auto"/>
        <w:right w:val="none" w:sz="0" w:space="0" w:color="auto"/>
      </w:divBdr>
    </w:div>
    <w:div w:id="174618091">
      <w:bodyDiv w:val="1"/>
      <w:marLeft w:val="0"/>
      <w:marRight w:val="0"/>
      <w:marTop w:val="0"/>
      <w:marBottom w:val="0"/>
      <w:divBdr>
        <w:top w:val="none" w:sz="0" w:space="0" w:color="auto"/>
        <w:left w:val="none" w:sz="0" w:space="0" w:color="auto"/>
        <w:bottom w:val="none" w:sz="0" w:space="0" w:color="auto"/>
        <w:right w:val="none" w:sz="0" w:space="0" w:color="auto"/>
      </w:divBdr>
    </w:div>
    <w:div w:id="179780218">
      <w:bodyDiv w:val="1"/>
      <w:marLeft w:val="0"/>
      <w:marRight w:val="0"/>
      <w:marTop w:val="0"/>
      <w:marBottom w:val="0"/>
      <w:divBdr>
        <w:top w:val="none" w:sz="0" w:space="0" w:color="auto"/>
        <w:left w:val="none" w:sz="0" w:space="0" w:color="auto"/>
        <w:bottom w:val="none" w:sz="0" w:space="0" w:color="auto"/>
        <w:right w:val="none" w:sz="0" w:space="0" w:color="auto"/>
      </w:divBdr>
    </w:div>
    <w:div w:id="199246434">
      <w:bodyDiv w:val="1"/>
      <w:marLeft w:val="0"/>
      <w:marRight w:val="0"/>
      <w:marTop w:val="0"/>
      <w:marBottom w:val="0"/>
      <w:divBdr>
        <w:top w:val="none" w:sz="0" w:space="0" w:color="auto"/>
        <w:left w:val="none" w:sz="0" w:space="0" w:color="auto"/>
        <w:bottom w:val="none" w:sz="0" w:space="0" w:color="auto"/>
        <w:right w:val="none" w:sz="0" w:space="0" w:color="auto"/>
      </w:divBdr>
    </w:div>
    <w:div w:id="217975839">
      <w:bodyDiv w:val="1"/>
      <w:marLeft w:val="0"/>
      <w:marRight w:val="0"/>
      <w:marTop w:val="0"/>
      <w:marBottom w:val="0"/>
      <w:divBdr>
        <w:top w:val="none" w:sz="0" w:space="0" w:color="auto"/>
        <w:left w:val="none" w:sz="0" w:space="0" w:color="auto"/>
        <w:bottom w:val="none" w:sz="0" w:space="0" w:color="auto"/>
        <w:right w:val="none" w:sz="0" w:space="0" w:color="auto"/>
      </w:divBdr>
    </w:div>
    <w:div w:id="231432271">
      <w:bodyDiv w:val="1"/>
      <w:marLeft w:val="0"/>
      <w:marRight w:val="0"/>
      <w:marTop w:val="0"/>
      <w:marBottom w:val="0"/>
      <w:divBdr>
        <w:top w:val="none" w:sz="0" w:space="0" w:color="auto"/>
        <w:left w:val="none" w:sz="0" w:space="0" w:color="auto"/>
        <w:bottom w:val="none" w:sz="0" w:space="0" w:color="auto"/>
        <w:right w:val="none" w:sz="0" w:space="0" w:color="auto"/>
      </w:divBdr>
    </w:div>
    <w:div w:id="245111510">
      <w:bodyDiv w:val="1"/>
      <w:marLeft w:val="0"/>
      <w:marRight w:val="0"/>
      <w:marTop w:val="0"/>
      <w:marBottom w:val="0"/>
      <w:divBdr>
        <w:top w:val="none" w:sz="0" w:space="0" w:color="auto"/>
        <w:left w:val="none" w:sz="0" w:space="0" w:color="auto"/>
        <w:bottom w:val="none" w:sz="0" w:space="0" w:color="auto"/>
        <w:right w:val="none" w:sz="0" w:space="0" w:color="auto"/>
      </w:divBdr>
    </w:div>
    <w:div w:id="252590868">
      <w:bodyDiv w:val="1"/>
      <w:marLeft w:val="0"/>
      <w:marRight w:val="0"/>
      <w:marTop w:val="0"/>
      <w:marBottom w:val="0"/>
      <w:divBdr>
        <w:top w:val="none" w:sz="0" w:space="0" w:color="auto"/>
        <w:left w:val="none" w:sz="0" w:space="0" w:color="auto"/>
        <w:bottom w:val="none" w:sz="0" w:space="0" w:color="auto"/>
        <w:right w:val="none" w:sz="0" w:space="0" w:color="auto"/>
      </w:divBdr>
    </w:div>
    <w:div w:id="254442573">
      <w:bodyDiv w:val="1"/>
      <w:marLeft w:val="0"/>
      <w:marRight w:val="0"/>
      <w:marTop w:val="0"/>
      <w:marBottom w:val="0"/>
      <w:divBdr>
        <w:top w:val="none" w:sz="0" w:space="0" w:color="auto"/>
        <w:left w:val="none" w:sz="0" w:space="0" w:color="auto"/>
        <w:bottom w:val="none" w:sz="0" w:space="0" w:color="auto"/>
        <w:right w:val="none" w:sz="0" w:space="0" w:color="auto"/>
      </w:divBdr>
    </w:div>
    <w:div w:id="257754700">
      <w:bodyDiv w:val="1"/>
      <w:marLeft w:val="0"/>
      <w:marRight w:val="0"/>
      <w:marTop w:val="0"/>
      <w:marBottom w:val="0"/>
      <w:divBdr>
        <w:top w:val="none" w:sz="0" w:space="0" w:color="auto"/>
        <w:left w:val="none" w:sz="0" w:space="0" w:color="auto"/>
        <w:bottom w:val="none" w:sz="0" w:space="0" w:color="auto"/>
        <w:right w:val="none" w:sz="0" w:space="0" w:color="auto"/>
      </w:divBdr>
    </w:div>
    <w:div w:id="261569404">
      <w:bodyDiv w:val="1"/>
      <w:marLeft w:val="0"/>
      <w:marRight w:val="0"/>
      <w:marTop w:val="0"/>
      <w:marBottom w:val="0"/>
      <w:divBdr>
        <w:top w:val="none" w:sz="0" w:space="0" w:color="auto"/>
        <w:left w:val="none" w:sz="0" w:space="0" w:color="auto"/>
        <w:bottom w:val="none" w:sz="0" w:space="0" w:color="auto"/>
        <w:right w:val="none" w:sz="0" w:space="0" w:color="auto"/>
      </w:divBdr>
    </w:div>
    <w:div w:id="265620929">
      <w:bodyDiv w:val="1"/>
      <w:marLeft w:val="0"/>
      <w:marRight w:val="0"/>
      <w:marTop w:val="0"/>
      <w:marBottom w:val="0"/>
      <w:divBdr>
        <w:top w:val="none" w:sz="0" w:space="0" w:color="auto"/>
        <w:left w:val="none" w:sz="0" w:space="0" w:color="auto"/>
        <w:bottom w:val="none" w:sz="0" w:space="0" w:color="auto"/>
        <w:right w:val="none" w:sz="0" w:space="0" w:color="auto"/>
      </w:divBdr>
    </w:div>
    <w:div w:id="293560708">
      <w:bodyDiv w:val="1"/>
      <w:marLeft w:val="0"/>
      <w:marRight w:val="0"/>
      <w:marTop w:val="0"/>
      <w:marBottom w:val="0"/>
      <w:divBdr>
        <w:top w:val="none" w:sz="0" w:space="0" w:color="auto"/>
        <w:left w:val="none" w:sz="0" w:space="0" w:color="auto"/>
        <w:bottom w:val="none" w:sz="0" w:space="0" w:color="auto"/>
        <w:right w:val="none" w:sz="0" w:space="0" w:color="auto"/>
      </w:divBdr>
    </w:div>
    <w:div w:id="296225497">
      <w:bodyDiv w:val="1"/>
      <w:marLeft w:val="0"/>
      <w:marRight w:val="0"/>
      <w:marTop w:val="0"/>
      <w:marBottom w:val="0"/>
      <w:divBdr>
        <w:top w:val="none" w:sz="0" w:space="0" w:color="auto"/>
        <w:left w:val="none" w:sz="0" w:space="0" w:color="auto"/>
        <w:bottom w:val="none" w:sz="0" w:space="0" w:color="auto"/>
        <w:right w:val="none" w:sz="0" w:space="0" w:color="auto"/>
      </w:divBdr>
    </w:div>
    <w:div w:id="310596071">
      <w:bodyDiv w:val="1"/>
      <w:marLeft w:val="0"/>
      <w:marRight w:val="0"/>
      <w:marTop w:val="0"/>
      <w:marBottom w:val="0"/>
      <w:divBdr>
        <w:top w:val="none" w:sz="0" w:space="0" w:color="auto"/>
        <w:left w:val="none" w:sz="0" w:space="0" w:color="auto"/>
        <w:bottom w:val="none" w:sz="0" w:space="0" w:color="auto"/>
        <w:right w:val="none" w:sz="0" w:space="0" w:color="auto"/>
      </w:divBdr>
    </w:div>
    <w:div w:id="318656047">
      <w:bodyDiv w:val="1"/>
      <w:marLeft w:val="0"/>
      <w:marRight w:val="0"/>
      <w:marTop w:val="0"/>
      <w:marBottom w:val="0"/>
      <w:divBdr>
        <w:top w:val="none" w:sz="0" w:space="0" w:color="auto"/>
        <w:left w:val="none" w:sz="0" w:space="0" w:color="auto"/>
        <w:bottom w:val="none" w:sz="0" w:space="0" w:color="auto"/>
        <w:right w:val="none" w:sz="0" w:space="0" w:color="auto"/>
      </w:divBdr>
    </w:div>
    <w:div w:id="338965981">
      <w:bodyDiv w:val="1"/>
      <w:marLeft w:val="0"/>
      <w:marRight w:val="0"/>
      <w:marTop w:val="0"/>
      <w:marBottom w:val="0"/>
      <w:divBdr>
        <w:top w:val="none" w:sz="0" w:space="0" w:color="auto"/>
        <w:left w:val="none" w:sz="0" w:space="0" w:color="auto"/>
        <w:bottom w:val="none" w:sz="0" w:space="0" w:color="auto"/>
        <w:right w:val="none" w:sz="0" w:space="0" w:color="auto"/>
      </w:divBdr>
    </w:div>
    <w:div w:id="362025168">
      <w:bodyDiv w:val="1"/>
      <w:marLeft w:val="0"/>
      <w:marRight w:val="0"/>
      <w:marTop w:val="0"/>
      <w:marBottom w:val="0"/>
      <w:divBdr>
        <w:top w:val="none" w:sz="0" w:space="0" w:color="auto"/>
        <w:left w:val="none" w:sz="0" w:space="0" w:color="auto"/>
        <w:bottom w:val="none" w:sz="0" w:space="0" w:color="auto"/>
        <w:right w:val="none" w:sz="0" w:space="0" w:color="auto"/>
      </w:divBdr>
    </w:div>
    <w:div w:id="364258493">
      <w:bodyDiv w:val="1"/>
      <w:marLeft w:val="0"/>
      <w:marRight w:val="0"/>
      <w:marTop w:val="0"/>
      <w:marBottom w:val="0"/>
      <w:divBdr>
        <w:top w:val="none" w:sz="0" w:space="0" w:color="auto"/>
        <w:left w:val="none" w:sz="0" w:space="0" w:color="auto"/>
        <w:bottom w:val="none" w:sz="0" w:space="0" w:color="auto"/>
        <w:right w:val="none" w:sz="0" w:space="0" w:color="auto"/>
      </w:divBdr>
    </w:div>
    <w:div w:id="377170171">
      <w:bodyDiv w:val="1"/>
      <w:marLeft w:val="0"/>
      <w:marRight w:val="0"/>
      <w:marTop w:val="0"/>
      <w:marBottom w:val="0"/>
      <w:divBdr>
        <w:top w:val="none" w:sz="0" w:space="0" w:color="auto"/>
        <w:left w:val="none" w:sz="0" w:space="0" w:color="auto"/>
        <w:bottom w:val="none" w:sz="0" w:space="0" w:color="auto"/>
        <w:right w:val="none" w:sz="0" w:space="0" w:color="auto"/>
      </w:divBdr>
    </w:div>
    <w:div w:id="403838429">
      <w:bodyDiv w:val="1"/>
      <w:marLeft w:val="0"/>
      <w:marRight w:val="0"/>
      <w:marTop w:val="0"/>
      <w:marBottom w:val="0"/>
      <w:divBdr>
        <w:top w:val="none" w:sz="0" w:space="0" w:color="auto"/>
        <w:left w:val="none" w:sz="0" w:space="0" w:color="auto"/>
        <w:bottom w:val="none" w:sz="0" w:space="0" w:color="auto"/>
        <w:right w:val="none" w:sz="0" w:space="0" w:color="auto"/>
      </w:divBdr>
    </w:div>
    <w:div w:id="419721551">
      <w:bodyDiv w:val="1"/>
      <w:marLeft w:val="0"/>
      <w:marRight w:val="0"/>
      <w:marTop w:val="0"/>
      <w:marBottom w:val="0"/>
      <w:divBdr>
        <w:top w:val="none" w:sz="0" w:space="0" w:color="auto"/>
        <w:left w:val="none" w:sz="0" w:space="0" w:color="auto"/>
        <w:bottom w:val="none" w:sz="0" w:space="0" w:color="auto"/>
        <w:right w:val="none" w:sz="0" w:space="0" w:color="auto"/>
      </w:divBdr>
    </w:div>
    <w:div w:id="433597749">
      <w:bodyDiv w:val="1"/>
      <w:marLeft w:val="0"/>
      <w:marRight w:val="0"/>
      <w:marTop w:val="0"/>
      <w:marBottom w:val="0"/>
      <w:divBdr>
        <w:top w:val="none" w:sz="0" w:space="0" w:color="auto"/>
        <w:left w:val="none" w:sz="0" w:space="0" w:color="auto"/>
        <w:bottom w:val="none" w:sz="0" w:space="0" w:color="auto"/>
        <w:right w:val="none" w:sz="0" w:space="0" w:color="auto"/>
      </w:divBdr>
    </w:div>
    <w:div w:id="435909731">
      <w:bodyDiv w:val="1"/>
      <w:marLeft w:val="0"/>
      <w:marRight w:val="0"/>
      <w:marTop w:val="0"/>
      <w:marBottom w:val="0"/>
      <w:divBdr>
        <w:top w:val="none" w:sz="0" w:space="0" w:color="auto"/>
        <w:left w:val="none" w:sz="0" w:space="0" w:color="auto"/>
        <w:bottom w:val="none" w:sz="0" w:space="0" w:color="auto"/>
        <w:right w:val="none" w:sz="0" w:space="0" w:color="auto"/>
      </w:divBdr>
    </w:div>
    <w:div w:id="446461652">
      <w:bodyDiv w:val="1"/>
      <w:marLeft w:val="0"/>
      <w:marRight w:val="0"/>
      <w:marTop w:val="0"/>
      <w:marBottom w:val="0"/>
      <w:divBdr>
        <w:top w:val="none" w:sz="0" w:space="0" w:color="auto"/>
        <w:left w:val="none" w:sz="0" w:space="0" w:color="auto"/>
        <w:bottom w:val="none" w:sz="0" w:space="0" w:color="auto"/>
        <w:right w:val="none" w:sz="0" w:space="0" w:color="auto"/>
      </w:divBdr>
    </w:div>
    <w:div w:id="457377179">
      <w:bodyDiv w:val="1"/>
      <w:marLeft w:val="0"/>
      <w:marRight w:val="0"/>
      <w:marTop w:val="0"/>
      <w:marBottom w:val="0"/>
      <w:divBdr>
        <w:top w:val="none" w:sz="0" w:space="0" w:color="auto"/>
        <w:left w:val="none" w:sz="0" w:space="0" w:color="auto"/>
        <w:bottom w:val="none" w:sz="0" w:space="0" w:color="auto"/>
        <w:right w:val="none" w:sz="0" w:space="0" w:color="auto"/>
      </w:divBdr>
    </w:div>
    <w:div w:id="460222982">
      <w:bodyDiv w:val="1"/>
      <w:marLeft w:val="0"/>
      <w:marRight w:val="0"/>
      <w:marTop w:val="0"/>
      <w:marBottom w:val="0"/>
      <w:divBdr>
        <w:top w:val="none" w:sz="0" w:space="0" w:color="auto"/>
        <w:left w:val="none" w:sz="0" w:space="0" w:color="auto"/>
        <w:bottom w:val="none" w:sz="0" w:space="0" w:color="auto"/>
        <w:right w:val="none" w:sz="0" w:space="0" w:color="auto"/>
      </w:divBdr>
    </w:div>
    <w:div w:id="465859952">
      <w:bodyDiv w:val="1"/>
      <w:marLeft w:val="0"/>
      <w:marRight w:val="0"/>
      <w:marTop w:val="0"/>
      <w:marBottom w:val="0"/>
      <w:divBdr>
        <w:top w:val="none" w:sz="0" w:space="0" w:color="auto"/>
        <w:left w:val="none" w:sz="0" w:space="0" w:color="auto"/>
        <w:bottom w:val="none" w:sz="0" w:space="0" w:color="auto"/>
        <w:right w:val="none" w:sz="0" w:space="0" w:color="auto"/>
      </w:divBdr>
    </w:div>
    <w:div w:id="467089064">
      <w:bodyDiv w:val="1"/>
      <w:marLeft w:val="0"/>
      <w:marRight w:val="0"/>
      <w:marTop w:val="0"/>
      <w:marBottom w:val="0"/>
      <w:divBdr>
        <w:top w:val="none" w:sz="0" w:space="0" w:color="auto"/>
        <w:left w:val="none" w:sz="0" w:space="0" w:color="auto"/>
        <w:bottom w:val="none" w:sz="0" w:space="0" w:color="auto"/>
        <w:right w:val="none" w:sz="0" w:space="0" w:color="auto"/>
      </w:divBdr>
    </w:div>
    <w:div w:id="469442763">
      <w:bodyDiv w:val="1"/>
      <w:marLeft w:val="0"/>
      <w:marRight w:val="0"/>
      <w:marTop w:val="0"/>
      <w:marBottom w:val="0"/>
      <w:divBdr>
        <w:top w:val="none" w:sz="0" w:space="0" w:color="auto"/>
        <w:left w:val="none" w:sz="0" w:space="0" w:color="auto"/>
        <w:bottom w:val="none" w:sz="0" w:space="0" w:color="auto"/>
        <w:right w:val="none" w:sz="0" w:space="0" w:color="auto"/>
      </w:divBdr>
    </w:div>
    <w:div w:id="471143598">
      <w:bodyDiv w:val="1"/>
      <w:marLeft w:val="0"/>
      <w:marRight w:val="0"/>
      <w:marTop w:val="0"/>
      <w:marBottom w:val="0"/>
      <w:divBdr>
        <w:top w:val="none" w:sz="0" w:space="0" w:color="auto"/>
        <w:left w:val="none" w:sz="0" w:space="0" w:color="auto"/>
        <w:bottom w:val="none" w:sz="0" w:space="0" w:color="auto"/>
        <w:right w:val="none" w:sz="0" w:space="0" w:color="auto"/>
      </w:divBdr>
    </w:div>
    <w:div w:id="577137046">
      <w:bodyDiv w:val="1"/>
      <w:marLeft w:val="0"/>
      <w:marRight w:val="0"/>
      <w:marTop w:val="0"/>
      <w:marBottom w:val="0"/>
      <w:divBdr>
        <w:top w:val="none" w:sz="0" w:space="0" w:color="auto"/>
        <w:left w:val="none" w:sz="0" w:space="0" w:color="auto"/>
        <w:bottom w:val="none" w:sz="0" w:space="0" w:color="auto"/>
        <w:right w:val="none" w:sz="0" w:space="0" w:color="auto"/>
      </w:divBdr>
    </w:div>
    <w:div w:id="585456067">
      <w:bodyDiv w:val="1"/>
      <w:marLeft w:val="0"/>
      <w:marRight w:val="0"/>
      <w:marTop w:val="0"/>
      <w:marBottom w:val="0"/>
      <w:divBdr>
        <w:top w:val="none" w:sz="0" w:space="0" w:color="auto"/>
        <w:left w:val="none" w:sz="0" w:space="0" w:color="auto"/>
        <w:bottom w:val="none" w:sz="0" w:space="0" w:color="auto"/>
        <w:right w:val="none" w:sz="0" w:space="0" w:color="auto"/>
      </w:divBdr>
    </w:div>
    <w:div w:id="594703014">
      <w:bodyDiv w:val="1"/>
      <w:marLeft w:val="0"/>
      <w:marRight w:val="0"/>
      <w:marTop w:val="0"/>
      <w:marBottom w:val="0"/>
      <w:divBdr>
        <w:top w:val="none" w:sz="0" w:space="0" w:color="auto"/>
        <w:left w:val="none" w:sz="0" w:space="0" w:color="auto"/>
        <w:bottom w:val="none" w:sz="0" w:space="0" w:color="auto"/>
        <w:right w:val="none" w:sz="0" w:space="0" w:color="auto"/>
      </w:divBdr>
    </w:div>
    <w:div w:id="611941843">
      <w:bodyDiv w:val="1"/>
      <w:marLeft w:val="0"/>
      <w:marRight w:val="0"/>
      <w:marTop w:val="0"/>
      <w:marBottom w:val="0"/>
      <w:divBdr>
        <w:top w:val="none" w:sz="0" w:space="0" w:color="auto"/>
        <w:left w:val="none" w:sz="0" w:space="0" w:color="auto"/>
        <w:bottom w:val="none" w:sz="0" w:space="0" w:color="auto"/>
        <w:right w:val="none" w:sz="0" w:space="0" w:color="auto"/>
      </w:divBdr>
    </w:div>
    <w:div w:id="614409259">
      <w:bodyDiv w:val="1"/>
      <w:marLeft w:val="0"/>
      <w:marRight w:val="0"/>
      <w:marTop w:val="0"/>
      <w:marBottom w:val="0"/>
      <w:divBdr>
        <w:top w:val="none" w:sz="0" w:space="0" w:color="auto"/>
        <w:left w:val="none" w:sz="0" w:space="0" w:color="auto"/>
        <w:bottom w:val="none" w:sz="0" w:space="0" w:color="auto"/>
        <w:right w:val="none" w:sz="0" w:space="0" w:color="auto"/>
      </w:divBdr>
    </w:div>
    <w:div w:id="626664249">
      <w:bodyDiv w:val="1"/>
      <w:marLeft w:val="0"/>
      <w:marRight w:val="0"/>
      <w:marTop w:val="0"/>
      <w:marBottom w:val="0"/>
      <w:divBdr>
        <w:top w:val="none" w:sz="0" w:space="0" w:color="auto"/>
        <w:left w:val="none" w:sz="0" w:space="0" w:color="auto"/>
        <w:bottom w:val="none" w:sz="0" w:space="0" w:color="auto"/>
        <w:right w:val="none" w:sz="0" w:space="0" w:color="auto"/>
      </w:divBdr>
    </w:div>
    <w:div w:id="641811274">
      <w:bodyDiv w:val="1"/>
      <w:marLeft w:val="0"/>
      <w:marRight w:val="0"/>
      <w:marTop w:val="0"/>
      <w:marBottom w:val="0"/>
      <w:divBdr>
        <w:top w:val="none" w:sz="0" w:space="0" w:color="auto"/>
        <w:left w:val="none" w:sz="0" w:space="0" w:color="auto"/>
        <w:bottom w:val="none" w:sz="0" w:space="0" w:color="auto"/>
        <w:right w:val="none" w:sz="0" w:space="0" w:color="auto"/>
      </w:divBdr>
    </w:div>
    <w:div w:id="647513762">
      <w:bodyDiv w:val="1"/>
      <w:marLeft w:val="0"/>
      <w:marRight w:val="0"/>
      <w:marTop w:val="0"/>
      <w:marBottom w:val="0"/>
      <w:divBdr>
        <w:top w:val="none" w:sz="0" w:space="0" w:color="auto"/>
        <w:left w:val="none" w:sz="0" w:space="0" w:color="auto"/>
        <w:bottom w:val="none" w:sz="0" w:space="0" w:color="auto"/>
        <w:right w:val="none" w:sz="0" w:space="0" w:color="auto"/>
      </w:divBdr>
    </w:div>
    <w:div w:id="688068363">
      <w:bodyDiv w:val="1"/>
      <w:marLeft w:val="0"/>
      <w:marRight w:val="0"/>
      <w:marTop w:val="0"/>
      <w:marBottom w:val="0"/>
      <w:divBdr>
        <w:top w:val="none" w:sz="0" w:space="0" w:color="auto"/>
        <w:left w:val="none" w:sz="0" w:space="0" w:color="auto"/>
        <w:bottom w:val="none" w:sz="0" w:space="0" w:color="auto"/>
        <w:right w:val="none" w:sz="0" w:space="0" w:color="auto"/>
      </w:divBdr>
    </w:div>
    <w:div w:id="691230002">
      <w:bodyDiv w:val="1"/>
      <w:marLeft w:val="0"/>
      <w:marRight w:val="0"/>
      <w:marTop w:val="0"/>
      <w:marBottom w:val="0"/>
      <w:divBdr>
        <w:top w:val="none" w:sz="0" w:space="0" w:color="auto"/>
        <w:left w:val="none" w:sz="0" w:space="0" w:color="auto"/>
        <w:bottom w:val="none" w:sz="0" w:space="0" w:color="auto"/>
        <w:right w:val="none" w:sz="0" w:space="0" w:color="auto"/>
      </w:divBdr>
    </w:div>
    <w:div w:id="737216310">
      <w:bodyDiv w:val="1"/>
      <w:marLeft w:val="0"/>
      <w:marRight w:val="0"/>
      <w:marTop w:val="0"/>
      <w:marBottom w:val="0"/>
      <w:divBdr>
        <w:top w:val="none" w:sz="0" w:space="0" w:color="auto"/>
        <w:left w:val="none" w:sz="0" w:space="0" w:color="auto"/>
        <w:bottom w:val="none" w:sz="0" w:space="0" w:color="auto"/>
        <w:right w:val="none" w:sz="0" w:space="0" w:color="auto"/>
      </w:divBdr>
    </w:div>
    <w:div w:id="739132876">
      <w:bodyDiv w:val="1"/>
      <w:marLeft w:val="0"/>
      <w:marRight w:val="0"/>
      <w:marTop w:val="0"/>
      <w:marBottom w:val="0"/>
      <w:divBdr>
        <w:top w:val="none" w:sz="0" w:space="0" w:color="auto"/>
        <w:left w:val="none" w:sz="0" w:space="0" w:color="auto"/>
        <w:bottom w:val="none" w:sz="0" w:space="0" w:color="auto"/>
        <w:right w:val="none" w:sz="0" w:space="0" w:color="auto"/>
      </w:divBdr>
    </w:div>
    <w:div w:id="742725439">
      <w:bodyDiv w:val="1"/>
      <w:marLeft w:val="0"/>
      <w:marRight w:val="0"/>
      <w:marTop w:val="0"/>
      <w:marBottom w:val="0"/>
      <w:divBdr>
        <w:top w:val="none" w:sz="0" w:space="0" w:color="auto"/>
        <w:left w:val="none" w:sz="0" w:space="0" w:color="auto"/>
        <w:bottom w:val="none" w:sz="0" w:space="0" w:color="auto"/>
        <w:right w:val="none" w:sz="0" w:space="0" w:color="auto"/>
      </w:divBdr>
    </w:div>
    <w:div w:id="757824440">
      <w:bodyDiv w:val="1"/>
      <w:marLeft w:val="0"/>
      <w:marRight w:val="0"/>
      <w:marTop w:val="0"/>
      <w:marBottom w:val="0"/>
      <w:divBdr>
        <w:top w:val="none" w:sz="0" w:space="0" w:color="auto"/>
        <w:left w:val="none" w:sz="0" w:space="0" w:color="auto"/>
        <w:bottom w:val="none" w:sz="0" w:space="0" w:color="auto"/>
        <w:right w:val="none" w:sz="0" w:space="0" w:color="auto"/>
      </w:divBdr>
    </w:div>
    <w:div w:id="758136875">
      <w:bodyDiv w:val="1"/>
      <w:marLeft w:val="0"/>
      <w:marRight w:val="0"/>
      <w:marTop w:val="0"/>
      <w:marBottom w:val="0"/>
      <w:divBdr>
        <w:top w:val="none" w:sz="0" w:space="0" w:color="auto"/>
        <w:left w:val="none" w:sz="0" w:space="0" w:color="auto"/>
        <w:bottom w:val="none" w:sz="0" w:space="0" w:color="auto"/>
        <w:right w:val="none" w:sz="0" w:space="0" w:color="auto"/>
      </w:divBdr>
    </w:div>
    <w:div w:id="775448701">
      <w:bodyDiv w:val="1"/>
      <w:marLeft w:val="0"/>
      <w:marRight w:val="0"/>
      <w:marTop w:val="0"/>
      <w:marBottom w:val="0"/>
      <w:divBdr>
        <w:top w:val="none" w:sz="0" w:space="0" w:color="auto"/>
        <w:left w:val="none" w:sz="0" w:space="0" w:color="auto"/>
        <w:bottom w:val="none" w:sz="0" w:space="0" w:color="auto"/>
        <w:right w:val="none" w:sz="0" w:space="0" w:color="auto"/>
      </w:divBdr>
    </w:div>
    <w:div w:id="780493553">
      <w:bodyDiv w:val="1"/>
      <w:marLeft w:val="0"/>
      <w:marRight w:val="0"/>
      <w:marTop w:val="0"/>
      <w:marBottom w:val="0"/>
      <w:divBdr>
        <w:top w:val="none" w:sz="0" w:space="0" w:color="auto"/>
        <w:left w:val="none" w:sz="0" w:space="0" w:color="auto"/>
        <w:bottom w:val="none" w:sz="0" w:space="0" w:color="auto"/>
        <w:right w:val="none" w:sz="0" w:space="0" w:color="auto"/>
      </w:divBdr>
    </w:div>
    <w:div w:id="785003012">
      <w:bodyDiv w:val="1"/>
      <w:marLeft w:val="0"/>
      <w:marRight w:val="0"/>
      <w:marTop w:val="0"/>
      <w:marBottom w:val="0"/>
      <w:divBdr>
        <w:top w:val="none" w:sz="0" w:space="0" w:color="auto"/>
        <w:left w:val="none" w:sz="0" w:space="0" w:color="auto"/>
        <w:bottom w:val="none" w:sz="0" w:space="0" w:color="auto"/>
        <w:right w:val="none" w:sz="0" w:space="0" w:color="auto"/>
      </w:divBdr>
    </w:div>
    <w:div w:id="789513714">
      <w:bodyDiv w:val="1"/>
      <w:marLeft w:val="0"/>
      <w:marRight w:val="0"/>
      <w:marTop w:val="0"/>
      <w:marBottom w:val="0"/>
      <w:divBdr>
        <w:top w:val="none" w:sz="0" w:space="0" w:color="auto"/>
        <w:left w:val="none" w:sz="0" w:space="0" w:color="auto"/>
        <w:bottom w:val="none" w:sz="0" w:space="0" w:color="auto"/>
        <w:right w:val="none" w:sz="0" w:space="0" w:color="auto"/>
      </w:divBdr>
    </w:div>
    <w:div w:id="795635198">
      <w:bodyDiv w:val="1"/>
      <w:marLeft w:val="0"/>
      <w:marRight w:val="0"/>
      <w:marTop w:val="0"/>
      <w:marBottom w:val="0"/>
      <w:divBdr>
        <w:top w:val="none" w:sz="0" w:space="0" w:color="auto"/>
        <w:left w:val="none" w:sz="0" w:space="0" w:color="auto"/>
        <w:bottom w:val="none" w:sz="0" w:space="0" w:color="auto"/>
        <w:right w:val="none" w:sz="0" w:space="0" w:color="auto"/>
      </w:divBdr>
    </w:div>
    <w:div w:id="799617368">
      <w:bodyDiv w:val="1"/>
      <w:marLeft w:val="0"/>
      <w:marRight w:val="0"/>
      <w:marTop w:val="0"/>
      <w:marBottom w:val="0"/>
      <w:divBdr>
        <w:top w:val="none" w:sz="0" w:space="0" w:color="auto"/>
        <w:left w:val="none" w:sz="0" w:space="0" w:color="auto"/>
        <w:bottom w:val="none" w:sz="0" w:space="0" w:color="auto"/>
        <w:right w:val="none" w:sz="0" w:space="0" w:color="auto"/>
      </w:divBdr>
    </w:div>
    <w:div w:id="800072350">
      <w:bodyDiv w:val="1"/>
      <w:marLeft w:val="0"/>
      <w:marRight w:val="0"/>
      <w:marTop w:val="0"/>
      <w:marBottom w:val="0"/>
      <w:divBdr>
        <w:top w:val="none" w:sz="0" w:space="0" w:color="auto"/>
        <w:left w:val="none" w:sz="0" w:space="0" w:color="auto"/>
        <w:bottom w:val="none" w:sz="0" w:space="0" w:color="auto"/>
        <w:right w:val="none" w:sz="0" w:space="0" w:color="auto"/>
      </w:divBdr>
    </w:div>
    <w:div w:id="833641231">
      <w:bodyDiv w:val="1"/>
      <w:marLeft w:val="0"/>
      <w:marRight w:val="0"/>
      <w:marTop w:val="0"/>
      <w:marBottom w:val="0"/>
      <w:divBdr>
        <w:top w:val="none" w:sz="0" w:space="0" w:color="auto"/>
        <w:left w:val="none" w:sz="0" w:space="0" w:color="auto"/>
        <w:bottom w:val="none" w:sz="0" w:space="0" w:color="auto"/>
        <w:right w:val="none" w:sz="0" w:space="0" w:color="auto"/>
      </w:divBdr>
    </w:div>
    <w:div w:id="846478017">
      <w:bodyDiv w:val="1"/>
      <w:marLeft w:val="0"/>
      <w:marRight w:val="0"/>
      <w:marTop w:val="0"/>
      <w:marBottom w:val="0"/>
      <w:divBdr>
        <w:top w:val="none" w:sz="0" w:space="0" w:color="auto"/>
        <w:left w:val="none" w:sz="0" w:space="0" w:color="auto"/>
        <w:bottom w:val="none" w:sz="0" w:space="0" w:color="auto"/>
        <w:right w:val="none" w:sz="0" w:space="0" w:color="auto"/>
      </w:divBdr>
    </w:div>
    <w:div w:id="849484579">
      <w:bodyDiv w:val="1"/>
      <w:marLeft w:val="0"/>
      <w:marRight w:val="0"/>
      <w:marTop w:val="0"/>
      <w:marBottom w:val="0"/>
      <w:divBdr>
        <w:top w:val="none" w:sz="0" w:space="0" w:color="auto"/>
        <w:left w:val="none" w:sz="0" w:space="0" w:color="auto"/>
        <w:bottom w:val="none" w:sz="0" w:space="0" w:color="auto"/>
        <w:right w:val="none" w:sz="0" w:space="0" w:color="auto"/>
      </w:divBdr>
    </w:div>
    <w:div w:id="867328083">
      <w:bodyDiv w:val="1"/>
      <w:marLeft w:val="0"/>
      <w:marRight w:val="0"/>
      <w:marTop w:val="0"/>
      <w:marBottom w:val="0"/>
      <w:divBdr>
        <w:top w:val="none" w:sz="0" w:space="0" w:color="auto"/>
        <w:left w:val="none" w:sz="0" w:space="0" w:color="auto"/>
        <w:bottom w:val="none" w:sz="0" w:space="0" w:color="auto"/>
        <w:right w:val="none" w:sz="0" w:space="0" w:color="auto"/>
      </w:divBdr>
    </w:div>
    <w:div w:id="869608396">
      <w:bodyDiv w:val="1"/>
      <w:marLeft w:val="0"/>
      <w:marRight w:val="0"/>
      <w:marTop w:val="0"/>
      <w:marBottom w:val="0"/>
      <w:divBdr>
        <w:top w:val="none" w:sz="0" w:space="0" w:color="auto"/>
        <w:left w:val="none" w:sz="0" w:space="0" w:color="auto"/>
        <w:bottom w:val="none" w:sz="0" w:space="0" w:color="auto"/>
        <w:right w:val="none" w:sz="0" w:space="0" w:color="auto"/>
      </w:divBdr>
    </w:div>
    <w:div w:id="871117066">
      <w:bodyDiv w:val="1"/>
      <w:marLeft w:val="0"/>
      <w:marRight w:val="0"/>
      <w:marTop w:val="0"/>
      <w:marBottom w:val="0"/>
      <w:divBdr>
        <w:top w:val="none" w:sz="0" w:space="0" w:color="auto"/>
        <w:left w:val="none" w:sz="0" w:space="0" w:color="auto"/>
        <w:bottom w:val="none" w:sz="0" w:space="0" w:color="auto"/>
        <w:right w:val="none" w:sz="0" w:space="0" w:color="auto"/>
      </w:divBdr>
    </w:div>
    <w:div w:id="879785619">
      <w:bodyDiv w:val="1"/>
      <w:marLeft w:val="0"/>
      <w:marRight w:val="0"/>
      <w:marTop w:val="0"/>
      <w:marBottom w:val="0"/>
      <w:divBdr>
        <w:top w:val="none" w:sz="0" w:space="0" w:color="auto"/>
        <w:left w:val="none" w:sz="0" w:space="0" w:color="auto"/>
        <w:bottom w:val="none" w:sz="0" w:space="0" w:color="auto"/>
        <w:right w:val="none" w:sz="0" w:space="0" w:color="auto"/>
      </w:divBdr>
    </w:div>
    <w:div w:id="904528247">
      <w:bodyDiv w:val="1"/>
      <w:marLeft w:val="0"/>
      <w:marRight w:val="0"/>
      <w:marTop w:val="0"/>
      <w:marBottom w:val="0"/>
      <w:divBdr>
        <w:top w:val="none" w:sz="0" w:space="0" w:color="auto"/>
        <w:left w:val="none" w:sz="0" w:space="0" w:color="auto"/>
        <w:bottom w:val="none" w:sz="0" w:space="0" w:color="auto"/>
        <w:right w:val="none" w:sz="0" w:space="0" w:color="auto"/>
      </w:divBdr>
    </w:div>
    <w:div w:id="905456879">
      <w:bodyDiv w:val="1"/>
      <w:marLeft w:val="0"/>
      <w:marRight w:val="0"/>
      <w:marTop w:val="0"/>
      <w:marBottom w:val="0"/>
      <w:divBdr>
        <w:top w:val="none" w:sz="0" w:space="0" w:color="auto"/>
        <w:left w:val="none" w:sz="0" w:space="0" w:color="auto"/>
        <w:bottom w:val="none" w:sz="0" w:space="0" w:color="auto"/>
        <w:right w:val="none" w:sz="0" w:space="0" w:color="auto"/>
      </w:divBdr>
    </w:div>
    <w:div w:id="932057066">
      <w:bodyDiv w:val="1"/>
      <w:marLeft w:val="0"/>
      <w:marRight w:val="0"/>
      <w:marTop w:val="0"/>
      <w:marBottom w:val="0"/>
      <w:divBdr>
        <w:top w:val="none" w:sz="0" w:space="0" w:color="auto"/>
        <w:left w:val="none" w:sz="0" w:space="0" w:color="auto"/>
        <w:bottom w:val="none" w:sz="0" w:space="0" w:color="auto"/>
        <w:right w:val="none" w:sz="0" w:space="0" w:color="auto"/>
      </w:divBdr>
    </w:div>
    <w:div w:id="966666683">
      <w:bodyDiv w:val="1"/>
      <w:marLeft w:val="0"/>
      <w:marRight w:val="0"/>
      <w:marTop w:val="0"/>
      <w:marBottom w:val="0"/>
      <w:divBdr>
        <w:top w:val="none" w:sz="0" w:space="0" w:color="auto"/>
        <w:left w:val="none" w:sz="0" w:space="0" w:color="auto"/>
        <w:bottom w:val="none" w:sz="0" w:space="0" w:color="auto"/>
        <w:right w:val="none" w:sz="0" w:space="0" w:color="auto"/>
      </w:divBdr>
    </w:div>
    <w:div w:id="977339111">
      <w:bodyDiv w:val="1"/>
      <w:marLeft w:val="0"/>
      <w:marRight w:val="0"/>
      <w:marTop w:val="0"/>
      <w:marBottom w:val="0"/>
      <w:divBdr>
        <w:top w:val="none" w:sz="0" w:space="0" w:color="auto"/>
        <w:left w:val="none" w:sz="0" w:space="0" w:color="auto"/>
        <w:bottom w:val="none" w:sz="0" w:space="0" w:color="auto"/>
        <w:right w:val="none" w:sz="0" w:space="0" w:color="auto"/>
      </w:divBdr>
    </w:div>
    <w:div w:id="991905962">
      <w:bodyDiv w:val="1"/>
      <w:marLeft w:val="0"/>
      <w:marRight w:val="0"/>
      <w:marTop w:val="0"/>
      <w:marBottom w:val="0"/>
      <w:divBdr>
        <w:top w:val="none" w:sz="0" w:space="0" w:color="auto"/>
        <w:left w:val="none" w:sz="0" w:space="0" w:color="auto"/>
        <w:bottom w:val="none" w:sz="0" w:space="0" w:color="auto"/>
        <w:right w:val="none" w:sz="0" w:space="0" w:color="auto"/>
      </w:divBdr>
    </w:div>
    <w:div w:id="1018312469">
      <w:bodyDiv w:val="1"/>
      <w:marLeft w:val="0"/>
      <w:marRight w:val="0"/>
      <w:marTop w:val="0"/>
      <w:marBottom w:val="0"/>
      <w:divBdr>
        <w:top w:val="none" w:sz="0" w:space="0" w:color="auto"/>
        <w:left w:val="none" w:sz="0" w:space="0" w:color="auto"/>
        <w:bottom w:val="none" w:sz="0" w:space="0" w:color="auto"/>
        <w:right w:val="none" w:sz="0" w:space="0" w:color="auto"/>
      </w:divBdr>
    </w:div>
    <w:div w:id="1018845805">
      <w:bodyDiv w:val="1"/>
      <w:marLeft w:val="0"/>
      <w:marRight w:val="0"/>
      <w:marTop w:val="0"/>
      <w:marBottom w:val="0"/>
      <w:divBdr>
        <w:top w:val="none" w:sz="0" w:space="0" w:color="auto"/>
        <w:left w:val="none" w:sz="0" w:space="0" w:color="auto"/>
        <w:bottom w:val="none" w:sz="0" w:space="0" w:color="auto"/>
        <w:right w:val="none" w:sz="0" w:space="0" w:color="auto"/>
      </w:divBdr>
    </w:div>
    <w:div w:id="1023553184">
      <w:bodyDiv w:val="1"/>
      <w:marLeft w:val="0"/>
      <w:marRight w:val="0"/>
      <w:marTop w:val="0"/>
      <w:marBottom w:val="0"/>
      <w:divBdr>
        <w:top w:val="none" w:sz="0" w:space="0" w:color="auto"/>
        <w:left w:val="none" w:sz="0" w:space="0" w:color="auto"/>
        <w:bottom w:val="none" w:sz="0" w:space="0" w:color="auto"/>
        <w:right w:val="none" w:sz="0" w:space="0" w:color="auto"/>
      </w:divBdr>
    </w:div>
    <w:div w:id="1027487023">
      <w:bodyDiv w:val="1"/>
      <w:marLeft w:val="0"/>
      <w:marRight w:val="0"/>
      <w:marTop w:val="0"/>
      <w:marBottom w:val="0"/>
      <w:divBdr>
        <w:top w:val="none" w:sz="0" w:space="0" w:color="auto"/>
        <w:left w:val="none" w:sz="0" w:space="0" w:color="auto"/>
        <w:bottom w:val="none" w:sz="0" w:space="0" w:color="auto"/>
        <w:right w:val="none" w:sz="0" w:space="0" w:color="auto"/>
      </w:divBdr>
    </w:div>
    <w:div w:id="1034158682">
      <w:bodyDiv w:val="1"/>
      <w:marLeft w:val="0"/>
      <w:marRight w:val="0"/>
      <w:marTop w:val="0"/>
      <w:marBottom w:val="0"/>
      <w:divBdr>
        <w:top w:val="none" w:sz="0" w:space="0" w:color="auto"/>
        <w:left w:val="none" w:sz="0" w:space="0" w:color="auto"/>
        <w:bottom w:val="none" w:sz="0" w:space="0" w:color="auto"/>
        <w:right w:val="none" w:sz="0" w:space="0" w:color="auto"/>
      </w:divBdr>
    </w:div>
    <w:div w:id="1046946964">
      <w:bodyDiv w:val="1"/>
      <w:marLeft w:val="0"/>
      <w:marRight w:val="0"/>
      <w:marTop w:val="0"/>
      <w:marBottom w:val="0"/>
      <w:divBdr>
        <w:top w:val="none" w:sz="0" w:space="0" w:color="auto"/>
        <w:left w:val="none" w:sz="0" w:space="0" w:color="auto"/>
        <w:bottom w:val="none" w:sz="0" w:space="0" w:color="auto"/>
        <w:right w:val="none" w:sz="0" w:space="0" w:color="auto"/>
      </w:divBdr>
    </w:div>
    <w:div w:id="1050155636">
      <w:bodyDiv w:val="1"/>
      <w:marLeft w:val="0"/>
      <w:marRight w:val="0"/>
      <w:marTop w:val="0"/>
      <w:marBottom w:val="0"/>
      <w:divBdr>
        <w:top w:val="none" w:sz="0" w:space="0" w:color="auto"/>
        <w:left w:val="none" w:sz="0" w:space="0" w:color="auto"/>
        <w:bottom w:val="none" w:sz="0" w:space="0" w:color="auto"/>
        <w:right w:val="none" w:sz="0" w:space="0" w:color="auto"/>
      </w:divBdr>
    </w:div>
    <w:div w:id="1062601349">
      <w:bodyDiv w:val="1"/>
      <w:marLeft w:val="0"/>
      <w:marRight w:val="0"/>
      <w:marTop w:val="0"/>
      <w:marBottom w:val="0"/>
      <w:divBdr>
        <w:top w:val="none" w:sz="0" w:space="0" w:color="auto"/>
        <w:left w:val="none" w:sz="0" w:space="0" w:color="auto"/>
        <w:bottom w:val="none" w:sz="0" w:space="0" w:color="auto"/>
        <w:right w:val="none" w:sz="0" w:space="0" w:color="auto"/>
      </w:divBdr>
    </w:div>
    <w:div w:id="1069379458">
      <w:bodyDiv w:val="1"/>
      <w:marLeft w:val="0"/>
      <w:marRight w:val="0"/>
      <w:marTop w:val="0"/>
      <w:marBottom w:val="0"/>
      <w:divBdr>
        <w:top w:val="none" w:sz="0" w:space="0" w:color="auto"/>
        <w:left w:val="none" w:sz="0" w:space="0" w:color="auto"/>
        <w:bottom w:val="none" w:sz="0" w:space="0" w:color="auto"/>
        <w:right w:val="none" w:sz="0" w:space="0" w:color="auto"/>
      </w:divBdr>
    </w:div>
    <w:div w:id="1079668878">
      <w:bodyDiv w:val="1"/>
      <w:marLeft w:val="0"/>
      <w:marRight w:val="0"/>
      <w:marTop w:val="0"/>
      <w:marBottom w:val="0"/>
      <w:divBdr>
        <w:top w:val="none" w:sz="0" w:space="0" w:color="auto"/>
        <w:left w:val="none" w:sz="0" w:space="0" w:color="auto"/>
        <w:bottom w:val="none" w:sz="0" w:space="0" w:color="auto"/>
        <w:right w:val="none" w:sz="0" w:space="0" w:color="auto"/>
      </w:divBdr>
    </w:div>
    <w:div w:id="1085150494">
      <w:bodyDiv w:val="1"/>
      <w:marLeft w:val="0"/>
      <w:marRight w:val="0"/>
      <w:marTop w:val="0"/>
      <w:marBottom w:val="0"/>
      <w:divBdr>
        <w:top w:val="none" w:sz="0" w:space="0" w:color="auto"/>
        <w:left w:val="none" w:sz="0" w:space="0" w:color="auto"/>
        <w:bottom w:val="none" w:sz="0" w:space="0" w:color="auto"/>
        <w:right w:val="none" w:sz="0" w:space="0" w:color="auto"/>
      </w:divBdr>
    </w:div>
    <w:div w:id="1100182238">
      <w:bodyDiv w:val="1"/>
      <w:marLeft w:val="0"/>
      <w:marRight w:val="0"/>
      <w:marTop w:val="0"/>
      <w:marBottom w:val="0"/>
      <w:divBdr>
        <w:top w:val="none" w:sz="0" w:space="0" w:color="auto"/>
        <w:left w:val="none" w:sz="0" w:space="0" w:color="auto"/>
        <w:bottom w:val="none" w:sz="0" w:space="0" w:color="auto"/>
        <w:right w:val="none" w:sz="0" w:space="0" w:color="auto"/>
      </w:divBdr>
    </w:div>
    <w:div w:id="1100565398">
      <w:bodyDiv w:val="1"/>
      <w:marLeft w:val="0"/>
      <w:marRight w:val="0"/>
      <w:marTop w:val="0"/>
      <w:marBottom w:val="0"/>
      <w:divBdr>
        <w:top w:val="none" w:sz="0" w:space="0" w:color="auto"/>
        <w:left w:val="none" w:sz="0" w:space="0" w:color="auto"/>
        <w:bottom w:val="none" w:sz="0" w:space="0" w:color="auto"/>
        <w:right w:val="none" w:sz="0" w:space="0" w:color="auto"/>
      </w:divBdr>
    </w:div>
    <w:div w:id="1104619554">
      <w:bodyDiv w:val="1"/>
      <w:marLeft w:val="0"/>
      <w:marRight w:val="0"/>
      <w:marTop w:val="0"/>
      <w:marBottom w:val="0"/>
      <w:divBdr>
        <w:top w:val="none" w:sz="0" w:space="0" w:color="auto"/>
        <w:left w:val="none" w:sz="0" w:space="0" w:color="auto"/>
        <w:bottom w:val="none" w:sz="0" w:space="0" w:color="auto"/>
        <w:right w:val="none" w:sz="0" w:space="0" w:color="auto"/>
      </w:divBdr>
    </w:div>
    <w:div w:id="1118137560">
      <w:bodyDiv w:val="1"/>
      <w:marLeft w:val="0"/>
      <w:marRight w:val="0"/>
      <w:marTop w:val="0"/>
      <w:marBottom w:val="0"/>
      <w:divBdr>
        <w:top w:val="none" w:sz="0" w:space="0" w:color="auto"/>
        <w:left w:val="none" w:sz="0" w:space="0" w:color="auto"/>
        <w:bottom w:val="none" w:sz="0" w:space="0" w:color="auto"/>
        <w:right w:val="none" w:sz="0" w:space="0" w:color="auto"/>
      </w:divBdr>
    </w:div>
    <w:div w:id="1119379517">
      <w:bodyDiv w:val="1"/>
      <w:marLeft w:val="0"/>
      <w:marRight w:val="0"/>
      <w:marTop w:val="0"/>
      <w:marBottom w:val="0"/>
      <w:divBdr>
        <w:top w:val="none" w:sz="0" w:space="0" w:color="auto"/>
        <w:left w:val="none" w:sz="0" w:space="0" w:color="auto"/>
        <w:bottom w:val="none" w:sz="0" w:space="0" w:color="auto"/>
        <w:right w:val="none" w:sz="0" w:space="0" w:color="auto"/>
      </w:divBdr>
    </w:div>
    <w:div w:id="1122529809">
      <w:bodyDiv w:val="1"/>
      <w:marLeft w:val="0"/>
      <w:marRight w:val="0"/>
      <w:marTop w:val="0"/>
      <w:marBottom w:val="0"/>
      <w:divBdr>
        <w:top w:val="none" w:sz="0" w:space="0" w:color="auto"/>
        <w:left w:val="none" w:sz="0" w:space="0" w:color="auto"/>
        <w:bottom w:val="none" w:sz="0" w:space="0" w:color="auto"/>
        <w:right w:val="none" w:sz="0" w:space="0" w:color="auto"/>
      </w:divBdr>
    </w:div>
    <w:div w:id="1189031753">
      <w:bodyDiv w:val="1"/>
      <w:marLeft w:val="0"/>
      <w:marRight w:val="0"/>
      <w:marTop w:val="0"/>
      <w:marBottom w:val="0"/>
      <w:divBdr>
        <w:top w:val="none" w:sz="0" w:space="0" w:color="auto"/>
        <w:left w:val="none" w:sz="0" w:space="0" w:color="auto"/>
        <w:bottom w:val="none" w:sz="0" w:space="0" w:color="auto"/>
        <w:right w:val="none" w:sz="0" w:space="0" w:color="auto"/>
      </w:divBdr>
    </w:div>
    <w:div w:id="1192837322">
      <w:bodyDiv w:val="1"/>
      <w:marLeft w:val="0"/>
      <w:marRight w:val="0"/>
      <w:marTop w:val="0"/>
      <w:marBottom w:val="0"/>
      <w:divBdr>
        <w:top w:val="none" w:sz="0" w:space="0" w:color="auto"/>
        <w:left w:val="none" w:sz="0" w:space="0" w:color="auto"/>
        <w:bottom w:val="none" w:sz="0" w:space="0" w:color="auto"/>
        <w:right w:val="none" w:sz="0" w:space="0" w:color="auto"/>
      </w:divBdr>
    </w:div>
    <w:div w:id="1214541390">
      <w:bodyDiv w:val="1"/>
      <w:marLeft w:val="0"/>
      <w:marRight w:val="0"/>
      <w:marTop w:val="0"/>
      <w:marBottom w:val="0"/>
      <w:divBdr>
        <w:top w:val="none" w:sz="0" w:space="0" w:color="auto"/>
        <w:left w:val="none" w:sz="0" w:space="0" w:color="auto"/>
        <w:bottom w:val="none" w:sz="0" w:space="0" w:color="auto"/>
        <w:right w:val="none" w:sz="0" w:space="0" w:color="auto"/>
      </w:divBdr>
    </w:div>
    <w:div w:id="1230732323">
      <w:bodyDiv w:val="1"/>
      <w:marLeft w:val="0"/>
      <w:marRight w:val="0"/>
      <w:marTop w:val="0"/>
      <w:marBottom w:val="0"/>
      <w:divBdr>
        <w:top w:val="none" w:sz="0" w:space="0" w:color="auto"/>
        <w:left w:val="none" w:sz="0" w:space="0" w:color="auto"/>
        <w:bottom w:val="none" w:sz="0" w:space="0" w:color="auto"/>
        <w:right w:val="none" w:sz="0" w:space="0" w:color="auto"/>
      </w:divBdr>
    </w:div>
    <w:div w:id="1236890538">
      <w:bodyDiv w:val="1"/>
      <w:marLeft w:val="0"/>
      <w:marRight w:val="0"/>
      <w:marTop w:val="0"/>
      <w:marBottom w:val="0"/>
      <w:divBdr>
        <w:top w:val="none" w:sz="0" w:space="0" w:color="auto"/>
        <w:left w:val="none" w:sz="0" w:space="0" w:color="auto"/>
        <w:bottom w:val="none" w:sz="0" w:space="0" w:color="auto"/>
        <w:right w:val="none" w:sz="0" w:space="0" w:color="auto"/>
      </w:divBdr>
    </w:div>
    <w:div w:id="1242787377">
      <w:bodyDiv w:val="1"/>
      <w:marLeft w:val="0"/>
      <w:marRight w:val="0"/>
      <w:marTop w:val="0"/>
      <w:marBottom w:val="0"/>
      <w:divBdr>
        <w:top w:val="none" w:sz="0" w:space="0" w:color="auto"/>
        <w:left w:val="none" w:sz="0" w:space="0" w:color="auto"/>
        <w:bottom w:val="none" w:sz="0" w:space="0" w:color="auto"/>
        <w:right w:val="none" w:sz="0" w:space="0" w:color="auto"/>
      </w:divBdr>
    </w:div>
    <w:div w:id="1253900750">
      <w:bodyDiv w:val="1"/>
      <w:marLeft w:val="0"/>
      <w:marRight w:val="0"/>
      <w:marTop w:val="0"/>
      <w:marBottom w:val="0"/>
      <w:divBdr>
        <w:top w:val="none" w:sz="0" w:space="0" w:color="auto"/>
        <w:left w:val="none" w:sz="0" w:space="0" w:color="auto"/>
        <w:bottom w:val="none" w:sz="0" w:space="0" w:color="auto"/>
        <w:right w:val="none" w:sz="0" w:space="0" w:color="auto"/>
      </w:divBdr>
    </w:div>
    <w:div w:id="1258367161">
      <w:bodyDiv w:val="1"/>
      <w:marLeft w:val="0"/>
      <w:marRight w:val="0"/>
      <w:marTop w:val="0"/>
      <w:marBottom w:val="0"/>
      <w:divBdr>
        <w:top w:val="none" w:sz="0" w:space="0" w:color="auto"/>
        <w:left w:val="none" w:sz="0" w:space="0" w:color="auto"/>
        <w:bottom w:val="none" w:sz="0" w:space="0" w:color="auto"/>
        <w:right w:val="none" w:sz="0" w:space="0" w:color="auto"/>
      </w:divBdr>
    </w:div>
    <w:div w:id="1263029609">
      <w:bodyDiv w:val="1"/>
      <w:marLeft w:val="0"/>
      <w:marRight w:val="0"/>
      <w:marTop w:val="0"/>
      <w:marBottom w:val="0"/>
      <w:divBdr>
        <w:top w:val="none" w:sz="0" w:space="0" w:color="auto"/>
        <w:left w:val="none" w:sz="0" w:space="0" w:color="auto"/>
        <w:bottom w:val="none" w:sz="0" w:space="0" w:color="auto"/>
        <w:right w:val="none" w:sz="0" w:space="0" w:color="auto"/>
      </w:divBdr>
    </w:div>
    <w:div w:id="1275867118">
      <w:bodyDiv w:val="1"/>
      <w:marLeft w:val="0"/>
      <w:marRight w:val="0"/>
      <w:marTop w:val="0"/>
      <w:marBottom w:val="0"/>
      <w:divBdr>
        <w:top w:val="none" w:sz="0" w:space="0" w:color="auto"/>
        <w:left w:val="none" w:sz="0" w:space="0" w:color="auto"/>
        <w:bottom w:val="none" w:sz="0" w:space="0" w:color="auto"/>
        <w:right w:val="none" w:sz="0" w:space="0" w:color="auto"/>
      </w:divBdr>
    </w:div>
    <w:div w:id="1278297267">
      <w:bodyDiv w:val="1"/>
      <w:marLeft w:val="0"/>
      <w:marRight w:val="0"/>
      <w:marTop w:val="0"/>
      <w:marBottom w:val="0"/>
      <w:divBdr>
        <w:top w:val="none" w:sz="0" w:space="0" w:color="auto"/>
        <w:left w:val="none" w:sz="0" w:space="0" w:color="auto"/>
        <w:bottom w:val="none" w:sz="0" w:space="0" w:color="auto"/>
        <w:right w:val="none" w:sz="0" w:space="0" w:color="auto"/>
      </w:divBdr>
    </w:div>
    <w:div w:id="1278491934">
      <w:bodyDiv w:val="1"/>
      <w:marLeft w:val="0"/>
      <w:marRight w:val="0"/>
      <w:marTop w:val="0"/>
      <w:marBottom w:val="0"/>
      <w:divBdr>
        <w:top w:val="none" w:sz="0" w:space="0" w:color="auto"/>
        <w:left w:val="none" w:sz="0" w:space="0" w:color="auto"/>
        <w:bottom w:val="none" w:sz="0" w:space="0" w:color="auto"/>
        <w:right w:val="none" w:sz="0" w:space="0" w:color="auto"/>
      </w:divBdr>
    </w:div>
    <w:div w:id="1285578861">
      <w:bodyDiv w:val="1"/>
      <w:marLeft w:val="0"/>
      <w:marRight w:val="0"/>
      <w:marTop w:val="0"/>
      <w:marBottom w:val="0"/>
      <w:divBdr>
        <w:top w:val="none" w:sz="0" w:space="0" w:color="auto"/>
        <w:left w:val="none" w:sz="0" w:space="0" w:color="auto"/>
        <w:bottom w:val="none" w:sz="0" w:space="0" w:color="auto"/>
        <w:right w:val="none" w:sz="0" w:space="0" w:color="auto"/>
      </w:divBdr>
    </w:div>
    <w:div w:id="1288925802">
      <w:bodyDiv w:val="1"/>
      <w:marLeft w:val="0"/>
      <w:marRight w:val="0"/>
      <w:marTop w:val="0"/>
      <w:marBottom w:val="0"/>
      <w:divBdr>
        <w:top w:val="none" w:sz="0" w:space="0" w:color="auto"/>
        <w:left w:val="none" w:sz="0" w:space="0" w:color="auto"/>
        <w:bottom w:val="none" w:sz="0" w:space="0" w:color="auto"/>
        <w:right w:val="none" w:sz="0" w:space="0" w:color="auto"/>
      </w:divBdr>
    </w:div>
    <w:div w:id="1290429887">
      <w:bodyDiv w:val="1"/>
      <w:marLeft w:val="0"/>
      <w:marRight w:val="0"/>
      <w:marTop w:val="0"/>
      <w:marBottom w:val="0"/>
      <w:divBdr>
        <w:top w:val="none" w:sz="0" w:space="0" w:color="auto"/>
        <w:left w:val="none" w:sz="0" w:space="0" w:color="auto"/>
        <w:bottom w:val="none" w:sz="0" w:space="0" w:color="auto"/>
        <w:right w:val="none" w:sz="0" w:space="0" w:color="auto"/>
      </w:divBdr>
    </w:div>
    <w:div w:id="1315111688">
      <w:bodyDiv w:val="1"/>
      <w:marLeft w:val="0"/>
      <w:marRight w:val="0"/>
      <w:marTop w:val="0"/>
      <w:marBottom w:val="0"/>
      <w:divBdr>
        <w:top w:val="none" w:sz="0" w:space="0" w:color="auto"/>
        <w:left w:val="none" w:sz="0" w:space="0" w:color="auto"/>
        <w:bottom w:val="none" w:sz="0" w:space="0" w:color="auto"/>
        <w:right w:val="none" w:sz="0" w:space="0" w:color="auto"/>
      </w:divBdr>
    </w:div>
    <w:div w:id="1333338777">
      <w:bodyDiv w:val="1"/>
      <w:marLeft w:val="0"/>
      <w:marRight w:val="0"/>
      <w:marTop w:val="0"/>
      <w:marBottom w:val="0"/>
      <w:divBdr>
        <w:top w:val="none" w:sz="0" w:space="0" w:color="auto"/>
        <w:left w:val="none" w:sz="0" w:space="0" w:color="auto"/>
        <w:bottom w:val="none" w:sz="0" w:space="0" w:color="auto"/>
        <w:right w:val="none" w:sz="0" w:space="0" w:color="auto"/>
      </w:divBdr>
    </w:div>
    <w:div w:id="1341814697">
      <w:bodyDiv w:val="1"/>
      <w:marLeft w:val="0"/>
      <w:marRight w:val="0"/>
      <w:marTop w:val="0"/>
      <w:marBottom w:val="0"/>
      <w:divBdr>
        <w:top w:val="none" w:sz="0" w:space="0" w:color="auto"/>
        <w:left w:val="none" w:sz="0" w:space="0" w:color="auto"/>
        <w:bottom w:val="none" w:sz="0" w:space="0" w:color="auto"/>
        <w:right w:val="none" w:sz="0" w:space="0" w:color="auto"/>
      </w:divBdr>
    </w:div>
    <w:div w:id="1360861786">
      <w:bodyDiv w:val="1"/>
      <w:marLeft w:val="0"/>
      <w:marRight w:val="0"/>
      <w:marTop w:val="0"/>
      <w:marBottom w:val="0"/>
      <w:divBdr>
        <w:top w:val="none" w:sz="0" w:space="0" w:color="auto"/>
        <w:left w:val="none" w:sz="0" w:space="0" w:color="auto"/>
        <w:bottom w:val="none" w:sz="0" w:space="0" w:color="auto"/>
        <w:right w:val="none" w:sz="0" w:space="0" w:color="auto"/>
      </w:divBdr>
    </w:div>
    <w:div w:id="1375160345">
      <w:bodyDiv w:val="1"/>
      <w:marLeft w:val="0"/>
      <w:marRight w:val="0"/>
      <w:marTop w:val="0"/>
      <w:marBottom w:val="0"/>
      <w:divBdr>
        <w:top w:val="none" w:sz="0" w:space="0" w:color="auto"/>
        <w:left w:val="none" w:sz="0" w:space="0" w:color="auto"/>
        <w:bottom w:val="none" w:sz="0" w:space="0" w:color="auto"/>
        <w:right w:val="none" w:sz="0" w:space="0" w:color="auto"/>
      </w:divBdr>
    </w:div>
    <w:div w:id="1376272399">
      <w:bodyDiv w:val="1"/>
      <w:marLeft w:val="0"/>
      <w:marRight w:val="0"/>
      <w:marTop w:val="0"/>
      <w:marBottom w:val="0"/>
      <w:divBdr>
        <w:top w:val="none" w:sz="0" w:space="0" w:color="auto"/>
        <w:left w:val="none" w:sz="0" w:space="0" w:color="auto"/>
        <w:bottom w:val="none" w:sz="0" w:space="0" w:color="auto"/>
        <w:right w:val="none" w:sz="0" w:space="0" w:color="auto"/>
      </w:divBdr>
    </w:div>
    <w:div w:id="1380130779">
      <w:bodyDiv w:val="1"/>
      <w:marLeft w:val="0"/>
      <w:marRight w:val="0"/>
      <w:marTop w:val="0"/>
      <w:marBottom w:val="0"/>
      <w:divBdr>
        <w:top w:val="none" w:sz="0" w:space="0" w:color="auto"/>
        <w:left w:val="none" w:sz="0" w:space="0" w:color="auto"/>
        <w:bottom w:val="none" w:sz="0" w:space="0" w:color="auto"/>
        <w:right w:val="none" w:sz="0" w:space="0" w:color="auto"/>
      </w:divBdr>
    </w:div>
    <w:div w:id="1385788068">
      <w:bodyDiv w:val="1"/>
      <w:marLeft w:val="0"/>
      <w:marRight w:val="0"/>
      <w:marTop w:val="0"/>
      <w:marBottom w:val="0"/>
      <w:divBdr>
        <w:top w:val="none" w:sz="0" w:space="0" w:color="auto"/>
        <w:left w:val="none" w:sz="0" w:space="0" w:color="auto"/>
        <w:bottom w:val="none" w:sz="0" w:space="0" w:color="auto"/>
        <w:right w:val="none" w:sz="0" w:space="0" w:color="auto"/>
      </w:divBdr>
    </w:div>
    <w:div w:id="1387529378">
      <w:bodyDiv w:val="1"/>
      <w:marLeft w:val="0"/>
      <w:marRight w:val="0"/>
      <w:marTop w:val="0"/>
      <w:marBottom w:val="0"/>
      <w:divBdr>
        <w:top w:val="none" w:sz="0" w:space="0" w:color="auto"/>
        <w:left w:val="none" w:sz="0" w:space="0" w:color="auto"/>
        <w:bottom w:val="none" w:sz="0" w:space="0" w:color="auto"/>
        <w:right w:val="none" w:sz="0" w:space="0" w:color="auto"/>
      </w:divBdr>
    </w:div>
    <w:div w:id="1419211867">
      <w:bodyDiv w:val="1"/>
      <w:marLeft w:val="0"/>
      <w:marRight w:val="0"/>
      <w:marTop w:val="0"/>
      <w:marBottom w:val="0"/>
      <w:divBdr>
        <w:top w:val="none" w:sz="0" w:space="0" w:color="auto"/>
        <w:left w:val="none" w:sz="0" w:space="0" w:color="auto"/>
        <w:bottom w:val="none" w:sz="0" w:space="0" w:color="auto"/>
        <w:right w:val="none" w:sz="0" w:space="0" w:color="auto"/>
      </w:divBdr>
    </w:div>
    <w:div w:id="1422725540">
      <w:bodyDiv w:val="1"/>
      <w:marLeft w:val="0"/>
      <w:marRight w:val="0"/>
      <w:marTop w:val="0"/>
      <w:marBottom w:val="0"/>
      <w:divBdr>
        <w:top w:val="none" w:sz="0" w:space="0" w:color="auto"/>
        <w:left w:val="none" w:sz="0" w:space="0" w:color="auto"/>
        <w:bottom w:val="none" w:sz="0" w:space="0" w:color="auto"/>
        <w:right w:val="none" w:sz="0" w:space="0" w:color="auto"/>
      </w:divBdr>
    </w:div>
    <w:div w:id="1436514606">
      <w:bodyDiv w:val="1"/>
      <w:marLeft w:val="0"/>
      <w:marRight w:val="0"/>
      <w:marTop w:val="0"/>
      <w:marBottom w:val="0"/>
      <w:divBdr>
        <w:top w:val="none" w:sz="0" w:space="0" w:color="auto"/>
        <w:left w:val="none" w:sz="0" w:space="0" w:color="auto"/>
        <w:bottom w:val="none" w:sz="0" w:space="0" w:color="auto"/>
        <w:right w:val="none" w:sz="0" w:space="0" w:color="auto"/>
      </w:divBdr>
    </w:div>
    <w:div w:id="1443451943">
      <w:bodyDiv w:val="1"/>
      <w:marLeft w:val="0"/>
      <w:marRight w:val="0"/>
      <w:marTop w:val="0"/>
      <w:marBottom w:val="0"/>
      <w:divBdr>
        <w:top w:val="none" w:sz="0" w:space="0" w:color="auto"/>
        <w:left w:val="none" w:sz="0" w:space="0" w:color="auto"/>
        <w:bottom w:val="none" w:sz="0" w:space="0" w:color="auto"/>
        <w:right w:val="none" w:sz="0" w:space="0" w:color="auto"/>
      </w:divBdr>
    </w:div>
    <w:div w:id="1449004617">
      <w:bodyDiv w:val="1"/>
      <w:marLeft w:val="0"/>
      <w:marRight w:val="0"/>
      <w:marTop w:val="0"/>
      <w:marBottom w:val="0"/>
      <w:divBdr>
        <w:top w:val="none" w:sz="0" w:space="0" w:color="auto"/>
        <w:left w:val="none" w:sz="0" w:space="0" w:color="auto"/>
        <w:bottom w:val="none" w:sz="0" w:space="0" w:color="auto"/>
        <w:right w:val="none" w:sz="0" w:space="0" w:color="auto"/>
      </w:divBdr>
    </w:div>
    <w:div w:id="1454179508">
      <w:bodyDiv w:val="1"/>
      <w:marLeft w:val="0"/>
      <w:marRight w:val="0"/>
      <w:marTop w:val="0"/>
      <w:marBottom w:val="0"/>
      <w:divBdr>
        <w:top w:val="none" w:sz="0" w:space="0" w:color="auto"/>
        <w:left w:val="none" w:sz="0" w:space="0" w:color="auto"/>
        <w:bottom w:val="none" w:sz="0" w:space="0" w:color="auto"/>
        <w:right w:val="none" w:sz="0" w:space="0" w:color="auto"/>
      </w:divBdr>
    </w:div>
    <w:div w:id="1461805151">
      <w:bodyDiv w:val="1"/>
      <w:marLeft w:val="0"/>
      <w:marRight w:val="0"/>
      <w:marTop w:val="0"/>
      <w:marBottom w:val="0"/>
      <w:divBdr>
        <w:top w:val="none" w:sz="0" w:space="0" w:color="auto"/>
        <w:left w:val="none" w:sz="0" w:space="0" w:color="auto"/>
        <w:bottom w:val="none" w:sz="0" w:space="0" w:color="auto"/>
        <w:right w:val="none" w:sz="0" w:space="0" w:color="auto"/>
      </w:divBdr>
    </w:div>
    <w:div w:id="1475221354">
      <w:bodyDiv w:val="1"/>
      <w:marLeft w:val="0"/>
      <w:marRight w:val="0"/>
      <w:marTop w:val="0"/>
      <w:marBottom w:val="0"/>
      <w:divBdr>
        <w:top w:val="none" w:sz="0" w:space="0" w:color="auto"/>
        <w:left w:val="none" w:sz="0" w:space="0" w:color="auto"/>
        <w:bottom w:val="none" w:sz="0" w:space="0" w:color="auto"/>
        <w:right w:val="none" w:sz="0" w:space="0" w:color="auto"/>
      </w:divBdr>
    </w:div>
    <w:div w:id="1521698758">
      <w:bodyDiv w:val="1"/>
      <w:marLeft w:val="0"/>
      <w:marRight w:val="0"/>
      <w:marTop w:val="0"/>
      <w:marBottom w:val="0"/>
      <w:divBdr>
        <w:top w:val="none" w:sz="0" w:space="0" w:color="auto"/>
        <w:left w:val="none" w:sz="0" w:space="0" w:color="auto"/>
        <w:bottom w:val="none" w:sz="0" w:space="0" w:color="auto"/>
        <w:right w:val="none" w:sz="0" w:space="0" w:color="auto"/>
      </w:divBdr>
    </w:div>
    <w:div w:id="1525290386">
      <w:bodyDiv w:val="1"/>
      <w:marLeft w:val="0"/>
      <w:marRight w:val="0"/>
      <w:marTop w:val="0"/>
      <w:marBottom w:val="0"/>
      <w:divBdr>
        <w:top w:val="none" w:sz="0" w:space="0" w:color="auto"/>
        <w:left w:val="none" w:sz="0" w:space="0" w:color="auto"/>
        <w:bottom w:val="none" w:sz="0" w:space="0" w:color="auto"/>
        <w:right w:val="none" w:sz="0" w:space="0" w:color="auto"/>
      </w:divBdr>
    </w:div>
    <w:div w:id="1536187637">
      <w:bodyDiv w:val="1"/>
      <w:marLeft w:val="0"/>
      <w:marRight w:val="0"/>
      <w:marTop w:val="0"/>
      <w:marBottom w:val="0"/>
      <w:divBdr>
        <w:top w:val="none" w:sz="0" w:space="0" w:color="auto"/>
        <w:left w:val="none" w:sz="0" w:space="0" w:color="auto"/>
        <w:bottom w:val="none" w:sz="0" w:space="0" w:color="auto"/>
        <w:right w:val="none" w:sz="0" w:space="0" w:color="auto"/>
      </w:divBdr>
    </w:div>
    <w:div w:id="1546018971">
      <w:bodyDiv w:val="1"/>
      <w:marLeft w:val="0"/>
      <w:marRight w:val="0"/>
      <w:marTop w:val="0"/>
      <w:marBottom w:val="0"/>
      <w:divBdr>
        <w:top w:val="none" w:sz="0" w:space="0" w:color="auto"/>
        <w:left w:val="none" w:sz="0" w:space="0" w:color="auto"/>
        <w:bottom w:val="none" w:sz="0" w:space="0" w:color="auto"/>
        <w:right w:val="none" w:sz="0" w:space="0" w:color="auto"/>
      </w:divBdr>
    </w:div>
    <w:div w:id="1551264319">
      <w:bodyDiv w:val="1"/>
      <w:marLeft w:val="0"/>
      <w:marRight w:val="0"/>
      <w:marTop w:val="0"/>
      <w:marBottom w:val="0"/>
      <w:divBdr>
        <w:top w:val="none" w:sz="0" w:space="0" w:color="auto"/>
        <w:left w:val="none" w:sz="0" w:space="0" w:color="auto"/>
        <w:bottom w:val="none" w:sz="0" w:space="0" w:color="auto"/>
        <w:right w:val="none" w:sz="0" w:space="0" w:color="auto"/>
      </w:divBdr>
    </w:div>
    <w:div w:id="1576086736">
      <w:bodyDiv w:val="1"/>
      <w:marLeft w:val="0"/>
      <w:marRight w:val="0"/>
      <w:marTop w:val="0"/>
      <w:marBottom w:val="0"/>
      <w:divBdr>
        <w:top w:val="none" w:sz="0" w:space="0" w:color="auto"/>
        <w:left w:val="none" w:sz="0" w:space="0" w:color="auto"/>
        <w:bottom w:val="none" w:sz="0" w:space="0" w:color="auto"/>
        <w:right w:val="none" w:sz="0" w:space="0" w:color="auto"/>
      </w:divBdr>
    </w:div>
    <w:div w:id="1584953184">
      <w:bodyDiv w:val="1"/>
      <w:marLeft w:val="0"/>
      <w:marRight w:val="0"/>
      <w:marTop w:val="0"/>
      <w:marBottom w:val="0"/>
      <w:divBdr>
        <w:top w:val="none" w:sz="0" w:space="0" w:color="auto"/>
        <w:left w:val="none" w:sz="0" w:space="0" w:color="auto"/>
        <w:bottom w:val="none" w:sz="0" w:space="0" w:color="auto"/>
        <w:right w:val="none" w:sz="0" w:space="0" w:color="auto"/>
      </w:divBdr>
    </w:div>
    <w:div w:id="1585647751">
      <w:bodyDiv w:val="1"/>
      <w:marLeft w:val="0"/>
      <w:marRight w:val="0"/>
      <w:marTop w:val="0"/>
      <w:marBottom w:val="0"/>
      <w:divBdr>
        <w:top w:val="none" w:sz="0" w:space="0" w:color="auto"/>
        <w:left w:val="none" w:sz="0" w:space="0" w:color="auto"/>
        <w:bottom w:val="none" w:sz="0" w:space="0" w:color="auto"/>
        <w:right w:val="none" w:sz="0" w:space="0" w:color="auto"/>
      </w:divBdr>
    </w:div>
    <w:div w:id="1588415513">
      <w:bodyDiv w:val="1"/>
      <w:marLeft w:val="0"/>
      <w:marRight w:val="0"/>
      <w:marTop w:val="0"/>
      <w:marBottom w:val="0"/>
      <w:divBdr>
        <w:top w:val="none" w:sz="0" w:space="0" w:color="auto"/>
        <w:left w:val="none" w:sz="0" w:space="0" w:color="auto"/>
        <w:bottom w:val="none" w:sz="0" w:space="0" w:color="auto"/>
        <w:right w:val="none" w:sz="0" w:space="0" w:color="auto"/>
      </w:divBdr>
    </w:div>
    <w:div w:id="1590964934">
      <w:bodyDiv w:val="1"/>
      <w:marLeft w:val="0"/>
      <w:marRight w:val="0"/>
      <w:marTop w:val="0"/>
      <w:marBottom w:val="0"/>
      <w:divBdr>
        <w:top w:val="none" w:sz="0" w:space="0" w:color="auto"/>
        <w:left w:val="none" w:sz="0" w:space="0" w:color="auto"/>
        <w:bottom w:val="none" w:sz="0" w:space="0" w:color="auto"/>
        <w:right w:val="none" w:sz="0" w:space="0" w:color="auto"/>
      </w:divBdr>
    </w:div>
    <w:div w:id="1621456097">
      <w:bodyDiv w:val="1"/>
      <w:marLeft w:val="0"/>
      <w:marRight w:val="0"/>
      <w:marTop w:val="0"/>
      <w:marBottom w:val="0"/>
      <w:divBdr>
        <w:top w:val="none" w:sz="0" w:space="0" w:color="auto"/>
        <w:left w:val="none" w:sz="0" w:space="0" w:color="auto"/>
        <w:bottom w:val="none" w:sz="0" w:space="0" w:color="auto"/>
        <w:right w:val="none" w:sz="0" w:space="0" w:color="auto"/>
      </w:divBdr>
    </w:div>
    <w:div w:id="1623071807">
      <w:bodyDiv w:val="1"/>
      <w:marLeft w:val="0"/>
      <w:marRight w:val="0"/>
      <w:marTop w:val="0"/>
      <w:marBottom w:val="0"/>
      <w:divBdr>
        <w:top w:val="none" w:sz="0" w:space="0" w:color="auto"/>
        <w:left w:val="none" w:sz="0" w:space="0" w:color="auto"/>
        <w:bottom w:val="none" w:sz="0" w:space="0" w:color="auto"/>
        <w:right w:val="none" w:sz="0" w:space="0" w:color="auto"/>
      </w:divBdr>
    </w:div>
    <w:div w:id="1627544026">
      <w:bodyDiv w:val="1"/>
      <w:marLeft w:val="0"/>
      <w:marRight w:val="0"/>
      <w:marTop w:val="0"/>
      <w:marBottom w:val="0"/>
      <w:divBdr>
        <w:top w:val="none" w:sz="0" w:space="0" w:color="auto"/>
        <w:left w:val="none" w:sz="0" w:space="0" w:color="auto"/>
        <w:bottom w:val="none" w:sz="0" w:space="0" w:color="auto"/>
        <w:right w:val="none" w:sz="0" w:space="0" w:color="auto"/>
      </w:divBdr>
    </w:div>
    <w:div w:id="1630548640">
      <w:bodyDiv w:val="1"/>
      <w:marLeft w:val="0"/>
      <w:marRight w:val="0"/>
      <w:marTop w:val="0"/>
      <w:marBottom w:val="0"/>
      <w:divBdr>
        <w:top w:val="none" w:sz="0" w:space="0" w:color="auto"/>
        <w:left w:val="none" w:sz="0" w:space="0" w:color="auto"/>
        <w:bottom w:val="none" w:sz="0" w:space="0" w:color="auto"/>
        <w:right w:val="none" w:sz="0" w:space="0" w:color="auto"/>
      </w:divBdr>
    </w:div>
    <w:div w:id="1633486562">
      <w:bodyDiv w:val="1"/>
      <w:marLeft w:val="0"/>
      <w:marRight w:val="0"/>
      <w:marTop w:val="0"/>
      <w:marBottom w:val="0"/>
      <w:divBdr>
        <w:top w:val="none" w:sz="0" w:space="0" w:color="auto"/>
        <w:left w:val="none" w:sz="0" w:space="0" w:color="auto"/>
        <w:bottom w:val="none" w:sz="0" w:space="0" w:color="auto"/>
        <w:right w:val="none" w:sz="0" w:space="0" w:color="auto"/>
      </w:divBdr>
    </w:div>
    <w:div w:id="1637680878">
      <w:bodyDiv w:val="1"/>
      <w:marLeft w:val="0"/>
      <w:marRight w:val="0"/>
      <w:marTop w:val="0"/>
      <w:marBottom w:val="0"/>
      <w:divBdr>
        <w:top w:val="none" w:sz="0" w:space="0" w:color="auto"/>
        <w:left w:val="none" w:sz="0" w:space="0" w:color="auto"/>
        <w:bottom w:val="none" w:sz="0" w:space="0" w:color="auto"/>
        <w:right w:val="none" w:sz="0" w:space="0" w:color="auto"/>
      </w:divBdr>
    </w:div>
    <w:div w:id="1666781433">
      <w:bodyDiv w:val="1"/>
      <w:marLeft w:val="0"/>
      <w:marRight w:val="0"/>
      <w:marTop w:val="0"/>
      <w:marBottom w:val="0"/>
      <w:divBdr>
        <w:top w:val="none" w:sz="0" w:space="0" w:color="auto"/>
        <w:left w:val="none" w:sz="0" w:space="0" w:color="auto"/>
        <w:bottom w:val="none" w:sz="0" w:space="0" w:color="auto"/>
        <w:right w:val="none" w:sz="0" w:space="0" w:color="auto"/>
      </w:divBdr>
    </w:div>
    <w:div w:id="1674139237">
      <w:bodyDiv w:val="1"/>
      <w:marLeft w:val="0"/>
      <w:marRight w:val="0"/>
      <w:marTop w:val="0"/>
      <w:marBottom w:val="0"/>
      <w:divBdr>
        <w:top w:val="none" w:sz="0" w:space="0" w:color="auto"/>
        <w:left w:val="none" w:sz="0" w:space="0" w:color="auto"/>
        <w:bottom w:val="none" w:sz="0" w:space="0" w:color="auto"/>
        <w:right w:val="none" w:sz="0" w:space="0" w:color="auto"/>
      </w:divBdr>
    </w:div>
    <w:div w:id="1676151424">
      <w:bodyDiv w:val="1"/>
      <w:marLeft w:val="0"/>
      <w:marRight w:val="0"/>
      <w:marTop w:val="0"/>
      <w:marBottom w:val="0"/>
      <w:divBdr>
        <w:top w:val="none" w:sz="0" w:space="0" w:color="auto"/>
        <w:left w:val="none" w:sz="0" w:space="0" w:color="auto"/>
        <w:bottom w:val="none" w:sz="0" w:space="0" w:color="auto"/>
        <w:right w:val="none" w:sz="0" w:space="0" w:color="auto"/>
      </w:divBdr>
    </w:div>
    <w:div w:id="1679309316">
      <w:bodyDiv w:val="1"/>
      <w:marLeft w:val="0"/>
      <w:marRight w:val="0"/>
      <w:marTop w:val="0"/>
      <w:marBottom w:val="0"/>
      <w:divBdr>
        <w:top w:val="none" w:sz="0" w:space="0" w:color="auto"/>
        <w:left w:val="none" w:sz="0" w:space="0" w:color="auto"/>
        <w:bottom w:val="none" w:sz="0" w:space="0" w:color="auto"/>
        <w:right w:val="none" w:sz="0" w:space="0" w:color="auto"/>
      </w:divBdr>
    </w:div>
    <w:div w:id="1708021453">
      <w:bodyDiv w:val="1"/>
      <w:marLeft w:val="0"/>
      <w:marRight w:val="0"/>
      <w:marTop w:val="0"/>
      <w:marBottom w:val="0"/>
      <w:divBdr>
        <w:top w:val="none" w:sz="0" w:space="0" w:color="auto"/>
        <w:left w:val="none" w:sz="0" w:space="0" w:color="auto"/>
        <w:bottom w:val="none" w:sz="0" w:space="0" w:color="auto"/>
        <w:right w:val="none" w:sz="0" w:space="0" w:color="auto"/>
      </w:divBdr>
    </w:div>
    <w:div w:id="1709333193">
      <w:bodyDiv w:val="1"/>
      <w:marLeft w:val="0"/>
      <w:marRight w:val="0"/>
      <w:marTop w:val="0"/>
      <w:marBottom w:val="0"/>
      <w:divBdr>
        <w:top w:val="none" w:sz="0" w:space="0" w:color="auto"/>
        <w:left w:val="none" w:sz="0" w:space="0" w:color="auto"/>
        <w:bottom w:val="none" w:sz="0" w:space="0" w:color="auto"/>
        <w:right w:val="none" w:sz="0" w:space="0" w:color="auto"/>
      </w:divBdr>
    </w:div>
    <w:div w:id="1759907050">
      <w:bodyDiv w:val="1"/>
      <w:marLeft w:val="0"/>
      <w:marRight w:val="0"/>
      <w:marTop w:val="0"/>
      <w:marBottom w:val="0"/>
      <w:divBdr>
        <w:top w:val="none" w:sz="0" w:space="0" w:color="auto"/>
        <w:left w:val="none" w:sz="0" w:space="0" w:color="auto"/>
        <w:bottom w:val="none" w:sz="0" w:space="0" w:color="auto"/>
        <w:right w:val="none" w:sz="0" w:space="0" w:color="auto"/>
      </w:divBdr>
    </w:div>
    <w:div w:id="1769034396">
      <w:bodyDiv w:val="1"/>
      <w:marLeft w:val="0"/>
      <w:marRight w:val="0"/>
      <w:marTop w:val="0"/>
      <w:marBottom w:val="0"/>
      <w:divBdr>
        <w:top w:val="none" w:sz="0" w:space="0" w:color="auto"/>
        <w:left w:val="none" w:sz="0" w:space="0" w:color="auto"/>
        <w:bottom w:val="none" w:sz="0" w:space="0" w:color="auto"/>
        <w:right w:val="none" w:sz="0" w:space="0" w:color="auto"/>
      </w:divBdr>
    </w:div>
    <w:div w:id="1776167225">
      <w:bodyDiv w:val="1"/>
      <w:marLeft w:val="0"/>
      <w:marRight w:val="0"/>
      <w:marTop w:val="0"/>
      <w:marBottom w:val="0"/>
      <w:divBdr>
        <w:top w:val="none" w:sz="0" w:space="0" w:color="auto"/>
        <w:left w:val="none" w:sz="0" w:space="0" w:color="auto"/>
        <w:bottom w:val="none" w:sz="0" w:space="0" w:color="auto"/>
        <w:right w:val="none" w:sz="0" w:space="0" w:color="auto"/>
      </w:divBdr>
    </w:div>
    <w:div w:id="1798839532">
      <w:bodyDiv w:val="1"/>
      <w:marLeft w:val="0"/>
      <w:marRight w:val="0"/>
      <w:marTop w:val="0"/>
      <w:marBottom w:val="0"/>
      <w:divBdr>
        <w:top w:val="none" w:sz="0" w:space="0" w:color="auto"/>
        <w:left w:val="none" w:sz="0" w:space="0" w:color="auto"/>
        <w:bottom w:val="none" w:sz="0" w:space="0" w:color="auto"/>
        <w:right w:val="none" w:sz="0" w:space="0" w:color="auto"/>
      </w:divBdr>
    </w:div>
    <w:div w:id="1799183440">
      <w:bodyDiv w:val="1"/>
      <w:marLeft w:val="0"/>
      <w:marRight w:val="0"/>
      <w:marTop w:val="0"/>
      <w:marBottom w:val="0"/>
      <w:divBdr>
        <w:top w:val="none" w:sz="0" w:space="0" w:color="auto"/>
        <w:left w:val="none" w:sz="0" w:space="0" w:color="auto"/>
        <w:bottom w:val="none" w:sz="0" w:space="0" w:color="auto"/>
        <w:right w:val="none" w:sz="0" w:space="0" w:color="auto"/>
      </w:divBdr>
    </w:div>
    <w:div w:id="1803573167">
      <w:bodyDiv w:val="1"/>
      <w:marLeft w:val="0"/>
      <w:marRight w:val="0"/>
      <w:marTop w:val="0"/>
      <w:marBottom w:val="0"/>
      <w:divBdr>
        <w:top w:val="none" w:sz="0" w:space="0" w:color="auto"/>
        <w:left w:val="none" w:sz="0" w:space="0" w:color="auto"/>
        <w:bottom w:val="none" w:sz="0" w:space="0" w:color="auto"/>
        <w:right w:val="none" w:sz="0" w:space="0" w:color="auto"/>
      </w:divBdr>
    </w:div>
    <w:div w:id="1815559117">
      <w:bodyDiv w:val="1"/>
      <w:marLeft w:val="0"/>
      <w:marRight w:val="0"/>
      <w:marTop w:val="0"/>
      <w:marBottom w:val="0"/>
      <w:divBdr>
        <w:top w:val="none" w:sz="0" w:space="0" w:color="auto"/>
        <w:left w:val="none" w:sz="0" w:space="0" w:color="auto"/>
        <w:bottom w:val="none" w:sz="0" w:space="0" w:color="auto"/>
        <w:right w:val="none" w:sz="0" w:space="0" w:color="auto"/>
      </w:divBdr>
    </w:div>
    <w:div w:id="1823615424">
      <w:bodyDiv w:val="1"/>
      <w:marLeft w:val="0"/>
      <w:marRight w:val="0"/>
      <w:marTop w:val="0"/>
      <w:marBottom w:val="0"/>
      <w:divBdr>
        <w:top w:val="none" w:sz="0" w:space="0" w:color="auto"/>
        <w:left w:val="none" w:sz="0" w:space="0" w:color="auto"/>
        <w:bottom w:val="none" w:sz="0" w:space="0" w:color="auto"/>
        <w:right w:val="none" w:sz="0" w:space="0" w:color="auto"/>
      </w:divBdr>
    </w:div>
    <w:div w:id="1826896202">
      <w:bodyDiv w:val="1"/>
      <w:marLeft w:val="0"/>
      <w:marRight w:val="0"/>
      <w:marTop w:val="0"/>
      <w:marBottom w:val="0"/>
      <w:divBdr>
        <w:top w:val="none" w:sz="0" w:space="0" w:color="auto"/>
        <w:left w:val="none" w:sz="0" w:space="0" w:color="auto"/>
        <w:bottom w:val="none" w:sz="0" w:space="0" w:color="auto"/>
        <w:right w:val="none" w:sz="0" w:space="0" w:color="auto"/>
      </w:divBdr>
    </w:div>
    <w:div w:id="1850027561">
      <w:bodyDiv w:val="1"/>
      <w:marLeft w:val="0"/>
      <w:marRight w:val="0"/>
      <w:marTop w:val="0"/>
      <w:marBottom w:val="0"/>
      <w:divBdr>
        <w:top w:val="none" w:sz="0" w:space="0" w:color="auto"/>
        <w:left w:val="none" w:sz="0" w:space="0" w:color="auto"/>
        <w:bottom w:val="none" w:sz="0" w:space="0" w:color="auto"/>
        <w:right w:val="none" w:sz="0" w:space="0" w:color="auto"/>
      </w:divBdr>
    </w:div>
    <w:div w:id="1852328043">
      <w:bodyDiv w:val="1"/>
      <w:marLeft w:val="0"/>
      <w:marRight w:val="0"/>
      <w:marTop w:val="0"/>
      <w:marBottom w:val="0"/>
      <w:divBdr>
        <w:top w:val="none" w:sz="0" w:space="0" w:color="auto"/>
        <w:left w:val="none" w:sz="0" w:space="0" w:color="auto"/>
        <w:bottom w:val="none" w:sz="0" w:space="0" w:color="auto"/>
        <w:right w:val="none" w:sz="0" w:space="0" w:color="auto"/>
      </w:divBdr>
    </w:div>
    <w:div w:id="1886984632">
      <w:bodyDiv w:val="1"/>
      <w:marLeft w:val="0"/>
      <w:marRight w:val="0"/>
      <w:marTop w:val="0"/>
      <w:marBottom w:val="0"/>
      <w:divBdr>
        <w:top w:val="none" w:sz="0" w:space="0" w:color="auto"/>
        <w:left w:val="none" w:sz="0" w:space="0" w:color="auto"/>
        <w:bottom w:val="none" w:sz="0" w:space="0" w:color="auto"/>
        <w:right w:val="none" w:sz="0" w:space="0" w:color="auto"/>
      </w:divBdr>
    </w:div>
    <w:div w:id="1902982494">
      <w:bodyDiv w:val="1"/>
      <w:marLeft w:val="0"/>
      <w:marRight w:val="0"/>
      <w:marTop w:val="0"/>
      <w:marBottom w:val="0"/>
      <w:divBdr>
        <w:top w:val="none" w:sz="0" w:space="0" w:color="auto"/>
        <w:left w:val="none" w:sz="0" w:space="0" w:color="auto"/>
        <w:bottom w:val="none" w:sz="0" w:space="0" w:color="auto"/>
        <w:right w:val="none" w:sz="0" w:space="0" w:color="auto"/>
      </w:divBdr>
    </w:div>
    <w:div w:id="1920169312">
      <w:bodyDiv w:val="1"/>
      <w:marLeft w:val="0"/>
      <w:marRight w:val="0"/>
      <w:marTop w:val="0"/>
      <w:marBottom w:val="0"/>
      <w:divBdr>
        <w:top w:val="none" w:sz="0" w:space="0" w:color="auto"/>
        <w:left w:val="none" w:sz="0" w:space="0" w:color="auto"/>
        <w:bottom w:val="none" w:sz="0" w:space="0" w:color="auto"/>
        <w:right w:val="none" w:sz="0" w:space="0" w:color="auto"/>
      </w:divBdr>
    </w:div>
    <w:div w:id="1932661543">
      <w:bodyDiv w:val="1"/>
      <w:marLeft w:val="0"/>
      <w:marRight w:val="0"/>
      <w:marTop w:val="0"/>
      <w:marBottom w:val="0"/>
      <w:divBdr>
        <w:top w:val="none" w:sz="0" w:space="0" w:color="auto"/>
        <w:left w:val="none" w:sz="0" w:space="0" w:color="auto"/>
        <w:bottom w:val="none" w:sz="0" w:space="0" w:color="auto"/>
        <w:right w:val="none" w:sz="0" w:space="0" w:color="auto"/>
      </w:divBdr>
    </w:div>
    <w:div w:id="1934317016">
      <w:bodyDiv w:val="1"/>
      <w:marLeft w:val="0"/>
      <w:marRight w:val="0"/>
      <w:marTop w:val="0"/>
      <w:marBottom w:val="0"/>
      <w:divBdr>
        <w:top w:val="none" w:sz="0" w:space="0" w:color="auto"/>
        <w:left w:val="none" w:sz="0" w:space="0" w:color="auto"/>
        <w:bottom w:val="none" w:sz="0" w:space="0" w:color="auto"/>
        <w:right w:val="none" w:sz="0" w:space="0" w:color="auto"/>
      </w:divBdr>
    </w:div>
    <w:div w:id="1960523281">
      <w:bodyDiv w:val="1"/>
      <w:marLeft w:val="0"/>
      <w:marRight w:val="0"/>
      <w:marTop w:val="0"/>
      <w:marBottom w:val="0"/>
      <w:divBdr>
        <w:top w:val="none" w:sz="0" w:space="0" w:color="auto"/>
        <w:left w:val="none" w:sz="0" w:space="0" w:color="auto"/>
        <w:bottom w:val="none" w:sz="0" w:space="0" w:color="auto"/>
        <w:right w:val="none" w:sz="0" w:space="0" w:color="auto"/>
      </w:divBdr>
    </w:div>
    <w:div w:id="1960840647">
      <w:bodyDiv w:val="1"/>
      <w:marLeft w:val="0"/>
      <w:marRight w:val="0"/>
      <w:marTop w:val="0"/>
      <w:marBottom w:val="0"/>
      <w:divBdr>
        <w:top w:val="none" w:sz="0" w:space="0" w:color="auto"/>
        <w:left w:val="none" w:sz="0" w:space="0" w:color="auto"/>
        <w:bottom w:val="none" w:sz="0" w:space="0" w:color="auto"/>
        <w:right w:val="none" w:sz="0" w:space="0" w:color="auto"/>
      </w:divBdr>
    </w:div>
    <w:div w:id="1976374136">
      <w:bodyDiv w:val="1"/>
      <w:marLeft w:val="0"/>
      <w:marRight w:val="0"/>
      <w:marTop w:val="0"/>
      <w:marBottom w:val="0"/>
      <w:divBdr>
        <w:top w:val="none" w:sz="0" w:space="0" w:color="auto"/>
        <w:left w:val="none" w:sz="0" w:space="0" w:color="auto"/>
        <w:bottom w:val="none" w:sz="0" w:space="0" w:color="auto"/>
        <w:right w:val="none" w:sz="0" w:space="0" w:color="auto"/>
      </w:divBdr>
    </w:div>
    <w:div w:id="1978946882">
      <w:bodyDiv w:val="1"/>
      <w:marLeft w:val="0"/>
      <w:marRight w:val="0"/>
      <w:marTop w:val="0"/>
      <w:marBottom w:val="0"/>
      <w:divBdr>
        <w:top w:val="none" w:sz="0" w:space="0" w:color="auto"/>
        <w:left w:val="none" w:sz="0" w:space="0" w:color="auto"/>
        <w:bottom w:val="none" w:sz="0" w:space="0" w:color="auto"/>
        <w:right w:val="none" w:sz="0" w:space="0" w:color="auto"/>
      </w:divBdr>
    </w:div>
    <w:div w:id="2005283055">
      <w:bodyDiv w:val="1"/>
      <w:marLeft w:val="0"/>
      <w:marRight w:val="0"/>
      <w:marTop w:val="0"/>
      <w:marBottom w:val="0"/>
      <w:divBdr>
        <w:top w:val="none" w:sz="0" w:space="0" w:color="auto"/>
        <w:left w:val="none" w:sz="0" w:space="0" w:color="auto"/>
        <w:bottom w:val="none" w:sz="0" w:space="0" w:color="auto"/>
        <w:right w:val="none" w:sz="0" w:space="0" w:color="auto"/>
      </w:divBdr>
    </w:div>
    <w:div w:id="2014188540">
      <w:bodyDiv w:val="1"/>
      <w:marLeft w:val="0"/>
      <w:marRight w:val="0"/>
      <w:marTop w:val="0"/>
      <w:marBottom w:val="0"/>
      <w:divBdr>
        <w:top w:val="none" w:sz="0" w:space="0" w:color="auto"/>
        <w:left w:val="none" w:sz="0" w:space="0" w:color="auto"/>
        <w:bottom w:val="none" w:sz="0" w:space="0" w:color="auto"/>
        <w:right w:val="none" w:sz="0" w:space="0" w:color="auto"/>
      </w:divBdr>
    </w:div>
    <w:div w:id="2026636702">
      <w:bodyDiv w:val="1"/>
      <w:marLeft w:val="0"/>
      <w:marRight w:val="0"/>
      <w:marTop w:val="0"/>
      <w:marBottom w:val="0"/>
      <w:divBdr>
        <w:top w:val="none" w:sz="0" w:space="0" w:color="auto"/>
        <w:left w:val="none" w:sz="0" w:space="0" w:color="auto"/>
        <w:bottom w:val="none" w:sz="0" w:space="0" w:color="auto"/>
        <w:right w:val="none" w:sz="0" w:space="0" w:color="auto"/>
      </w:divBdr>
    </w:div>
    <w:div w:id="2047899896">
      <w:bodyDiv w:val="1"/>
      <w:marLeft w:val="0"/>
      <w:marRight w:val="0"/>
      <w:marTop w:val="0"/>
      <w:marBottom w:val="0"/>
      <w:divBdr>
        <w:top w:val="none" w:sz="0" w:space="0" w:color="auto"/>
        <w:left w:val="none" w:sz="0" w:space="0" w:color="auto"/>
        <w:bottom w:val="none" w:sz="0" w:space="0" w:color="auto"/>
        <w:right w:val="none" w:sz="0" w:space="0" w:color="auto"/>
      </w:divBdr>
    </w:div>
    <w:div w:id="2049141441">
      <w:bodyDiv w:val="1"/>
      <w:marLeft w:val="0"/>
      <w:marRight w:val="0"/>
      <w:marTop w:val="0"/>
      <w:marBottom w:val="0"/>
      <w:divBdr>
        <w:top w:val="none" w:sz="0" w:space="0" w:color="auto"/>
        <w:left w:val="none" w:sz="0" w:space="0" w:color="auto"/>
        <w:bottom w:val="none" w:sz="0" w:space="0" w:color="auto"/>
        <w:right w:val="none" w:sz="0" w:space="0" w:color="auto"/>
      </w:divBdr>
    </w:div>
    <w:div w:id="2066294277">
      <w:bodyDiv w:val="1"/>
      <w:marLeft w:val="0"/>
      <w:marRight w:val="0"/>
      <w:marTop w:val="0"/>
      <w:marBottom w:val="0"/>
      <w:divBdr>
        <w:top w:val="none" w:sz="0" w:space="0" w:color="auto"/>
        <w:left w:val="none" w:sz="0" w:space="0" w:color="auto"/>
        <w:bottom w:val="none" w:sz="0" w:space="0" w:color="auto"/>
        <w:right w:val="none" w:sz="0" w:space="0" w:color="auto"/>
      </w:divBdr>
    </w:div>
    <w:div w:id="2072995618">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 w:id="2098940960">
      <w:bodyDiv w:val="1"/>
      <w:marLeft w:val="0"/>
      <w:marRight w:val="0"/>
      <w:marTop w:val="0"/>
      <w:marBottom w:val="0"/>
      <w:divBdr>
        <w:top w:val="none" w:sz="0" w:space="0" w:color="auto"/>
        <w:left w:val="none" w:sz="0" w:space="0" w:color="auto"/>
        <w:bottom w:val="none" w:sz="0" w:space="0" w:color="auto"/>
        <w:right w:val="none" w:sz="0" w:space="0" w:color="auto"/>
      </w:divBdr>
    </w:div>
    <w:div w:id="2110004936">
      <w:bodyDiv w:val="1"/>
      <w:marLeft w:val="0"/>
      <w:marRight w:val="0"/>
      <w:marTop w:val="0"/>
      <w:marBottom w:val="0"/>
      <w:divBdr>
        <w:top w:val="none" w:sz="0" w:space="0" w:color="auto"/>
        <w:left w:val="none" w:sz="0" w:space="0" w:color="auto"/>
        <w:bottom w:val="none" w:sz="0" w:space="0" w:color="auto"/>
        <w:right w:val="none" w:sz="0" w:space="0" w:color="auto"/>
      </w:divBdr>
    </w:div>
    <w:div w:id="2110344729">
      <w:bodyDiv w:val="1"/>
      <w:marLeft w:val="0"/>
      <w:marRight w:val="0"/>
      <w:marTop w:val="0"/>
      <w:marBottom w:val="0"/>
      <w:divBdr>
        <w:top w:val="none" w:sz="0" w:space="0" w:color="auto"/>
        <w:left w:val="none" w:sz="0" w:space="0" w:color="auto"/>
        <w:bottom w:val="none" w:sz="0" w:space="0" w:color="auto"/>
        <w:right w:val="none" w:sz="0" w:space="0" w:color="auto"/>
      </w:divBdr>
    </w:div>
    <w:div w:id="2116242135">
      <w:bodyDiv w:val="1"/>
      <w:marLeft w:val="0"/>
      <w:marRight w:val="0"/>
      <w:marTop w:val="0"/>
      <w:marBottom w:val="0"/>
      <w:divBdr>
        <w:top w:val="none" w:sz="0" w:space="0" w:color="auto"/>
        <w:left w:val="none" w:sz="0" w:space="0" w:color="auto"/>
        <w:bottom w:val="none" w:sz="0" w:space="0" w:color="auto"/>
        <w:right w:val="none" w:sz="0" w:space="0" w:color="auto"/>
      </w:divBdr>
    </w:div>
    <w:div w:id="2128036120">
      <w:bodyDiv w:val="1"/>
      <w:marLeft w:val="0"/>
      <w:marRight w:val="0"/>
      <w:marTop w:val="0"/>
      <w:marBottom w:val="0"/>
      <w:divBdr>
        <w:top w:val="none" w:sz="0" w:space="0" w:color="auto"/>
        <w:left w:val="none" w:sz="0" w:space="0" w:color="auto"/>
        <w:bottom w:val="none" w:sz="0" w:space="0" w:color="auto"/>
        <w:right w:val="none" w:sz="0" w:space="0" w:color="auto"/>
      </w:divBdr>
    </w:div>
    <w:div w:id="2128116284">
      <w:bodyDiv w:val="1"/>
      <w:marLeft w:val="0"/>
      <w:marRight w:val="0"/>
      <w:marTop w:val="0"/>
      <w:marBottom w:val="0"/>
      <w:divBdr>
        <w:top w:val="none" w:sz="0" w:space="0" w:color="auto"/>
        <w:left w:val="none" w:sz="0" w:space="0" w:color="auto"/>
        <w:bottom w:val="none" w:sz="0" w:space="0" w:color="auto"/>
        <w:right w:val="none" w:sz="0" w:space="0" w:color="auto"/>
      </w:divBdr>
    </w:div>
    <w:div w:id="213478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A990D0E0-47BA-4847-9A79-587F2D4B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78</Pages>
  <Words>37042</Words>
  <Characters>217813</Characters>
  <Application>Microsoft Office Word</Application>
  <DocSecurity>0</DocSecurity>
  <Lines>6600</Lines>
  <Paragraphs>3747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Abstract</vt:lpstr>
      <vt:lpstr>List of Abbreviations  </vt:lpstr>
      <vt:lpstr>Plain English Summary</vt:lpstr>
      <vt:lpstr>Scientific Summary </vt:lpstr>
      <vt:lpstr>Chapter 1: Introduction </vt:lpstr>
      <vt:lpstr>Chapter 2: Cohort Description</vt:lpstr>
      <vt:lpstr>Chapter 3: Clinical effectiveness</vt:lpstr>
    </vt:vector>
  </TitlesOfParts>
  <Company/>
  <LinksUpToDate>false</LinksUpToDate>
  <CharactersWithSpaces>251108</CharactersWithSpaces>
  <SharedDoc>false</SharedDoc>
  <HLinks>
    <vt:vector size="834" baseType="variant">
      <vt:variant>
        <vt:i4>2555988</vt:i4>
      </vt:variant>
      <vt:variant>
        <vt:i4>1719</vt:i4>
      </vt:variant>
      <vt:variant>
        <vt:i4>0</vt:i4>
      </vt:variant>
      <vt:variant>
        <vt:i4>5</vt:i4>
      </vt:variant>
      <vt:variant>
        <vt:lpwstr>https://www.google.com/aclk?sa=L&amp;ai=DChcSEwiy8fiEnNHyAhWNgVAGHRraBq4YABAvGgJkZw&amp;sig=AOD64_29bODdCw3aMG70X1pVDHfKDIMKGA&amp;ctype=5&amp;q=&amp;ved=0ahUKEwiFifSEnNHyAhXTSsAKHaSUCdoQ2CkI6QU&amp;adurl=</vt:lpwstr>
      </vt:variant>
      <vt:variant>
        <vt:lpwstr/>
      </vt:variant>
      <vt:variant>
        <vt:i4>1966162</vt:i4>
      </vt:variant>
      <vt:variant>
        <vt:i4>1526</vt:i4>
      </vt:variant>
      <vt:variant>
        <vt:i4>0</vt:i4>
      </vt:variant>
      <vt:variant>
        <vt:i4>5</vt:i4>
      </vt:variant>
      <vt:variant>
        <vt:lpwstr>https://dx.doi.org/10.1056/NEJMoa2014320</vt:lpwstr>
      </vt:variant>
      <vt:variant>
        <vt:lpwstr/>
      </vt:variant>
      <vt:variant>
        <vt:i4>1638469</vt:i4>
      </vt:variant>
      <vt:variant>
        <vt:i4>1523</vt:i4>
      </vt:variant>
      <vt:variant>
        <vt:i4>0</vt:i4>
      </vt:variant>
      <vt:variant>
        <vt:i4>5</vt:i4>
      </vt:variant>
      <vt:variant>
        <vt:lpwstr>https://www.facs.org/~/media/files/education/patient ed/cholesys.ashx</vt:lpwstr>
      </vt:variant>
      <vt:variant>
        <vt:lpwstr/>
      </vt:variant>
      <vt:variant>
        <vt:i4>131139</vt:i4>
      </vt:variant>
      <vt:variant>
        <vt:i4>1520</vt:i4>
      </vt:variant>
      <vt:variant>
        <vt:i4>0</vt:i4>
      </vt:variant>
      <vt:variant>
        <vt:i4>5</vt:i4>
      </vt:variant>
      <vt:variant>
        <vt:lpwstr>https://doi.org/10.1080/01621459.2020.1863220</vt:lpwstr>
      </vt:variant>
      <vt:variant>
        <vt:lpwstr/>
      </vt:variant>
      <vt:variant>
        <vt:i4>3014699</vt:i4>
      </vt:variant>
      <vt:variant>
        <vt:i4>1517</vt:i4>
      </vt:variant>
      <vt:variant>
        <vt:i4>0</vt:i4>
      </vt:variant>
      <vt:variant>
        <vt:i4>5</vt:i4>
      </vt:variant>
      <vt:variant>
        <vt:lpwstr>https://www.nihr.ac.uk/documents/research-on-multiple-long-term-conditions-multimorbidity-mltc-m/24639</vt:lpwstr>
      </vt:variant>
      <vt:variant>
        <vt:lpwstr/>
      </vt:variant>
      <vt:variant>
        <vt:i4>3801214</vt:i4>
      </vt:variant>
      <vt:variant>
        <vt:i4>1514</vt:i4>
      </vt:variant>
      <vt:variant>
        <vt:i4>0</vt:i4>
      </vt:variant>
      <vt:variant>
        <vt:i4>5</vt:i4>
      </vt:variant>
      <vt:variant>
        <vt:lpwstr>https://www.bgs.org.uk/sites/default/files/content/attachment/2021-09-28/Guideline for Perioperative Care for People Living with Frailty Undergoing Elective and Emergency Surgery.pdf</vt:lpwstr>
      </vt:variant>
      <vt:variant>
        <vt:lpwstr/>
      </vt:variant>
      <vt:variant>
        <vt:i4>8192038</vt:i4>
      </vt:variant>
      <vt:variant>
        <vt:i4>1511</vt:i4>
      </vt:variant>
      <vt:variant>
        <vt:i4>0</vt:i4>
      </vt:variant>
      <vt:variant>
        <vt:i4>5</vt:i4>
      </vt:variant>
      <vt:variant>
        <vt:lpwstr>https://www.rcseng.ac.uk/-/media/files/rcs/news-and-events/media-centre/2018-press-releases-documents/rcs-report-the-highrisk-general-surgical-patient--raising-the-standard--december-2018.pdf</vt:lpwstr>
      </vt:variant>
      <vt:variant>
        <vt:lpwstr/>
      </vt:variant>
      <vt:variant>
        <vt:i4>3342456</vt:i4>
      </vt:variant>
      <vt:variant>
        <vt:i4>1508</vt:i4>
      </vt:variant>
      <vt:variant>
        <vt:i4>0</vt:i4>
      </vt:variant>
      <vt:variant>
        <vt:i4>5</vt:i4>
      </vt:variant>
      <vt:variant>
        <vt:lpwstr>http://www.nela.org.uk/reports</vt:lpwstr>
      </vt:variant>
      <vt:variant>
        <vt:lpwstr/>
      </vt:variant>
      <vt:variant>
        <vt:i4>3342456</vt:i4>
      </vt:variant>
      <vt:variant>
        <vt:i4>1505</vt:i4>
      </vt:variant>
      <vt:variant>
        <vt:i4>0</vt:i4>
      </vt:variant>
      <vt:variant>
        <vt:i4>5</vt:i4>
      </vt:variant>
      <vt:variant>
        <vt:lpwstr>http://www.nela.org.uk/reports</vt:lpwstr>
      </vt:variant>
      <vt:variant>
        <vt:lpwstr/>
      </vt:variant>
      <vt:variant>
        <vt:i4>1572954</vt:i4>
      </vt:variant>
      <vt:variant>
        <vt:i4>1502</vt:i4>
      </vt:variant>
      <vt:variant>
        <vt:i4>0</vt:i4>
      </vt:variant>
      <vt:variant>
        <vt:i4>5</vt:i4>
      </vt:variant>
      <vt:variant>
        <vt:lpwstr>https://mcusercontent.com/99832f93daeaab6070e0f6946/files/9f1a3098-e318-4e46-8172-d4a209d2ca24/DAMASCUS_Protocol_V3.0_28_Sep_2020_.pdf</vt:lpwstr>
      </vt:variant>
      <vt:variant>
        <vt:lpwstr/>
      </vt:variant>
      <vt:variant>
        <vt:i4>4587614</vt:i4>
      </vt:variant>
      <vt:variant>
        <vt:i4>1499</vt:i4>
      </vt:variant>
      <vt:variant>
        <vt:i4>0</vt:i4>
      </vt:variant>
      <vt:variant>
        <vt:i4>5</vt:i4>
      </vt:variant>
      <vt:variant>
        <vt:lpwstr>https://www.rcseng.ac.uk/coronavirus/joint-guidance-for-surgeons-v1/</vt:lpwstr>
      </vt:variant>
      <vt:variant>
        <vt:lpwstr/>
      </vt:variant>
      <vt:variant>
        <vt:i4>7864357</vt:i4>
      </vt:variant>
      <vt:variant>
        <vt:i4>1496</vt:i4>
      </vt:variant>
      <vt:variant>
        <vt:i4>0</vt:i4>
      </vt:variant>
      <vt:variant>
        <vt:i4>5</vt:i4>
      </vt:variant>
      <vt:variant>
        <vt:lpwstr>http://arxiv.org/abs/2009.09036</vt:lpwstr>
      </vt:variant>
      <vt:variant>
        <vt:lpwstr/>
      </vt:variant>
      <vt:variant>
        <vt:i4>2359343</vt:i4>
      </vt:variant>
      <vt:variant>
        <vt:i4>1493</vt:i4>
      </vt:variant>
      <vt:variant>
        <vt:i4>0</vt:i4>
      </vt:variant>
      <vt:variant>
        <vt:i4>5</vt:i4>
      </vt:variant>
      <vt:variant>
        <vt:lpwstr>https://doi.org/10.1016/j.jclinepi.2021.06.006</vt:lpwstr>
      </vt:variant>
      <vt:variant>
        <vt:lpwstr/>
      </vt:variant>
      <vt:variant>
        <vt:i4>7209023</vt:i4>
      </vt:variant>
      <vt:variant>
        <vt:i4>1490</vt:i4>
      </vt:variant>
      <vt:variant>
        <vt:i4>0</vt:i4>
      </vt:variant>
      <vt:variant>
        <vt:i4>5</vt:i4>
      </vt:variant>
      <vt:variant>
        <vt:lpwstr>https://doi.org/10.1007/s00464-020-08205-z</vt:lpwstr>
      </vt:variant>
      <vt:variant>
        <vt:lpwstr/>
      </vt:variant>
      <vt:variant>
        <vt:i4>7143548</vt:i4>
      </vt:variant>
      <vt:variant>
        <vt:i4>1487</vt:i4>
      </vt:variant>
      <vt:variant>
        <vt:i4>0</vt:i4>
      </vt:variant>
      <vt:variant>
        <vt:i4>5</vt:i4>
      </vt:variant>
      <vt:variant>
        <vt:lpwstr>https://assets.publishing.service.gov.uk/government/uploads/system/uploads/attachment_data/file/205904/GDP_Deflators_User_Guide.pdf</vt:lpwstr>
      </vt:variant>
      <vt:variant>
        <vt:lpwstr/>
      </vt:variant>
      <vt:variant>
        <vt:i4>1572874</vt:i4>
      </vt:variant>
      <vt:variant>
        <vt:i4>1484</vt:i4>
      </vt:variant>
      <vt:variant>
        <vt:i4>0</vt:i4>
      </vt:variant>
      <vt:variant>
        <vt:i4>5</vt:i4>
      </vt:variant>
      <vt:variant>
        <vt:lpwstr>https://webarchive.nationalarchives.gov.uk/ukgwa/20200501111106/https://improvement.nhs.uk/resources/reference-costs/Improvement</vt:lpwstr>
      </vt:variant>
      <vt:variant>
        <vt:lpwstr/>
      </vt:variant>
      <vt:variant>
        <vt:i4>4587520</vt:i4>
      </vt:variant>
      <vt:variant>
        <vt:i4>1478</vt:i4>
      </vt:variant>
      <vt:variant>
        <vt:i4>0</vt:i4>
      </vt:variant>
      <vt:variant>
        <vt:i4>5</vt:i4>
      </vt:variant>
      <vt:variant>
        <vt:lpwstr>https://www.isdscotland.org/Health-Topics/Finance/Costs/Detailed-Tables/Theatres.asp</vt:lpwstr>
      </vt:variant>
      <vt:variant>
        <vt:lpwstr/>
      </vt:variant>
      <vt:variant>
        <vt:i4>4718657</vt:i4>
      </vt:variant>
      <vt:variant>
        <vt:i4>1475</vt:i4>
      </vt:variant>
      <vt:variant>
        <vt:i4>0</vt:i4>
      </vt:variant>
      <vt:variant>
        <vt:i4>5</vt:i4>
      </vt:variant>
      <vt:variant>
        <vt:lpwstr>https://digital.nhs.uk/data-and-information/data-tools-and-services/data-services/hospital-episode-statistics/hospital-episode-statistics-data-dictionary</vt:lpwstr>
      </vt:variant>
      <vt:variant>
        <vt:lpwstr/>
      </vt:variant>
      <vt:variant>
        <vt:i4>1704018</vt:i4>
      </vt:variant>
      <vt:variant>
        <vt:i4>1472</vt:i4>
      </vt:variant>
      <vt:variant>
        <vt:i4>0</vt:i4>
      </vt:variant>
      <vt:variant>
        <vt:i4>5</vt:i4>
      </vt:variant>
      <vt:variant>
        <vt:lpwstr>https://www.nice.org.uk/process/pmg9/chapter/foreword</vt:lpwstr>
      </vt:variant>
      <vt:variant>
        <vt:lpwstr/>
      </vt:variant>
      <vt:variant>
        <vt:i4>3342456</vt:i4>
      </vt:variant>
      <vt:variant>
        <vt:i4>1469</vt:i4>
      </vt:variant>
      <vt:variant>
        <vt:i4>0</vt:i4>
      </vt:variant>
      <vt:variant>
        <vt:i4>5</vt:i4>
      </vt:variant>
      <vt:variant>
        <vt:lpwstr>http://www.nela.org.uk/reports</vt:lpwstr>
      </vt:variant>
      <vt:variant>
        <vt:lpwstr/>
      </vt:variant>
      <vt:variant>
        <vt:i4>3342456</vt:i4>
      </vt:variant>
      <vt:variant>
        <vt:i4>1466</vt:i4>
      </vt:variant>
      <vt:variant>
        <vt:i4>0</vt:i4>
      </vt:variant>
      <vt:variant>
        <vt:i4>5</vt:i4>
      </vt:variant>
      <vt:variant>
        <vt:lpwstr>http://www.nela.org.uk/reports</vt:lpwstr>
      </vt:variant>
      <vt:variant>
        <vt:lpwstr/>
      </vt:variant>
      <vt:variant>
        <vt:i4>3342456</vt:i4>
      </vt:variant>
      <vt:variant>
        <vt:i4>1463</vt:i4>
      </vt:variant>
      <vt:variant>
        <vt:i4>0</vt:i4>
      </vt:variant>
      <vt:variant>
        <vt:i4>5</vt:i4>
      </vt:variant>
      <vt:variant>
        <vt:lpwstr>http://www.nela.org.uk/reports</vt:lpwstr>
      </vt:variant>
      <vt:variant>
        <vt:lpwstr/>
      </vt:variant>
      <vt:variant>
        <vt:i4>6553636</vt:i4>
      </vt:variant>
      <vt:variant>
        <vt:i4>1460</vt:i4>
      </vt:variant>
      <vt:variant>
        <vt:i4>0</vt:i4>
      </vt:variant>
      <vt:variant>
        <vt:i4>5</vt:i4>
      </vt:variant>
      <vt:variant>
        <vt:lpwstr>https://www.nice.org.uk/guidance/ng147</vt:lpwstr>
      </vt:variant>
      <vt:variant>
        <vt:lpwstr/>
      </vt:variant>
      <vt:variant>
        <vt:i4>6094922</vt:i4>
      </vt:variant>
      <vt:variant>
        <vt:i4>1457</vt:i4>
      </vt:variant>
      <vt:variant>
        <vt:i4>0</vt:i4>
      </vt:variant>
      <vt:variant>
        <vt:i4>5</vt:i4>
      </vt:variant>
      <vt:variant>
        <vt:lpwstr>https://www.britishherniasociety.org/management-of-acutely-symptomatic-hernias-mash-study</vt:lpwstr>
      </vt:variant>
      <vt:variant>
        <vt:lpwstr/>
      </vt:variant>
      <vt:variant>
        <vt:i4>6684712</vt:i4>
      </vt:variant>
      <vt:variant>
        <vt:i4>1454</vt:i4>
      </vt:variant>
      <vt:variant>
        <vt:i4>0</vt:i4>
      </vt:variant>
      <vt:variant>
        <vt:i4>5</vt:i4>
      </vt:variant>
      <vt:variant>
        <vt:lpwstr>https://www.nice.org.uk/guidance/cg188</vt:lpwstr>
      </vt:variant>
      <vt:variant>
        <vt:lpwstr/>
      </vt:variant>
      <vt:variant>
        <vt:i4>786514</vt:i4>
      </vt:variant>
      <vt:variant>
        <vt:i4>1451</vt:i4>
      </vt:variant>
      <vt:variant>
        <vt:i4>0</vt:i4>
      </vt:variant>
      <vt:variant>
        <vt:i4>5</vt:i4>
      </vt:variant>
      <vt:variant>
        <vt:lpwstr>https://www.lshtm.ac.uk/research/centres-projects-groups/esort</vt:lpwstr>
      </vt:variant>
      <vt:variant>
        <vt:lpwstr>welcome</vt:lpwstr>
      </vt:variant>
      <vt:variant>
        <vt:i4>6029342</vt:i4>
      </vt:variant>
      <vt:variant>
        <vt:i4>1445</vt:i4>
      </vt:variant>
      <vt:variant>
        <vt:i4>0</vt:i4>
      </vt:variant>
      <vt:variant>
        <vt:i4>5</vt:i4>
      </vt:variant>
      <vt:variant>
        <vt:lpwstr>https://ifs.org.uk/publications/15557</vt:lpwstr>
      </vt:variant>
      <vt:variant>
        <vt:lpwstr/>
      </vt:variant>
      <vt:variant>
        <vt:i4>655385</vt:i4>
      </vt:variant>
      <vt:variant>
        <vt:i4>1442</vt:i4>
      </vt:variant>
      <vt:variant>
        <vt:i4>0</vt:i4>
      </vt:variant>
      <vt:variant>
        <vt:i4>5</vt:i4>
      </vt:variant>
      <vt:variant>
        <vt:lpwstr>http://gettingitrightfirsttime.co.uk/national-general-surgery-report-published-2/</vt:lpwstr>
      </vt:variant>
      <vt:variant>
        <vt:lpwstr/>
      </vt:variant>
      <vt:variant>
        <vt:i4>94</vt:i4>
      </vt:variant>
      <vt:variant>
        <vt:i4>1439</vt:i4>
      </vt:variant>
      <vt:variant>
        <vt:i4>0</vt:i4>
      </vt:variant>
      <vt:variant>
        <vt:i4>5</vt:i4>
      </vt:variant>
      <vt:variant>
        <vt:lpwstr>https://www.lshtm.ac.uk/research/centres-projects-groups/esort</vt:lpwstr>
      </vt:variant>
      <vt:variant>
        <vt:lpwstr>privacy</vt:lpwstr>
      </vt:variant>
      <vt:variant>
        <vt:i4>4784132</vt:i4>
      </vt:variant>
      <vt:variant>
        <vt:i4>1436</vt:i4>
      </vt:variant>
      <vt:variant>
        <vt:i4>0</vt:i4>
      </vt:variant>
      <vt:variant>
        <vt:i4>5</vt:i4>
      </vt:variant>
      <vt:variant>
        <vt:lpwstr>https://understandingpatientdata.org.uk/data-citation</vt:lpwstr>
      </vt:variant>
      <vt:variant>
        <vt:lpwstr/>
      </vt:variant>
      <vt:variant>
        <vt:i4>6422635</vt:i4>
      </vt:variant>
      <vt:variant>
        <vt:i4>1433</vt:i4>
      </vt:variant>
      <vt:variant>
        <vt:i4>0</vt:i4>
      </vt:variant>
      <vt:variant>
        <vt:i4>5</vt:i4>
      </vt:variant>
      <vt:variant>
        <vt:lpwstr>https://twitter.com/hashtag/datasaveslives?lang=en</vt:lpwstr>
      </vt:variant>
      <vt:variant>
        <vt:lpwstr/>
      </vt:variant>
      <vt:variant>
        <vt:i4>7798887</vt:i4>
      </vt:variant>
      <vt:variant>
        <vt:i4>1427</vt:i4>
      </vt:variant>
      <vt:variant>
        <vt:i4>0</vt:i4>
      </vt:variant>
      <vt:variant>
        <vt:i4>5</vt:i4>
      </vt:variant>
      <vt:variant>
        <vt:lpwstr>https://www.lshtm.ac.uk/media/39151</vt:lpwstr>
      </vt:variant>
      <vt:variant>
        <vt:lpwstr/>
      </vt:variant>
      <vt:variant>
        <vt:i4>5832729</vt:i4>
      </vt:variant>
      <vt:variant>
        <vt:i4>1424</vt:i4>
      </vt:variant>
      <vt:variant>
        <vt:i4>0</vt:i4>
      </vt:variant>
      <vt:variant>
        <vt:i4>5</vt:i4>
      </vt:variant>
      <vt:variant>
        <vt:lpwstr>https://netscc-mis.nihr.ac.uk/mis/Implementation/Modules/Home/HomeModuleContent.aspx?Config=HomeModuleConfig&amp;Page=MyGrantDetails&amp;GranteeProjectID=128490</vt:lpwstr>
      </vt:variant>
      <vt:variant>
        <vt:lpwstr/>
      </vt:variant>
      <vt:variant>
        <vt:i4>5046283</vt:i4>
      </vt:variant>
      <vt:variant>
        <vt:i4>670</vt:i4>
      </vt:variant>
      <vt:variant>
        <vt:i4>0</vt:i4>
      </vt:variant>
      <vt:variant>
        <vt:i4>5</vt:i4>
      </vt:variant>
      <vt:variant>
        <vt:lpwstr>http://www.lshtm.ac.uk/research/centres-projects-groups/esort</vt:lpwstr>
      </vt:variant>
      <vt:variant>
        <vt:lpwstr/>
      </vt:variant>
      <vt:variant>
        <vt:i4>6815747</vt:i4>
      </vt:variant>
      <vt:variant>
        <vt:i4>567</vt:i4>
      </vt:variant>
      <vt:variant>
        <vt:i4>0</vt:i4>
      </vt:variant>
      <vt:variant>
        <vt:i4>5</vt:i4>
      </vt:variant>
      <vt:variant>
        <vt:lpwstr>https://www.journalslibrary.nihr.ac.uk/programmes/hsdr/180225/</vt:lpwstr>
      </vt:variant>
      <vt:variant>
        <vt:lpwstr>/</vt:lpwstr>
      </vt:variant>
      <vt:variant>
        <vt:i4>1769529</vt:i4>
      </vt:variant>
      <vt:variant>
        <vt:i4>560</vt:i4>
      </vt:variant>
      <vt:variant>
        <vt:i4>0</vt:i4>
      </vt:variant>
      <vt:variant>
        <vt:i4>5</vt:i4>
      </vt:variant>
      <vt:variant>
        <vt:lpwstr/>
      </vt:variant>
      <vt:variant>
        <vt:lpwstr>_Toc86670875</vt:lpwstr>
      </vt:variant>
      <vt:variant>
        <vt:i4>1703993</vt:i4>
      </vt:variant>
      <vt:variant>
        <vt:i4>554</vt:i4>
      </vt:variant>
      <vt:variant>
        <vt:i4>0</vt:i4>
      </vt:variant>
      <vt:variant>
        <vt:i4>5</vt:i4>
      </vt:variant>
      <vt:variant>
        <vt:lpwstr/>
      </vt:variant>
      <vt:variant>
        <vt:lpwstr>_Toc86670874</vt:lpwstr>
      </vt:variant>
      <vt:variant>
        <vt:i4>1900601</vt:i4>
      </vt:variant>
      <vt:variant>
        <vt:i4>548</vt:i4>
      </vt:variant>
      <vt:variant>
        <vt:i4>0</vt:i4>
      </vt:variant>
      <vt:variant>
        <vt:i4>5</vt:i4>
      </vt:variant>
      <vt:variant>
        <vt:lpwstr/>
      </vt:variant>
      <vt:variant>
        <vt:lpwstr>_Toc86670873</vt:lpwstr>
      </vt:variant>
      <vt:variant>
        <vt:i4>1835065</vt:i4>
      </vt:variant>
      <vt:variant>
        <vt:i4>542</vt:i4>
      </vt:variant>
      <vt:variant>
        <vt:i4>0</vt:i4>
      </vt:variant>
      <vt:variant>
        <vt:i4>5</vt:i4>
      </vt:variant>
      <vt:variant>
        <vt:lpwstr/>
      </vt:variant>
      <vt:variant>
        <vt:lpwstr>_Toc86670872</vt:lpwstr>
      </vt:variant>
      <vt:variant>
        <vt:i4>2031673</vt:i4>
      </vt:variant>
      <vt:variant>
        <vt:i4>536</vt:i4>
      </vt:variant>
      <vt:variant>
        <vt:i4>0</vt:i4>
      </vt:variant>
      <vt:variant>
        <vt:i4>5</vt:i4>
      </vt:variant>
      <vt:variant>
        <vt:lpwstr/>
      </vt:variant>
      <vt:variant>
        <vt:lpwstr>_Toc86670871</vt:lpwstr>
      </vt:variant>
      <vt:variant>
        <vt:i4>1966137</vt:i4>
      </vt:variant>
      <vt:variant>
        <vt:i4>530</vt:i4>
      </vt:variant>
      <vt:variant>
        <vt:i4>0</vt:i4>
      </vt:variant>
      <vt:variant>
        <vt:i4>5</vt:i4>
      </vt:variant>
      <vt:variant>
        <vt:lpwstr/>
      </vt:variant>
      <vt:variant>
        <vt:lpwstr>_Toc86670870</vt:lpwstr>
      </vt:variant>
      <vt:variant>
        <vt:i4>1507384</vt:i4>
      </vt:variant>
      <vt:variant>
        <vt:i4>524</vt:i4>
      </vt:variant>
      <vt:variant>
        <vt:i4>0</vt:i4>
      </vt:variant>
      <vt:variant>
        <vt:i4>5</vt:i4>
      </vt:variant>
      <vt:variant>
        <vt:lpwstr/>
      </vt:variant>
      <vt:variant>
        <vt:lpwstr>_Toc86670869</vt:lpwstr>
      </vt:variant>
      <vt:variant>
        <vt:i4>1441848</vt:i4>
      </vt:variant>
      <vt:variant>
        <vt:i4>518</vt:i4>
      </vt:variant>
      <vt:variant>
        <vt:i4>0</vt:i4>
      </vt:variant>
      <vt:variant>
        <vt:i4>5</vt:i4>
      </vt:variant>
      <vt:variant>
        <vt:lpwstr/>
      </vt:variant>
      <vt:variant>
        <vt:lpwstr>_Toc86670868</vt:lpwstr>
      </vt:variant>
      <vt:variant>
        <vt:i4>1638456</vt:i4>
      </vt:variant>
      <vt:variant>
        <vt:i4>512</vt:i4>
      </vt:variant>
      <vt:variant>
        <vt:i4>0</vt:i4>
      </vt:variant>
      <vt:variant>
        <vt:i4>5</vt:i4>
      </vt:variant>
      <vt:variant>
        <vt:lpwstr/>
      </vt:variant>
      <vt:variant>
        <vt:lpwstr>_Toc86670867</vt:lpwstr>
      </vt:variant>
      <vt:variant>
        <vt:i4>1572920</vt:i4>
      </vt:variant>
      <vt:variant>
        <vt:i4>506</vt:i4>
      </vt:variant>
      <vt:variant>
        <vt:i4>0</vt:i4>
      </vt:variant>
      <vt:variant>
        <vt:i4>5</vt:i4>
      </vt:variant>
      <vt:variant>
        <vt:lpwstr/>
      </vt:variant>
      <vt:variant>
        <vt:lpwstr>_Toc86670866</vt:lpwstr>
      </vt:variant>
      <vt:variant>
        <vt:i4>1769528</vt:i4>
      </vt:variant>
      <vt:variant>
        <vt:i4>500</vt:i4>
      </vt:variant>
      <vt:variant>
        <vt:i4>0</vt:i4>
      </vt:variant>
      <vt:variant>
        <vt:i4>5</vt:i4>
      </vt:variant>
      <vt:variant>
        <vt:lpwstr/>
      </vt:variant>
      <vt:variant>
        <vt:lpwstr>_Toc86670865</vt:lpwstr>
      </vt:variant>
      <vt:variant>
        <vt:i4>1703992</vt:i4>
      </vt:variant>
      <vt:variant>
        <vt:i4>494</vt:i4>
      </vt:variant>
      <vt:variant>
        <vt:i4>0</vt:i4>
      </vt:variant>
      <vt:variant>
        <vt:i4>5</vt:i4>
      </vt:variant>
      <vt:variant>
        <vt:lpwstr/>
      </vt:variant>
      <vt:variant>
        <vt:lpwstr>_Toc86670864</vt:lpwstr>
      </vt:variant>
      <vt:variant>
        <vt:i4>1900600</vt:i4>
      </vt:variant>
      <vt:variant>
        <vt:i4>488</vt:i4>
      </vt:variant>
      <vt:variant>
        <vt:i4>0</vt:i4>
      </vt:variant>
      <vt:variant>
        <vt:i4>5</vt:i4>
      </vt:variant>
      <vt:variant>
        <vt:lpwstr/>
      </vt:variant>
      <vt:variant>
        <vt:lpwstr>_Toc86670863</vt:lpwstr>
      </vt:variant>
      <vt:variant>
        <vt:i4>1835064</vt:i4>
      </vt:variant>
      <vt:variant>
        <vt:i4>482</vt:i4>
      </vt:variant>
      <vt:variant>
        <vt:i4>0</vt:i4>
      </vt:variant>
      <vt:variant>
        <vt:i4>5</vt:i4>
      </vt:variant>
      <vt:variant>
        <vt:lpwstr/>
      </vt:variant>
      <vt:variant>
        <vt:lpwstr>_Toc86670862</vt:lpwstr>
      </vt:variant>
      <vt:variant>
        <vt:i4>2031672</vt:i4>
      </vt:variant>
      <vt:variant>
        <vt:i4>476</vt:i4>
      </vt:variant>
      <vt:variant>
        <vt:i4>0</vt:i4>
      </vt:variant>
      <vt:variant>
        <vt:i4>5</vt:i4>
      </vt:variant>
      <vt:variant>
        <vt:lpwstr/>
      </vt:variant>
      <vt:variant>
        <vt:lpwstr>_Toc86670861</vt:lpwstr>
      </vt:variant>
      <vt:variant>
        <vt:i4>1966136</vt:i4>
      </vt:variant>
      <vt:variant>
        <vt:i4>470</vt:i4>
      </vt:variant>
      <vt:variant>
        <vt:i4>0</vt:i4>
      </vt:variant>
      <vt:variant>
        <vt:i4>5</vt:i4>
      </vt:variant>
      <vt:variant>
        <vt:lpwstr/>
      </vt:variant>
      <vt:variant>
        <vt:lpwstr>_Toc86670860</vt:lpwstr>
      </vt:variant>
      <vt:variant>
        <vt:i4>1507387</vt:i4>
      </vt:variant>
      <vt:variant>
        <vt:i4>464</vt:i4>
      </vt:variant>
      <vt:variant>
        <vt:i4>0</vt:i4>
      </vt:variant>
      <vt:variant>
        <vt:i4>5</vt:i4>
      </vt:variant>
      <vt:variant>
        <vt:lpwstr/>
      </vt:variant>
      <vt:variant>
        <vt:lpwstr>_Toc86670859</vt:lpwstr>
      </vt:variant>
      <vt:variant>
        <vt:i4>1441851</vt:i4>
      </vt:variant>
      <vt:variant>
        <vt:i4>458</vt:i4>
      </vt:variant>
      <vt:variant>
        <vt:i4>0</vt:i4>
      </vt:variant>
      <vt:variant>
        <vt:i4>5</vt:i4>
      </vt:variant>
      <vt:variant>
        <vt:lpwstr/>
      </vt:variant>
      <vt:variant>
        <vt:lpwstr>_Toc86670858</vt:lpwstr>
      </vt:variant>
      <vt:variant>
        <vt:i4>1638459</vt:i4>
      </vt:variant>
      <vt:variant>
        <vt:i4>452</vt:i4>
      </vt:variant>
      <vt:variant>
        <vt:i4>0</vt:i4>
      </vt:variant>
      <vt:variant>
        <vt:i4>5</vt:i4>
      </vt:variant>
      <vt:variant>
        <vt:lpwstr/>
      </vt:variant>
      <vt:variant>
        <vt:lpwstr>_Toc86670857</vt:lpwstr>
      </vt:variant>
      <vt:variant>
        <vt:i4>1572923</vt:i4>
      </vt:variant>
      <vt:variant>
        <vt:i4>446</vt:i4>
      </vt:variant>
      <vt:variant>
        <vt:i4>0</vt:i4>
      </vt:variant>
      <vt:variant>
        <vt:i4>5</vt:i4>
      </vt:variant>
      <vt:variant>
        <vt:lpwstr/>
      </vt:variant>
      <vt:variant>
        <vt:lpwstr>_Toc86670856</vt:lpwstr>
      </vt:variant>
      <vt:variant>
        <vt:i4>1769531</vt:i4>
      </vt:variant>
      <vt:variant>
        <vt:i4>440</vt:i4>
      </vt:variant>
      <vt:variant>
        <vt:i4>0</vt:i4>
      </vt:variant>
      <vt:variant>
        <vt:i4>5</vt:i4>
      </vt:variant>
      <vt:variant>
        <vt:lpwstr/>
      </vt:variant>
      <vt:variant>
        <vt:lpwstr>_Toc86670855</vt:lpwstr>
      </vt:variant>
      <vt:variant>
        <vt:i4>1703995</vt:i4>
      </vt:variant>
      <vt:variant>
        <vt:i4>434</vt:i4>
      </vt:variant>
      <vt:variant>
        <vt:i4>0</vt:i4>
      </vt:variant>
      <vt:variant>
        <vt:i4>5</vt:i4>
      </vt:variant>
      <vt:variant>
        <vt:lpwstr/>
      </vt:variant>
      <vt:variant>
        <vt:lpwstr>_Toc86670854</vt:lpwstr>
      </vt:variant>
      <vt:variant>
        <vt:i4>1900603</vt:i4>
      </vt:variant>
      <vt:variant>
        <vt:i4>428</vt:i4>
      </vt:variant>
      <vt:variant>
        <vt:i4>0</vt:i4>
      </vt:variant>
      <vt:variant>
        <vt:i4>5</vt:i4>
      </vt:variant>
      <vt:variant>
        <vt:lpwstr/>
      </vt:variant>
      <vt:variant>
        <vt:lpwstr>_Toc86670853</vt:lpwstr>
      </vt:variant>
      <vt:variant>
        <vt:i4>1835067</vt:i4>
      </vt:variant>
      <vt:variant>
        <vt:i4>422</vt:i4>
      </vt:variant>
      <vt:variant>
        <vt:i4>0</vt:i4>
      </vt:variant>
      <vt:variant>
        <vt:i4>5</vt:i4>
      </vt:variant>
      <vt:variant>
        <vt:lpwstr/>
      </vt:variant>
      <vt:variant>
        <vt:lpwstr>_Toc86670852</vt:lpwstr>
      </vt:variant>
      <vt:variant>
        <vt:i4>2031675</vt:i4>
      </vt:variant>
      <vt:variant>
        <vt:i4>416</vt:i4>
      </vt:variant>
      <vt:variant>
        <vt:i4>0</vt:i4>
      </vt:variant>
      <vt:variant>
        <vt:i4>5</vt:i4>
      </vt:variant>
      <vt:variant>
        <vt:lpwstr/>
      </vt:variant>
      <vt:variant>
        <vt:lpwstr>_Toc86670851</vt:lpwstr>
      </vt:variant>
      <vt:variant>
        <vt:i4>1966139</vt:i4>
      </vt:variant>
      <vt:variant>
        <vt:i4>410</vt:i4>
      </vt:variant>
      <vt:variant>
        <vt:i4>0</vt:i4>
      </vt:variant>
      <vt:variant>
        <vt:i4>5</vt:i4>
      </vt:variant>
      <vt:variant>
        <vt:lpwstr/>
      </vt:variant>
      <vt:variant>
        <vt:lpwstr>_Toc86670850</vt:lpwstr>
      </vt:variant>
      <vt:variant>
        <vt:i4>1507386</vt:i4>
      </vt:variant>
      <vt:variant>
        <vt:i4>404</vt:i4>
      </vt:variant>
      <vt:variant>
        <vt:i4>0</vt:i4>
      </vt:variant>
      <vt:variant>
        <vt:i4>5</vt:i4>
      </vt:variant>
      <vt:variant>
        <vt:lpwstr/>
      </vt:variant>
      <vt:variant>
        <vt:lpwstr>_Toc86670849</vt:lpwstr>
      </vt:variant>
      <vt:variant>
        <vt:i4>1441850</vt:i4>
      </vt:variant>
      <vt:variant>
        <vt:i4>398</vt:i4>
      </vt:variant>
      <vt:variant>
        <vt:i4>0</vt:i4>
      </vt:variant>
      <vt:variant>
        <vt:i4>5</vt:i4>
      </vt:variant>
      <vt:variant>
        <vt:lpwstr/>
      </vt:variant>
      <vt:variant>
        <vt:lpwstr>_Toc86670848</vt:lpwstr>
      </vt:variant>
      <vt:variant>
        <vt:i4>1638458</vt:i4>
      </vt:variant>
      <vt:variant>
        <vt:i4>392</vt:i4>
      </vt:variant>
      <vt:variant>
        <vt:i4>0</vt:i4>
      </vt:variant>
      <vt:variant>
        <vt:i4>5</vt:i4>
      </vt:variant>
      <vt:variant>
        <vt:lpwstr/>
      </vt:variant>
      <vt:variant>
        <vt:lpwstr>_Toc86670847</vt:lpwstr>
      </vt:variant>
      <vt:variant>
        <vt:i4>1572922</vt:i4>
      </vt:variant>
      <vt:variant>
        <vt:i4>386</vt:i4>
      </vt:variant>
      <vt:variant>
        <vt:i4>0</vt:i4>
      </vt:variant>
      <vt:variant>
        <vt:i4>5</vt:i4>
      </vt:variant>
      <vt:variant>
        <vt:lpwstr/>
      </vt:variant>
      <vt:variant>
        <vt:lpwstr>_Toc86670846</vt:lpwstr>
      </vt:variant>
      <vt:variant>
        <vt:i4>1769530</vt:i4>
      </vt:variant>
      <vt:variant>
        <vt:i4>380</vt:i4>
      </vt:variant>
      <vt:variant>
        <vt:i4>0</vt:i4>
      </vt:variant>
      <vt:variant>
        <vt:i4>5</vt:i4>
      </vt:variant>
      <vt:variant>
        <vt:lpwstr/>
      </vt:variant>
      <vt:variant>
        <vt:lpwstr>_Toc86670845</vt:lpwstr>
      </vt:variant>
      <vt:variant>
        <vt:i4>1703994</vt:i4>
      </vt:variant>
      <vt:variant>
        <vt:i4>374</vt:i4>
      </vt:variant>
      <vt:variant>
        <vt:i4>0</vt:i4>
      </vt:variant>
      <vt:variant>
        <vt:i4>5</vt:i4>
      </vt:variant>
      <vt:variant>
        <vt:lpwstr/>
      </vt:variant>
      <vt:variant>
        <vt:lpwstr>_Toc86670844</vt:lpwstr>
      </vt:variant>
      <vt:variant>
        <vt:i4>1900602</vt:i4>
      </vt:variant>
      <vt:variant>
        <vt:i4>368</vt:i4>
      </vt:variant>
      <vt:variant>
        <vt:i4>0</vt:i4>
      </vt:variant>
      <vt:variant>
        <vt:i4>5</vt:i4>
      </vt:variant>
      <vt:variant>
        <vt:lpwstr/>
      </vt:variant>
      <vt:variant>
        <vt:lpwstr>_Toc86670843</vt:lpwstr>
      </vt:variant>
      <vt:variant>
        <vt:i4>1835066</vt:i4>
      </vt:variant>
      <vt:variant>
        <vt:i4>362</vt:i4>
      </vt:variant>
      <vt:variant>
        <vt:i4>0</vt:i4>
      </vt:variant>
      <vt:variant>
        <vt:i4>5</vt:i4>
      </vt:variant>
      <vt:variant>
        <vt:lpwstr/>
      </vt:variant>
      <vt:variant>
        <vt:lpwstr>_Toc86670842</vt:lpwstr>
      </vt:variant>
      <vt:variant>
        <vt:i4>2031674</vt:i4>
      </vt:variant>
      <vt:variant>
        <vt:i4>356</vt:i4>
      </vt:variant>
      <vt:variant>
        <vt:i4>0</vt:i4>
      </vt:variant>
      <vt:variant>
        <vt:i4>5</vt:i4>
      </vt:variant>
      <vt:variant>
        <vt:lpwstr/>
      </vt:variant>
      <vt:variant>
        <vt:lpwstr>_Toc86670841</vt:lpwstr>
      </vt:variant>
      <vt:variant>
        <vt:i4>1572919</vt:i4>
      </vt:variant>
      <vt:variant>
        <vt:i4>347</vt:i4>
      </vt:variant>
      <vt:variant>
        <vt:i4>0</vt:i4>
      </vt:variant>
      <vt:variant>
        <vt:i4>5</vt:i4>
      </vt:variant>
      <vt:variant>
        <vt:lpwstr/>
      </vt:variant>
      <vt:variant>
        <vt:lpwstr>_Toc86670799</vt:lpwstr>
      </vt:variant>
      <vt:variant>
        <vt:i4>1638455</vt:i4>
      </vt:variant>
      <vt:variant>
        <vt:i4>341</vt:i4>
      </vt:variant>
      <vt:variant>
        <vt:i4>0</vt:i4>
      </vt:variant>
      <vt:variant>
        <vt:i4>5</vt:i4>
      </vt:variant>
      <vt:variant>
        <vt:lpwstr/>
      </vt:variant>
      <vt:variant>
        <vt:lpwstr>_Toc86670798</vt:lpwstr>
      </vt:variant>
      <vt:variant>
        <vt:i4>1441847</vt:i4>
      </vt:variant>
      <vt:variant>
        <vt:i4>335</vt:i4>
      </vt:variant>
      <vt:variant>
        <vt:i4>0</vt:i4>
      </vt:variant>
      <vt:variant>
        <vt:i4>5</vt:i4>
      </vt:variant>
      <vt:variant>
        <vt:lpwstr/>
      </vt:variant>
      <vt:variant>
        <vt:lpwstr>_Toc86670797</vt:lpwstr>
      </vt:variant>
      <vt:variant>
        <vt:i4>1507383</vt:i4>
      </vt:variant>
      <vt:variant>
        <vt:i4>329</vt:i4>
      </vt:variant>
      <vt:variant>
        <vt:i4>0</vt:i4>
      </vt:variant>
      <vt:variant>
        <vt:i4>5</vt:i4>
      </vt:variant>
      <vt:variant>
        <vt:lpwstr/>
      </vt:variant>
      <vt:variant>
        <vt:lpwstr>_Toc86670796</vt:lpwstr>
      </vt:variant>
      <vt:variant>
        <vt:i4>1310775</vt:i4>
      </vt:variant>
      <vt:variant>
        <vt:i4>323</vt:i4>
      </vt:variant>
      <vt:variant>
        <vt:i4>0</vt:i4>
      </vt:variant>
      <vt:variant>
        <vt:i4>5</vt:i4>
      </vt:variant>
      <vt:variant>
        <vt:lpwstr/>
      </vt:variant>
      <vt:variant>
        <vt:lpwstr>_Toc86670795</vt:lpwstr>
      </vt:variant>
      <vt:variant>
        <vt:i4>1376311</vt:i4>
      </vt:variant>
      <vt:variant>
        <vt:i4>317</vt:i4>
      </vt:variant>
      <vt:variant>
        <vt:i4>0</vt:i4>
      </vt:variant>
      <vt:variant>
        <vt:i4>5</vt:i4>
      </vt:variant>
      <vt:variant>
        <vt:lpwstr/>
      </vt:variant>
      <vt:variant>
        <vt:lpwstr>_Toc86670794</vt:lpwstr>
      </vt:variant>
      <vt:variant>
        <vt:i4>1179703</vt:i4>
      </vt:variant>
      <vt:variant>
        <vt:i4>311</vt:i4>
      </vt:variant>
      <vt:variant>
        <vt:i4>0</vt:i4>
      </vt:variant>
      <vt:variant>
        <vt:i4>5</vt:i4>
      </vt:variant>
      <vt:variant>
        <vt:lpwstr/>
      </vt:variant>
      <vt:variant>
        <vt:lpwstr>_Toc86670793</vt:lpwstr>
      </vt:variant>
      <vt:variant>
        <vt:i4>1245239</vt:i4>
      </vt:variant>
      <vt:variant>
        <vt:i4>305</vt:i4>
      </vt:variant>
      <vt:variant>
        <vt:i4>0</vt:i4>
      </vt:variant>
      <vt:variant>
        <vt:i4>5</vt:i4>
      </vt:variant>
      <vt:variant>
        <vt:lpwstr/>
      </vt:variant>
      <vt:variant>
        <vt:lpwstr>_Toc86670792</vt:lpwstr>
      </vt:variant>
      <vt:variant>
        <vt:i4>1048631</vt:i4>
      </vt:variant>
      <vt:variant>
        <vt:i4>299</vt:i4>
      </vt:variant>
      <vt:variant>
        <vt:i4>0</vt:i4>
      </vt:variant>
      <vt:variant>
        <vt:i4>5</vt:i4>
      </vt:variant>
      <vt:variant>
        <vt:lpwstr/>
      </vt:variant>
      <vt:variant>
        <vt:lpwstr>_Toc86670791</vt:lpwstr>
      </vt:variant>
      <vt:variant>
        <vt:i4>1114167</vt:i4>
      </vt:variant>
      <vt:variant>
        <vt:i4>293</vt:i4>
      </vt:variant>
      <vt:variant>
        <vt:i4>0</vt:i4>
      </vt:variant>
      <vt:variant>
        <vt:i4>5</vt:i4>
      </vt:variant>
      <vt:variant>
        <vt:lpwstr/>
      </vt:variant>
      <vt:variant>
        <vt:lpwstr>_Toc86670790</vt:lpwstr>
      </vt:variant>
      <vt:variant>
        <vt:i4>1572918</vt:i4>
      </vt:variant>
      <vt:variant>
        <vt:i4>287</vt:i4>
      </vt:variant>
      <vt:variant>
        <vt:i4>0</vt:i4>
      </vt:variant>
      <vt:variant>
        <vt:i4>5</vt:i4>
      </vt:variant>
      <vt:variant>
        <vt:lpwstr/>
      </vt:variant>
      <vt:variant>
        <vt:lpwstr>_Toc86670789</vt:lpwstr>
      </vt:variant>
      <vt:variant>
        <vt:i4>1638454</vt:i4>
      </vt:variant>
      <vt:variant>
        <vt:i4>281</vt:i4>
      </vt:variant>
      <vt:variant>
        <vt:i4>0</vt:i4>
      </vt:variant>
      <vt:variant>
        <vt:i4>5</vt:i4>
      </vt:variant>
      <vt:variant>
        <vt:lpwstr/>
      </vt:variant>
      <vt:variant>
        <vt:lpwstr>_Toc86670788</vt:lpwstr>
      </vt:variant>
      <vt:variant>
        <vt:i4>1441846</vt:i4>
      </vt:variant>
      <vt:variant>
        <vt:i4>275</vt:i4>
      </vt:variant>
      <vt:variant>
        <vt:i4>0</vt:i4>
      </vt:variant>
      <vt:variant>
        <vt:i4>5</vt:i4>
      </vt:variant>
      <vt:variant>
        <vt:lpwstr/>
      </vt:variant>
      <vt:variant>
        <vt:lpwstr>_Toc86670787</vt:lpwstr>
      </vt:variant>
      <vt:variant>
        <vt:i4>1507382</vt:i4>
      </vt:variant>
      <vt:variant>
        <vt:i4>269</vt:i4>
      </vt:variant>
      <vt:variant>
        <vt:i4>0</vt:i4>
      </vt:variant>
      <vt:variant>
        <vt:i4>5</vt:i4>
      </vt:variant>
      <vt:variant>
        <vt:lpwstr/>
      </vt:variant>
      <vt:variant>
        <vt:lpwstr>_Toc86670786</vt:lpwstr>
      </vt:variant>
      <vt:variant>
        <vt:i4>1310774</vt:i4>
      </vt:variant>
      <vt:variant>
        <vt:i4>263</vt:i4>
      </vt:variant>
      <vt:variant>
        <vt:i4>0</vt:i4>
      </vt:variant>
      <vt:variant>
        <vt:i4>5</vt:i4>
      </vt:variant>
      <vt:variant>
        <vt:lpwstr/>
      </vt:variant>
      <vt:variant>
        <vt:lpwstr>_Toc86670785</vt:lpwstr>
      </vt:variant>
      <vt:variant>
        <vt:i4>1376310</vt:i4>
      </vt:variant>
      <vt:variant>
        <vt:i4>257</vt:i4>
      </vt:variant>
      <vt:variant>
        <vt:i4>0</vt:i4>
      </vt:variant>
      <vt:variant>
        <vt:i4>5</vt:i4>
      </vt:variant>
      <vt:variant>
        <vt:lpwstr/>
      </vt:variant>
      <vt:variant>
        <vt:lpwstr>_Toc86670784</vt:lpwstr>
      </vt:variant>
      <vt:variant>
        <vt:i4>1179702</vt:i4>
      </vt:variant>
      <vt:variant>
        <vt:i4>251</vt:i4>
      </vt:variant>
      <vt:variant>
        <vt:i4>0</vt:i4>
      </vt:variant>
      <vt:variant>
        <vt:i4>5</vt:i4>
      </vt:variant>
      <vt:variant>
        <vt:lpwstr/>
      </vt:variant>
      <vt:variant>
        <vt:lpwstr>_Toc86670783</vt:lpwstr>
      </vt:variant>
      <vt:variant>
        <vt:i4>1245238</vt:i4>
      </vt:variant>
      <vt:variant>
        <vt:i4>245</vt:i4>
      </vt:variant>
      <vt:variant>
        <vt:i4>0</vt:i4>
      </vt:variant>
      <vt:variant>
        <vt:i4>5</vt:i4>
      </vt:variant>
      <vt:variant>
        <vt:lpwstr/>
      </vt:variant>
      <vt:variant>
        <vt:lpwstr>_Toc86670782</vt:lpwstr>
      </vt:variant>
      <vt:variant>
        <vt:i4>1048630</vt:i4>
      </vt:variant>
      <vt:variant>
        <vt:i4>239</vt:i4>
      </vt:variant>
      <vt:variant>
        <vt:i4>0</vt:i4>
      </vt:variant>
      <vt:variant>
        <vt:i4>5</vt:i4>
      </vt:variant>
      <vt:variant>
        <vt:lpwstr/>
      </vt:variant>
      <vt:variant>
        <vt:lpwstr>_Toc86670781</vt:lpwstr>
      </vt:variant>
      <vt:variant>
        <vt:i4>1114166</vt:i4>
      </vt:variant>
      <vt:variant>
        <vt:i4>233</vt:i4>
      </vt:variant>
      <vt:variant>
        <vt:i4>0</vt:i4>
      </vt:variant>
      <vt:variant>
        <vt:i4>5</vt:i4>
      </vt:variant>
      <vt:variant>
        <vt:lpwstr/>
      </vt:variant>
      <vt:variant>
        <vt:lpwstr>_Toc86670780</vt:lpwstr>
      </vt:variant>
      <vt:variant>
        <vt:i4>1572921</vt:i4>
      </vt:variant>
      <vt:variant>
        <vt:i4>227</vt:i4>
      </vt:variant>
      <vt:variant>
        <vt:i4>0</vt:i4>
      </vt:variant>
      <vt:variant>
        <vt:i4>5</vt:i4>
      </vt:variant>
      <vt:variant>
        <vt:lpwstr/>
      </vt:variant>
      <vt:variant>
        <vt:lpwstr>_Toc86670779</vt:lpwstr>
      </vt:variant>
      <vt:variant>
        <vt:i4>1638457</vt:i4>
      </vt:variant>
      <vt:variant>
        <vt:i4>221</vt:i4>
      </vt:variant>
      <vt:variant>
        <vt:i4>0</vt:i4>
      </vt:variant>
      <vt:variant>
        <vt:i4>5</vt:i4>
      </vt:variant>
      <vt:variant>
        <vt:lpwstr/>
      </vt:variant>
      <vt:variant>
        <vt:lpwstr>_Toc86670778</vt:lpwstr>
      </vt:variant>
      <vt:variant>
        <vt:i4>1441849</vt:i4>
      </vt:variant>
      <vt:variant>
        <vt:i4>215</vt:i4>
      </vt:variant>
      <vt:variant>
        <vt:i4>0</vt:i4>
      </vt:variant>
      <vt:variant>
        <vt:i4>5</vt:i4>
      </vt:variant>
      <vt:variant>
        <vt:lpwstr/>
      </vt:variant>
      <vt:variant>
        <vt:lpwstr>_Toc86670777</vt:lpwstr>
      </vt:variant>
      <vt:variant>
        <vt:i4>1507385</vt:i4>
      </vt:variant>
      <vt:variant>
        <vt:i4>209</vt:i4>
      </vt:variant>
      <vt:variant>
        <vt:i4>0</vt:i4>
      </vt:variant>
      <vt:variant>
        <vt:i4>5</vt:i4>
      </vt:variant>
      <vt:variant>
        <vt:lpwstr/>
      </vt:variant>
      <vt:variant>
        <vt:lpwstr>_Toc86670776</vt:lpwstr>
      </vt:variant>
      <vt:variant>
        <vt:i4>1310777</vt:i4>
      </vt:variant>
      <vt:variant>
        <vt:i4>203</vt:i4>
      </vt:variant>
      <vt:variant>
        <vt:i4>0</vt:i4>
      </vt:variant>
      <vt:variant>
        <vt:i4>5</vt:i4>
      </vt:variant>
      <vt:variant>
        <vt:lpwstr/>
      </vt:variant>
      <vt:variant>
        <vt:lpwstr>_Toc86670775</vt:lpwstr>
      </vt:variant>
      <vt:variant>
        <vt:i4>1376313</vt:i4>
      </vt:variant>
      <vt:variant>
        <vt:i4>197</vt:i4>
      </vt:variant>
      <vt:variant>
        <vt:i4>0</vt:i4>
      </vt:variant>
      <vt:variant>
        <vt:i4>5</vt:i4>
      </vt:variant>
      <vt:variant>
        <vt:lpwstr/>
      </vt:variant>
      <vt:variant>
        <vt:lpwstr>_Toc86670774</vt:lpwstr>
      </vt:variant>
      <vt:variant>
        <vt:i4>1179705</vt:i4>
      </vt:variant>
      <vt:variant>
        <vt:i4>191</vt:i4>
      </vt:variant>
      <vt:variant>
        <vt:i4>0</vt:i4>
      </vt:variant>
      <vt:variant>
        <vt:i4>5</vt:i4>
      </vt:variant>
      <vt:variant>
        <vt:lpwstr/>
      </vt:variant>
      <vt:variant>
        <vt:lpwstr>_Toc86670773</vt:lpwstr>
      </vt:variant>
      <vt:variant>
        <vt:i4>1966141</vt:i4>
      </vt:variant>
      <vt:variant>
        <vt:i4>182</vt:i4>
      </vt:variant>
      <vt:variant>
        <vt:i4>0</vt:i4>
      </vt:variant>
      <vt:variant>
        <vt:i4>5</vt:i4>
      </vt:variant>
      <vt:variant>
        <vt:lpwstr/>
      </vt:variant>
      <vt:variant>
        <vt:lpwstr>_Toc86673008</vt:lpwstr>
      </vt:variant>
      <vt:variant>
        <vt:i4>1114173</vt:i4>
      </vt:variant>
      <vt:variant>
        <vt:i4>176</vt:i4>
      </vt:variant>
      <vt:variant>
        <vt:i4>0</vt:i4>
      </vt:variant>
      <vt:variant>
        <vt:i4>5</vt:i4>
      </vt:variant>
      <vt:variant>
        <vt:lpwstr/>
      </vt:variant>
      <vt:variant>
        <vt:lpwstr>_Toc86673007</vt:lpwstr>
      </vt:variant>
      <vt:variant>
        <vt:i4>1048637</vt:i4>
      </vt:variant>
      <vt:variant>
        <vt:i4>170</vt:i4>
      </vt:variant>
      <vt:variant>
        <vt:i4>0</vt:i4>
      </vt:variant>
      <vt:variant>
        <vt:i4>5</vt:i4>
      </vt:variant>
      <vt:variant>
        <vt:lpwstr/>
      </vt:variant>
      <vt:variant>
        <vt:lpwstr>_Toc86673006</vt:lpwstr>
      </vt:variant>
      <vt:variant>
        <vt:i4>1245245</vt:i4>
      </vt:variant>
      <vt:variant>
        <vt:i4>164</vt:i4>
      </vt:variant>
      <vt:variant>
        <vt:i4>0</vt:i4>
      </vt:variant>
      <vt:variant>
        <vt:i4>5</vt:i4>
      </vt:variant>
      <vt:variant>
        <vt:lpwstr/>
      </vt:variant>
      <vt:variant>
        <vt:lpwstr>_Toc86673005</vt:lpwstr>
      </vt:variant>
      <vt:variant>
        <vt:i4>1179709</vt:i4>
      </vt:variant>
      <vt:variant>
        <vt:i4>158</vt:i4>
      </vt:variant>
      <vt:variant>
        <vt:i4>0</vt:i4>
      </vt:variant>
      <vt:variant>
        <vt:i4>5</vt:i4>
      </vt:variant>
      <vt:variant>
        <vt:lpwstr/>
      </vt:variant>
      <vt:variant>
        <vt:lpwstr>_Toc86673004</vt:lpwstr>
      </vt:variant>
      <vt:variant>
        <vt:i4>1376317</vt:i4>
      </vt:variant>
      <vt:variant>
        <vt:i4>152</vt:i4>
      </vt:variant>
      <vt:variant>
        <vt:i4>0</vt:i4>
      </vt:variant>
      <vt:variant>
        <vt:i4>5</vt:i4>
      </vt:variant>
      <vt:variant>
        <vt:lpwstr/>
      </vt:variant>
      <vt:variant>
        <vt:lpwstr>_Toc86673003</vt:lpwstr>
      </vt:variant>
      <vt:variant>
        <vt:i4>1310781</vt:i4>
      </vt:variant>
      <vt:variant>
        <vt:i4>146</vt:i4>
      </vt:variant>
      <vt:variant>
        <vt:i4>0</vt:i4>
      </vt:variant>
      <vt:variant>
        <vt:i4>5</vt:i4>
      </vt:variant>
      <vt:variant>
        <vt:lpwstr/>
      </vt:variant>
      <vt:variant>
        <vt:lpwstr>_Toc86673002</vt:lpwstr>
      </vt:variant>
      <vt:variant>
        <vt:i4>1507389</vt:i4>
      </vt:variant>
      <vt:variant>
        <vt:i4>140</vt:i4>
      </vt:variant>
      <vt:variant>
        <vt:i4>0</vt:i4>
      </vt:variant>
      <vt:variant>
        <vt:i4>5</vt:i4>
      </vt:variant>
      <vt:variant>
        <vt:lpwstr/>
      </vt:variant>
      <vt:variant>
        <vt:lpwstr>_Toc86673001</vt:lpwstr>
      </vt:variant>
      <vt:variant>
        <vt:i4>1441853</vt:i4>
      </vt:variant>
      <vt:variant>
        <vt:i4>134</vt:i4>
      </vt:variant>
      <vt:variant>
        <vt:i4>0</vt:i4>
      </vt:variant>
      <vt:variant>
        <vt:i4>5</vt:i4>
      </vt:variant>
      <vt:variant>
        <vt:lpwstr/>
      </vt:variant>
      <vt:variant>
        <vt:lpwstr>_Toc86673000</vt:lpwstr>
      </vt:variant>
      <vt:variant>
        <vt:i4>1441845</vt:i4>
      </vt:variant>
      <vt:variant>
        <vt:i4>128</vt:i4>
      </vt:variant>
      <vt:variant>
        <vt:i4>0</vt:i4>
      </vt:variant>
      <vt:variant>
        <vt:i4>5</vt:i4>
      </vt:variant>
      <vt:variant>
        <vt:lpwstr/>
      </vt:variant>
      <vt:variant>
        <vt:lpwstr>_Toc86672999</vt:lpwstr>
      </vt:variant>
      <vt:variant>
        <vt:i4>1507381</vt:i4>
      </vt:variant>
      <vt:variant>
        <vt:i4>122</vt:i4>
      </vt:variant>
      <vt:variant>
        <vt:i4>0</vt:i4>
      </vt:variant>
      <vt:variant>
        <vt:i4>5</vt:i4>
      </vt:variant>
      <vt:variant>
        <vt:lpwstr/>
      </vt:variant>
      <vt:variant>
        <vt:lpwstr>_Toc86672998</vt:lpwstr>
      </vt:variant>
      <vt:variant>
        <vt:i4>1572917</vt:i4>
      </vt:variant>
      <vt:variant>
        <vt:i4>116</vt:i4>
      </vt:variant>
      <vt:variant>
        <vt:i4>0</vt:i4>
      </vt:variant>
      <vt:variant>
        <vt:i4>5</vt:i4>
      </vt:variant>
      <vt:variant>
        <vt:lpwstr/>
      </vt:variant>
      <vt:variant>
        <vt:lpwstr>_Toc86672997</vt:lpwstr>
      </vt:variant>
      <vt:variant>
        <vt:i4>1638453</vt:i4>
      </vt:variant>
      <vt:variant>
        <vt:i4>110</vt:i4>
      </vt:variant>
      <vt:variant>
        <vt:i4>0</vt:i4>
      </vt:variant>
      <vt:variant>
        <vt:i4>5</vt:i4>
      </vt:variant>
      <vt:variant>
        <vt:lpwstr/>
      </vt:variant>
      <vt:variant>
        <vt:lpwstr>_Toc86672996</vt:lpwstr>
      </vt:variant>
      <vt:variant>
        <vt:i4>1703989</vt:i4>
      </vt:variant>
      <vt:variant>
        <vt:i4>104</vt:i4>
      </vt:variant>
      <vt:variant>
        <vt:i4>0</vt:i4>
      </vt:variant>
      <vt:variant>
        <vt:i4>5</vt:i4>
      </vt:variant>
      <vt:variant>
        <vt:lpwstr/>
      </vt:variant>
      <vt:variant>
        <vt:lpwstr>_Toc86672995</vt:lpwstr>
      </vt:variant>
      <vt:variant>
        <vt:i4>1769525</vt:i4>
      </vt:variant>
      <vt:variant>
        <vt:i4>98</vt:i4>
      </vt:variant>
      <vt:variant>
        <vt:i4>0</vt:i4>
      </vt:variant>
      <vt:variant>
        <vt:i4>5</vt:i4>
      </vt:variant>
      <vt:variant>
        <vt:lpwstr/>
      </vt:variant>
      <vt:variant>
        <vt:lpwstr>_Toc86672994</vt:lpwstr>
      </vt:variant>
      <vt:variant>
        <vt:i4>1835061</vt:i4>
      </vt:variant>
      <vt:variant>
        <vt:i4>92</vt:i4>
      </vt:variant>
      <vt:variant>
        <vt:i4>0</vt:i4>
      </vt:variant>
      <vt:variant>
        <vt:i4>5</vt:i4>
      </vt:variant>
      <vt:variant>
        <vt:lpwstr/>
      </vt:variant>
      <vt:variant>
        <vt:lpwstr>_Toc86672993</vt:lpwstr>
      </vt:variant>
      <vt:variant>
        <vt:i4>1900597</vt:i4>
      </vt:variant>
      <vt:variant>
        <vt:i4>86</vt:i4>
      </vt:variant>
      <vt:variant>
        <vt:i4>0</vt:i4>
      </vt:variant>
      <vt:variant>
        <vt:i4>5</vt:i4>
      </vt:variant>
      <vt:variant>
        <vt:lpwstr/>
      </vt:variant>
      <vt:variant>
        <vt:lpwstr>_Toc86672992</vt:lpwstr>
      </vt:variant>
      <vt:variant>
        <vt:i4>1966133</vt:i4>
      </vt:variant>
      <vt:variant>
        <vt:i4>80</vt:i4>
      </vt:variant>
      <vt:variant>
        <vt:i4>0</vt:i4>
      </vt:variant>
      <vt:variant>
        <vt:i4>5</vt:i4>
      </vt:variant>
      <vt:variant>
        <vt:lpwstr/>
      </vt:variant>
      <vt:variant>
        <vt:lpwstr>_Toc86672991</vt:lpwstr>
      </vt:variant>
      <vt:variant>
        <vt:i4>2031669</vt:i4>
      </vt:variant>
      <vt:variant>
        <vt:i4>74</vt:i4>
      </vt:variant>
      <vt:variant>
        <vt:i4>0</vt:i4>
      </vt:variant>
      <vt:variant>
        <vt:i4>5</vt:i4>
      </vt:variant>
      <vt:variant>
        <vt:lpwstr/>
      </vt:variant>
      <vt:variant>
        <vt:lpwstr>_Toc86672990</vt:lpwstr>
      </vt:variant>
      <vt:variant>
        <vt:i4>1441844</vt:i4>
      </vt:variant>
      <vt:variant>
        <vt:i4>68</vt:i4>
      </vt:variant>
      <vt:variant>
        <vt:i4>0</vt:i4>
      </vt:variant>
      <vt:variant>
        <vt:i4>5</vt:i4>
      </vt:variant>
      <vt:variant>
        <vt:lpwstr/>
      </vt:variant>
      <vt:variant>
        <vt:lpwstr>_Toc86672989</vt:lpwstr>
      </vt:variant>
      <vt:variant>
        <vt:i4>8126531</vt:i4>
      </vt:variant>
      <vt:variant>
        <vt:i4>63</vt:i4>
      </vt:variant>
      <vt:variant>
        <vt:i4>0</vt:i4>
      </vt:variant>
      <vt:variant>
        <vt:i4>5</vt:i4>
      </vt:variant>
      <vt:variant>
        <vt:lpwstr>mailto:robert.hinchliffe@bristol.ac.uk</vt:lpwstr>
      </vt:variant>
      <vt:variant>
        <vt:lpwstr/>
      </vt:variant>
      <vt:variant>
        <vt:i4>7864388</vt:i4>
      </vt:variant>
      <vt:variant>
        <vt:i4>60</vt:i4>
      </vt:variant>
      <vt:variant>
        <vt:i4>0</vt:i4>
      </vt:variant>
      <vt:variant>
        <vt:i4>5</vt:i4>
      </vt:variant>
      <vt:variant>
        <vt:lpwstr>mailto:drneilsmart@hotmail.com</vt:lpwstr>
      </vt:variant>
      <vt:variant>
        <vt:lpwstr/>
      </vt:variant>
      <vt:variant>
        <vt:i4>6750289</vt:i4>
      </vt:variant>
      <vt:variant>
        <vt:i4>57</vt:i4>
      </vt:variant>
      <vt:variant>
        <vt:i4>0</vt:i4>
      </vt:variant>
      <vt:variant>
        <vt:i4>5</vt:i4>
      </vt:variant>
      <vt:variant>
        <vt:lpwstr>mailto:Luke.Keele@pennmedicine.upenn.edu</vt:lpwstr>
      </vt:variant>
      <vt:variant>
        <vt:lpwstr/>
      </vt:variant>
      <vt:variant>
        <vt:i4>2752604</vt:i4>
      </vt:variant>
      <vt:variant>
        <vt:i4>54</vt:i4>
      </vt:variant>
      <vt:variant>
        <vt:i4>0</vt:i4>
      </vt:variant>
      <vt:variant>
        <vt:i4>5</vt:i4>
      </vt:variant>
      <vt:variant>
        <vt:lpwstr>mailto:ramani.moonesinghe@nhs.net</vt:lpwstr>
      </vt:variant>
      <vt:variant>
        <vt:lpwstr/>
      </vt:variant>
      <vt:variant>
        <vt:i4>65571</vt:i4>
      </vt:variant>
      <vt:variant>
        <vt:i4>51</vt:i4>
      </vt:variant>
      <vt:variant>
        <vt:i4>0</vt:i4>
      </vt:variant>
      <vt:variant>
        <vt:i4>5</vt:i4>
      </vt:variant>
      <vt:variant>
        <vt:lpwstr>mailto:geoff.bellingan1@nhs.net</vt:lpwstr>
      </vt:variant>
      <vt:variant>
        <vt:lpwstr/>
      </vt:variant>
      <vt:variant>
        <vt:i4>4849724</vt:i4>
      </vt:variant>
      <vt:variant>
        <vt:i4>48</vt:i4>
      </vt:variant>
      <vt:variant>
        <vt:i4>0</vt:i4>
      </vt:variant>
      <vt:variant>
        <vt:i4>5</vt:i4>
      </vt:variant>
      <vt:variant>
        <vt:lpwstr>mailto:charlton808@btinternet.com</vt:lpwstr>
      </vt:variant>
      <vt:variant>
        <vt:lpwstr/>
      </vt:variant>
      <vt:variant>
        <vt:i4>3473434</vt:i4>
      </vt:variant>
      <vt:variant>
        <vt:i4>45</vt:i4>
      </vt:variant>
      <vt:variant>
        <vt:i4>0</vt:i4>
      </vt:variant>
      <vt:variant>
        <vt:i4>5</vt:i4>
      </vt:variant>
      <vt:variant>
        <vt:lpwstr>mailto:claire.snowdon@lshtm.ac.uk</vt:lpwstr>
      </vt:variant>
      <vt:variant>
        <vt:lpwstr/>
      </vt:variant>
      <vt:variant>
        <vt:i4>1376364</vt:i4>
      </vt:variant>
      <vt:variant>
        <vt:i4>42</vt:i4>
      </vt:variant>
      <vt:variant>
        <vt:i4>0</vt:i4>
      </vt:variant>
      <vt:variant>
        <vt:i4>5</vt:i4>
      </vt:variant>
      <vt:variant>
        <vt:lpwstr>mailto:beth@ejsilver.co.uk</vt:lpwstr>
      </vt:variant>
      <vt:variant>
        <vt:lpwstr/>
      </vt:variant>
      <vt:variant>
        <vt:i4>6881364</vt:i4>
      </vt:variant>
      <vt:variant>
        <vt:i4>39</vt:i4>
      </vt:variant>
      <vt:variant>
        <vt:i4>0</vt:i4>
      </vt:variant>
      <vt:variant>
        <vt:i4>5</vt:i4>
      </vt:variant>
      <vt:variant>
        <vt:lpwstr>mailto:R.Silverwood@ucl.ac.uk</vt:lpwstr>
      </vt:variant>
      <vt:variant>
        <vt:lpwstr/>
      </vt:variant>
      <vt:variant>
        <vt:i4>6815744</vt:i4>
      </vt:variant>
      <vt:variant>
        <vt:i4>36</vt:i4>
      </vt:variant>
      <vt:variant>
        <vt:i4>0</vt:i4>
      </vt:variant>
      <vt:variant>
        <vt:i4>5</vt:i4>
      </vt:variant>
      <vt:variant>
        <vt:lpwstr>mailto:tommaso.kircheis@gmail.com</vt:lpwstr>
      </vt:variant>
      <vt:variant>
        <vt:lpwstr/>
      </vt:variant>
      <vt:variant>
        <vt:i4>4653107</vt:i4>
      </vt:variant>
      <vt:variant>
        <vt:i4>32</vt:i4>
      </vt:variant>
      <vt:variant>
        <vt:i4>0</vt:i4>
      </vt:variant>
      <vt:variant>
        <vt:i4>5</vt:i4>
      </vt:variant>
      <vt:variant>
        <vt:lpwstr>mailto:dcromwell@rcseng.ac.uk</vt:lpwstr>
      </vt:variant>
      <vt:variant>
        <vt:lpwstr/>
      </vt:variant>
      <vt:variant>
        <vt:i4>4653107</vt:i4>
      </vt:variant>
      <vt:variant>
        <vt:i4>30</vt:i4>
      </vt:variant>
      <vt:variant>
        <vt:i4>0</vt:i4>
      </vt:variant>
      <vt:variant>
        <vt:i4>5</vt:i4>
      </vt:variant>
      <vt:variant>
        <vt:lpwstr>mailto:dcromwell@rcseng.ac.uk</vt:lpwstr>
      </vt:variant>
      <vt:variant>
        <vt:lpwstr/>
      </vt:variant>
      <vt:variant>
        <vt:i4>6619161</vt:i4>
      </vt:variant>
      <vt:variant>
        <vt:i4>26</vt:i4>
      </vt:variant>
      <vt:variant>
        <vt:i4>0</vt:i4>
      </vt:variant>
      <vt:variant>
        <vt:i4>5</vt:i4>
      </vt:variant>
      <vt:variant>
        <vt:lpwstr>mailto:david.lugo-palacios@lshtm.ac.uk</vt:lpwstr>
      </vt:variant>
      <vt:variant>
        <vt:lpwstr/>
      </vt:variant>
      <vt:variant>
        <vt:i4>6619161</vt:i4>
      </vt:variant>
      <vt:variant>
        <vt:i4>24</vt:i4>
      </vt:variant>
      <vt:variant>
        <vt:i4>0</vt:i4>
      </vt:variant>
      <vt:variant>
        <vt:i4>5</vt:i4>
      </vt:variant>
      <vt:variant>
        <vt:lpwstr>mailto:david.lugo-palacios@lshtm.ac.uk</vt:lpwstr>
      </vt:variant>
      <vt:variant>
        <vt:lpwstr/>
      </vt:variant>
      <vt:variant>
        <vt:i4>7012424</vt:i4>
      </vt:variant>
      <vt:variant>
        <vt:i4>20</vt:i4>
      </vt:variant>
      <vt:variant>
        <vt:i4>0</vt:i4>
      </vt:variant>
      <vt:variant>
        <vt:i4>5</vt:i4>
      </vt:variant>
      <vt:variant>
        <vt:lpwstr>mailto:stephen.oneill@lshtm.ac.uk</vt:lpwstr>
      </vt:variant>
      <vt:variant>
        <vt:lpwstr/>
      </vt:variant>
      <vt:variant>
        <vt:i4>7012424</vt:i4>
      </vt:variant>
      <vt:variant>
        <vt:i4>18</vt:i4>
      </vt:variant>
      <vt:variant>
        <vt:i4>0</vt:i4>
      </vt:variant>
      <vt:variant>
        <vt:i4>5</vt:i4>
      </vt:variant>
      <vt:variant>
        <vt:lpwstr>mailto:stephen.oneill@lshtm.ac.uk</vt:lpwstr>
      </vt:variant>
      <vt:variant>
        <vt:lpwstr/>
      </vt:variant>
      <vt:variant>
        <vt:i4>5177441</vt:i4>
      </vt:variant>
      <vt:variant>
        <vt:i4>14</vt:i4>
      </vt:variant>
      <vt:variant>
        <vt:i4>0</vt:i4>
      </vt:variant>
      <vt:variant>
        <vt:i4>5</vt:i4>
      </vt:variant>
      <vt:variant>
        <vt:lpwstr>mailto:Silvia.Moler@lshtm.ac.uk</vt:lpwstr>
      </vt:variant>
      <vt:variant>
        <vt:lpwstr/>
      </vt:variant>
      <vt:variant>
        <vt:i4>5177441</vt:i4>
      </vt:variant>
      <vt:variant>
        <vt:i4>12</vt:i4>
      </vt:variant>
      <vt:variant>
        <vt:i4>0</vt:i4>
      </vt:variant>
      <vt:variant>
        <vt:i4>5</vt:i4>
      </vt:variant>
      <vt:variant>
        <vt:lpwstr>mailto:Silvia.Moler@lshtm.ac.uk</vt:lpwstr>
      </vt:variant>
      <vt:variant>
        <vt:lpwstr/>
      </vt:variant>
      <vt:variant>
        <vt:i4>4915310</vt:i4>
      </vt:variant>
      <vt:variant>
        <vt:i4>8</vt:i4>
      </vt:variant>
      <vt:variant>
        <vt:i4>0</vt:i4>
      </vt:variant>
      <vt:variant>
        <vt:i4>5</vt:i4>
      </vt:variant>
      <vt:variant>
        <vt:lpwstr>mailto:andrew.hutchings@lshtm.ac.uk</vt:lpwstr>
      </vt:variant>
      <vt:variant>
        <vt:lpwstr/>
      </vt:variant>
      <vt:variant>
        <vt:i4>4915310</vt:i4>
      </vt:variant>
      <vt:variant>
        <vt:i4>6</vt:i4>
      </vt:variant>
      <vt:variant>
        <vt:i4>0</vt:i4>
      </vt:variant>
      <vt:variant>
        <vt:i4>5</vt:i4>
      </vt:variant>
      <vt:variant>
        <vt:lpwstr>mailto:andrew.hutchings@lshtm.ac.uk</vt:lpwstr>
      </vt:variant>
      <vt:variant>
        <vt:lpwstr/>
      </vt:variant>
      <vt:variant>
        <vt:i4>7405635</vt:i4>
      </vt:variant>
      <vt:variant>
        <vt:i4>2</vt:i4>
      </vt:variant>
      <vt:variant>
        <vt:i4>0</vt:i4>
      </vt:variant>
      <vt:variant>
        <vt:i4>5</vt:i4>
      </vt:variant>
      <vt:variant>
        <vt:lpwstr>mailto:richard.grieve@lshtm.ac.uk</vt:lpwstr>
      </vt:variant>
      <vt:variant>
        <vt:lpwstr/>
      </vt:variant>
      <vt:variant>
        <vt:i4>7405635</vt:i4>
      </vt:variant>
      <vt:variant>
        <vt:i4>0</vt:i4>
      </vt:variant>
      <vt:variant>
        <vt:i4>0</vt:i4>
      </vt:variant>
      <vt:variant>
        <vt:i4>5</vt:i4>
      </vt:variant>
      <vt:variant>
        <vt:lpwstr>mailto:richard.grieve@lshtm.ac.uk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Grieve</dc:creator>
  <cp:keywords/>
  <dc:description/>
  <cp:lastModifiedBy>Euan Notley</cp:lastModifiedBy>
  <cp:revision>5</cp:revision>
  <cp:lastPrinted>2022-04-19T23:29:00Z</cp:lastPrinted>
  <dcterms:created xsi:type="dcterms:W3CDTF">2022-06-08T15:12:00Z</dcterms:created>
  <dcterms:modified xsi:type="dcterms:W3CDTF">2022-06-08T16:46:00Z</dcterms:modified>
</cp:coreProperties>
</file>